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520C66">
      <w:pPr>
        <w:pStyle w:val="2"/>
        <w:spacing w:line="317" w:lineRule="auto"/>
      </w:pPr>
    </w:p>
    <w:p w14:paraId="4AEDDF11">
      <w:pPr>
        <w:pStyle w:val="2"/>
        <w:spacing w:line="317" w:lineRule="auto"/>
      </w:pPr>
    </w:p>
    <w:p w14:paraId="33334973">
      <w:pPr>
        <w:pStyle w:val="2"/>
        <w:spacing w:line="318" w:lineRule="auto"/>
      </w:pPr>
    </w:p>
    <w:p w14:paraId="323C0F09">
      <w:pPr>
        <w:spacing w:before="169" w:line="334" w:lineRule="auto"/>
        <w:ind w:left="1579" w:hanging="1563"/>
        <w:rPr>
          <w:rFonts w:ascii="宋体" w:hAnsi="宋体" w:eastAsia="宋体" w:cs="宋体"/>
          <w:sz w:val="52"/>
          <w:szCs w:val="52"/>
        </w:rPr>
      </w:pPr>
      <w:r>
        <w:rPr>
          <w:rFonts w:ascii="宋体" w:hAnsi="宋体" w:eastAsia="宋体" w:cs="宋体"/>
          <w:b/>
          <w:bCs/>
          <w:spacing w:val="-6"/>
          <w:sz w:val="52"/>
          <w:szCs w:val="52"/>
        </w:rPr>
        <w:t>汕尾市天磊联信种养有限公司生猪养</w:t>
      </w:r>
      <w:r>
        <w:rPr>
          <w:rFonts w:ascii="宋体" w:hAnsi="宋体" w:eastAsia="宋体" w:cs="宋体"/>
          <w:spacing w:val="13"/>
          <w:sz w:val="52"/>
          <w:szCs w:val="52"/>
        </w:rPr>
        <w:t xml:space="preserve"> </w:t>
      </w:r>
      <w:r>
        <w:rPr>
          <w:rFonts w:ascii="宋体" w:hAnsi="宋体" w:eastAsia="宋体" w:cs="宋体"/>
          <w:b/>
          <w:bCs/>
          <w:spacing w:val="-6"/>
          <w:sz w:val="52"/>
          <w:szCs w:val="52"/>
        </w:rPr>
        <w:t>殖项目环境影响报告书</w:t>
      </w:r>
    </w:p>
    <w:p w14:paraId="5A4A8206">
      <w:pPr>
        <w:pStyle w:val="2"/>
        <w:spacing w:line="241" w:lineRule="auto"/>
      </w:pPr>
    </w:p>
    <w:p w14:paraId="5BE9A087">
      <w:pPr>
        <w:pStyle w:val="2"/>
        <w:spacing w:line="241" w:lineRule="auto"/>
      </w:pPr>
    </w:p>
    <w:p w14:paraId="6B3A8D9B">
      <w:pPr>
        <w:pStyle w:val="2"/>
        <w:spacing w:line="241" w:lineRule="auto"/>
      </w:pPr>
    </w:p>
    <w:p w14:paraId="79CC65D2">
      <w:pPr>
        <w:pStyle w:val="2"/>
        <w:spacing w:line="241" w:lineRule="auto"/>
      </w:pPr>
    </w:p>
    <w:p w14:paraId="2D375D27">
      <w:pPr>
        <w:pStyle w:val="2"/>
        <w:spacing w:line="241" w:lineRule="auto"/>
      </w:pPr>
    </w:p>
    <w:p w14:paraId="17C488C0">
      <w:pPr>
        <w:pStyle w:val="2"/>
        <w:spacing w:line="241" w:lineRule="auto"/>
      </w:pPr>
    </w:p>
    <w:p w14:paraId="16CB4C7C">
      <w:pPr>
        <w:pStyle w:val="2"/>
        <w:spacing w:line="241" w:lineRule="auto"/>
      </w:pPr>
    </w:p>
    <w:p w14:paraId="7D2BD674">
      <w:pPr>
        <w:pStyle w:val="2"/>
        <w:spacing w:line="241" w:lineRule="auto"/>
      </w:pPr>
    </w:p>
    <w:p w14:paraId="2506D5D2">
      <w:pPr>
        <w:pStyle w:val="2"/>
        <w:spacing w:line="241" w:lineRule="auto"/>
      </w:pPr>
    </w:p>
    <w:p w14:paraId="45899A6B">
      <w:pPr>
        <w:pStyle w:val="2"/>
        <w:spacing w:line="241" w:lineRule="auto"/>
      </w:pPr>
    </w:p>
    <w:p w14:paraId="765C34B3">
      <w:pPr>
        <w:pStyle w:val="2"/>
        <w:spacing w:line="241" w:lineRule="auto"/>
      </w:pPr>
    </w:p>
    <w:p w14:paraId="150C221F">
      <w:pPr>
        <w:pStyle w:val="2"/>
        <w:spacing w:line="241" w:lineRule="auto"/>
      </w:pPr>
    </w:p>
    <w:p w14:paraId="33D28220">
      <w:pPr>
        <w:pStyle w:val="2"/>
        <w:spacing w:line="241" w:lineRule="auto"/>
      </w:pPr>
    </w:p>
    <w:p w14:paraId="341EEB9F">
      <w:pPr>
        <w:pStyle w:val="2"/>
        <w:spacing w:line="241" w:lineRule="auto"/>
      </w:pPr>
    </w:p>
    <w:p w14:paraId="0EE381BE">
      <w:pPr>
        <w:pStyle w:val="2"/>
        <w:spacing w:line="241" w:lineRule="auto"/>
      </w:pPr>
    </w:p>
    <w:p w14:paraId="46572C89">
      <w:pPr>
        <w:pStyle w:val="2"/>
        <w:spacing w:line="241" w:lineRule="auto"/>
      </w:pPr>
    </w:p>
    <w:p w14:paraId="5469AB95">
      <w:pPr>
        <w:pStyle w:val="2"/>
        <w:spacing w:line="241" w:lineRule="auto"/>
      </w:pPr>
    </w:p>
    <w:p w14:paraId="6FE3E9DA">
      <w:pPr>
        <w:pStyle w:val="2"/>
        <w:spacing w:line="241" w:lineRule="auto"/>
      </w:pPr>
    </w:p>
    <w:p w14:paraId="0719EBB3">
      <w:pPr>
        <w:pStyle w:val="2"/>
        <w:spacing w:line="241" w:lineRule="auto"/>
      </w:pPr>
    </w:p>
    <w:p w14:paraId="6ED4FD3E">
      <w:pPr>
        <w:pStyle w:val="2"/>
        <w:spacing w:line="241" w:lineRule="auto"/>
      </w:pPr>
    </w:p>
    <w:p w14:paraId="0F1E8DC4">
      <w:pPr>
        <w:pStyle w:val="2"/>
        <w:spacing w:line="242" w:lineRule="auto"/>
      </w:pPr>
    </w:p>
    <w:p w14:paraId="3E054A4C">
      <w:pPr>
        <w:pStyle w:val="2"/>
        <w:spacing w:line="242" w:lineRule="auto"/>
      </w:pPr>
    </w:p>
    <w:p w14:paraId="264C75B3">
      <w:pPr>
        <w:pStyle w:val="2"/>
        <w:spacing w:line="242" w:lineRule="auto"/>
      </w:pPr>
    </w:p>
    <w:p w14:paraId="70CAE628">
      <w:pPr>
        <w:pStyle w:val="2"/>
        <w:spacing w:line="242" w:lineRule="auto"/>
      </w:pPr>
    </w:p>
    <w:p w14:paraId="0A710F1A">
      <w:pPr>
        <w:pStyle w:val="2"/>
        <w:spacing w:line="242" w:lineRule="auto"/>
      </w:pPr>
    </w:p>
    <w:p w14:paraId="369B0007">
      <w:pPr>
        <w:pStyle w:val="2"/>
        <w:spacing w:line="242" w:lineRule="auto"/>
      </w:pPr>
    </w:p>
    <w:p w14:paraId="2C29E32E">
      <w:pPr>
        <w:pStyle w:val="2"/>
        <w:spacing w:line="242" w:lineRule="auto"/>
      </w:pPr>
    </w:p>
    <w:p w14:paraId="132FD577">
      <w:pPr>
        <w:pStyle w:val="2"/>
        <w:spacing w:line="242" w:lineRule="auto"/>
      </w:pPr>
    </w:p>
    <w:p w14:paraId="1C71E2D8">
      <w:pPr>
        <w:pStyle w:val="2"/>
        <w:spacing w:line="242" w:lineRule="auto"/>
      </w:pPr>
    </w:p>
    <w:p w14:paraId="3D04FAD3">
      <w:pPr>
        <w:spacing w:before="91" w:line="221" w:lineRule="auto"/>
        <w:ind w:left="1581"/>
        <w:rPr>
          <w:rFonts w:ascii="宋体" w:hAnsi="宋体" w:eastAsia="宋体" w:cs="宋体"/>
          <w:sz w:val="28"/>
          <w:szCs w:val="28"/>
        </w:rPr>
      </w:pPr>
      <w:r>
        <w:rPr>
          <w:rFonts w:ascii="宋体" w:hAnsi="宋体" w:eastAsia="宋体" w:cs="宋体"/>
          <w:b/>
          <w:bCs/>
          <w:spacing w:val="-3"/>
          <w:sz w:val="28"/>
          <w:szCs w:val="28"/>
        </w:rPr>
        <w:t>建设单位：</w:t>
      </w:r>
      <w:r>
        <w:rPr>
          <w:rFonts w:ascii="宋体" w:hAnsi="宋体" w:eastAsia="宋体" w:cs="宋体"/>
          <w:spacing w:val="-3"/>
          <w:sz w:val="28"/>
          <w:szCs w:val="28"/>
        </w:rPr>
        <w:t xml:space="preserve"> </w:t>
      </w:r>
      <w:r>
        <w:rPr>
          <w:rFonts w:ascii="宋体" w:hAnsi="宋体" w:eastAsia="宋体" w:cs="宋体"/>
          <w:b/>
          <w:bCs/>
          <w:spacing w:val="-3"/>
          <w:sz w:val="28"/>
          <w:szCs w:val="28"/>
        </w:rPr>
        <w:t>汕尾市天磊联信种养有限公司</w:t>
      </w:r>
    </w:p>
    <w:p w14:paraId="22305DBD">
      <w:pPr>
        <w:spacing w:before="290" w:line="413" w:lineRule="auto"/>
        <w:ind w:left="3019" w:right="1785" w:hanging="1228"/>
        <w:rPr>
          <w:rFonts w:ascii="宋体" w:hAnsi="宋体" w:eastAsia="宋体" w:cs="宋体"/>
          <w:sz w:val="28"/>
          <w:szCs w:val="28"/>
        </w:rPr>
      </w:pPr>
      <w:r>
        <w:rPr>
          <w:rFonts w:ascii="宋体" w:hAnsi="宋体" w:eastAsia="宋体" w:cs="宋体"/>
          <w:b/>
          <w:bCs/>
          <w:spacing w:val="-3"/>
          <w:sz w:val="28"/>
          <w:szCs w:val="28"/>
        </w:rPr>
        <w:t>编制单位：广东绿佳环境科技有限公司</w:t>
      </w:r>
      <w:r>
        <w:rPr>
          <w:rFonts w:ascii="宋体" w:hAnsi="宋体" w:eastAsia="宋体" w:cs="宋体"/>
          <w:spacing w:val="5"/>
          <w:sz w:val="28"/>
          <w:szCs w:val="28"/>
        </w:rPr>
        <w:t xml:space="preserve"> </w:t>
      </w:r>
      <w:r>
        <w:rPr>
          <w:rFonts w:ascii="宋体" w:hAnsi="宋体" w:eastAsia="宋体" w:cs="宋体"/>
          <w:b/>
          <w:bCs/>
          <w:spacing w:val="-3"/>
          <w:sz w:val="28"/>
          <w:szCs w:val="28"/>
        </w:rPr>
        <w:t>编制时间：</w:t>
      </w:r>
      <w:r>
        <w:rPr>
          <w:rFonts w:ascii="Times New Roman" w:hAnsi="Times New Roman" w:eastAsia="Times New Roman" w:cs="Times New Roman"/>
          <w:b/>
          <w:bCs/>
          <w:spacing w:val="-3"/>
          <w:sz w:val="28"/>
          <w:szCs w:val="28"/>
        </w:rPr>
        <w:t xml:space="preserve">2021 </w:t>
      </w:r>
      <w:r>
        <w:rPr>
          <w:rFonts w:ascii="宋体" w:hAnsi="宋体" w:eastAsia="宋体" w:cs="宋体"/>
          <w:b/>
          <w:bCs/>
          <w:spacing w:val="-3"/>
          <w:sz w:val="28"/>
          <w:szCs w:val="28"/>
        </w:rPr>
        <w:t>年</w:t>
      </w:r>
      <w:r>
        <w:rPr>
          <w:rFonts w:ascii="宋体" w:hAnsi="宋体" w:eastAsia="宋体" w:cs="宋体"/>
          <w:spacing w:val="-58"/>
          <w:sz w:val="28"/>
          <w:szCs w:val="28"/>
        </w:rPr>
        <w:t xml:space="preserve"> </w:t>
      </w:r>
      <w:r>
        <w:rPr>
          <w:rFonts w:ascii="Times New Roman" w:hAnsi="Times New Roman" w:eastAsia="Times New Roman" w:cs="Times New Roman"/>
          <w:b/>
          <w:bCs/>
          <w:spacing w:val="-3"/>
          <w:sz w:val="28"/>
          <w:szCs w:val="28"/>
        </w:rPr>
        <w:t>4</w:t>
      </w:r>
      <w:r>
        <w:rPr>
          <w:rFonts w:ascii="Times New Roman" w:hAnsi="Times New Roman" w:eastAsia="Times New Roman" w:cs="Times New Roman"/>
          <w:b/>
          <w:bCs/>
          <w:spacing w:val="16"/>
          <w:sz w:val="28"/>
          <w:szCs w:val="28"/>
        </w:rPr>
        <w:t xml:space="preserve"> </w:t>
      </w:r>
      <w:r>
        <w:rPr>
          <w:rFonts w:ascii="宋体" w:hAnsi="宋体" w:eastAsia="宋体" w:cs="宋体"/>
          <w:b/>
          <w:bCs/>
          <w:spacing w:val="-3"/>
          <w:sz w:val="28"/>
          <w:szCs w:val="28"/>
        </w:rPr>
        <w:t>月</w:t>
      </w:r>
    </w:p>
    <w:p w14:paraId="4E55BC07">
      <w:pPr>
        <w:spacing w:line="413" w:lineRule="auto"/>
        <w:rPr>
          <w:rFonts w:ascii="宋体" w:hAnsi="宋体" w:eastAsia="宋体" w:cs="宋体"/>
          <w:sz w:val="28"/>
          <w:szCs w:val="28"/>
        </w:rPr>
        <w:sectPr>
          <w:pgSz w:w="11906" w:h="16839"/>
          <w:pgMar w:top="1431" w:right="1777" w:bottom="0" w:left="1785" w:header="0" w:footer="0" w:gutter="0"/>
          <w:cols w:space="720" w:num="1"/>
        </w:sectPr>
      </w:pPr>
    </w:p>
    <w:sdt>
      <w:sdtPr>
        <w:rPr>
          <w:rFonts w:ascii="宋体" w:hAnsi="宋体" w:eastAsia="宋体" w:cs="宋体"/>
          <w:sz w:val="28"/>
          <w:szCs w:val="28"/>
        </w:rPr>
        <w:id w:val="147474568"/>
        <w:docPartObj>
          <w:docPartGallery w:val="Table of Contents"/>
          <w:docPartUnique/>
        </w:docPartObj>
      </w:sdtPr>
      <w:sdtEndPr>
        <w:rPr>
          <w:rFonts w:ascii="Times New Roman" w:hAnsi="Times New Roman" w:eastAsia="Times New Roman" w:cs="Times New Roman"/>
          <w:sz w:val="24"/>
          <w:szCs w:val="24"/>
        </w:rPr>
      </w:sdtEndPr>
      <w:sdtContent>
        <w:p w14:paraId="78C96DCB">
          <w:pPr>
            <w:spacing w:before="157" w:line="223" w:lineRule="auto"/>
            <w:ind w:left="4230"/>
            <w:rPr>
              <w:rFonts w:ascii="宋体" w:hAnsi="宋体" w:eastAsia="宋体" w:cs="宋体"/>
              <w:sz w:val="28"/>
              <w:szCs w:val="28"/>
            </w:rPr>
          </w:pPr>
          <w:r>
            <w:rPr>
              <w:rFonts w:ascii="宋体" w:hAnsi="宋体" w:eastAsia="宋体" w:cs="宋体"/>
              <w:b/>
              <w:bCs/>
              <w:spacing w:val="-35"/>
              <w:sz w:val="28"/>
              <w:szCs w:val="28"/>
            </w:rPr>
            <w:t>目录</w:t>
          </w:r>
        </w:p>
        <w:p w14:paraId="5362ED90">
          <w:pPr>
            <w:tabs>
              <w:tab w:val="right" w:leader="dot" w:pos="8522"/>
            </w:tabs>
            <w:spacing w:before="285" w:line="186" w:lineRule="auto"/>
            <w:ind w:left="246"/>
            <w:rPr>
              <w:rFonts w:ascii="Times New Roman" w:hAnsi="Times New Roman" w:eastAsia="Times New Roman" w:cs="Times New Roman"/>
              <w:sz w:val="28"/>
              <w:szCs w:val="28"/>
            </w:rPr>
          </w:pPr>
          <w:r>
            <w:fldChar w:fldCharType="begin"/>
          </w:r>
          <w:r>
            <w:instrText xml:space="preserve"> HYPERLINK \l "bookmark1" </w:instrText>
          </w:r>
          <w:r>
            <w:fldChar w:fldCharType="separate"/>
          </w:r>
          <w:r>
            <w:rPr>
              <w:rFonts w:ascii="Times New Roman" w:hAnsi="Times New Roman" w:eastAsia="Times New Roman" w:cs="Times New Roman"/>
              <w:b/>
              <w:bCs/>
              <w:spacing w:val="-12"/>
              <w:sz w:val="28"/>
              <w:szCs w:val="28"/>
            </w:rPr>
            <w:t>1</w:t>
          </w:r>
          <w:r>
            <w:rPr>
              <w:rFonts w:ascii="Times New Roman" w:hAnsi="Times New Roman" w:eastAsia="Times New Roman" w:cs="Times New Roman"/>
              <w:b/>
              <w:bCs/>
              <w:spacing w:val="5"/>
              <w:sz w:val="28"/>
              <w:szCs w:val="28"/>
            </w:rPr>
            <w:t xml:space="preserve">  </w:t>
          </w:r>
          <w:r>
            <w:rPr>
              <w:rFonts w:ascii="宋体" w:hAnsi="宋体" w:eastAsia="宋体" w:cs="宋体"/>
              <w:b/>
              <w:bCs/>
              <w:spacing w:val="-12"/>
              <w:sz w:val="28"/>
              <w:szCs w:val="28"/>
            </w:rPr>
            <w:t>概述</w:t>
          </w:r>
          <w:r>
            <w:rPr>
              <w:rFonts w:ascii="宋体" w:hAnsi="宋体" w:eastAsia="宋体" w:cs="宋体"/>
              <w:b/>
              <w:bCs/>
              <w:sz w:val="28"/>
              <w:szCs w:val="28"/>
            </w:rPr>
            <w:tab/>
          </w:r>
          <w:r>
            <w:rPr>
              <w:rFonts w:ascii="宋体" w:hAnsi="宋体" w:eastAsia="宋体" w:cs="宋体"/>
              <w:spacing w:val="-55"/>
              <w:sz w:val="28"/>
              <w:szCs w:val="28"/>
            </w:rPr>
            <w:t xml:space="preserve"> </w:t>
          </w:r>
          <w:r>
            <w:rPr>
              <w:rFonts w:ascii="Times New Roman" w:hAnsi="Times New Roman" w:eastAsia="Times New Roman" w:cs="Times New Roman"/>
              <w:b/>
              <w:bCs/>
              <w:spacing w:val="-19"/>
              <w:sz w:val="28"/>
              <w:szCs w:val="28"/>
            </w:rPr>
            <w:t>1</w:t>
          </w:r>
          <w:r>
            <w:rPr>
              <w:rFonts w:ascii="Times New Roman" w:hAnsi="Times New Roman" w:eastAsia="Times New Roman" w:cs="Times New Roman"/>
              <w:b/>
              <w:bCs/>
              <w:spacing w:val="-19"/>
              <w:sz w:val="28"/>
              <w:szCs w:val="28"/>
            </w:rPr>
            <w:fldChar w:fldCharType="end"/>
          </w:r>
        </w:p>
        <w:p w14:paraId="223D755C">
          <w:pPr>
            <w:tabs>
              <w:tab w:val="right" w:leader="dot" w:pos="8522"/>
            </w:tabs>
            <w:spacing w:before="251" w:line="242" w:lineRule="auto"/>
            <w:ind w:left="790"/>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Times New Roman" w:hAnsi="Times New Roman" w:eastAsia="Times New Roman" w:cs="Times New Roman"/>
              <w:spacing w:val="-6"/>
              <w:sz w:val="24"/>
              <w:szCs w:val="24"/>
            </w:rPr>
            <w:t>1.1</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项目由来</w:t>
          </w:r>
          <w:r>
            <w:rPr>
              <w:rFonts w:ascii="宋体" w:hAnsi="宋体" w:eastAsia="宋体" w:cs="宋体"/>
              <w:sz w:val="24"/>
              <w:szCs w:val="24"/>
            </w:rPr>
            <w:tab/>
          </w:r>
          <w:r>
            <w:rPr>
              <w:rFonts w:ascii="Times New Roman" w:hAnsi="Times New Roman" w:eastAsia="Times New Roman" w:cs="Times New Roman"/>
              <w:spacing w:val="20"/>
              <w:sz w:val="24"/>
              <w:szCs w:val="24"/>
            </w:rPr>
            <w:t>1</w:t>
          </w:r>
          <w:r>
            <w:rPr>
              <w:rFonts w:ascii="Times New Roman" w:hAnsi="Times New Roman" w:eastAsia="Times New Roman" w:cs="Times New Roman"/>
              <w:spacing w:val="20"/>
              <w:sz w:val="24"/>
              <w:szCs w:val="24"/>
            </w:rPr>
            <w:fldChar w:fldCharType="end"/>
          </w:r>
        </w:p>
        <w:p w14:paraId="242D5A8B">
          <w:pPr>
            <w:tabs>
              <w:tab w:val="right" w:leader="dot" w:pos="8522"/>
            </w:tabs>
            <w:spacing w:before="153" w:line="242" w:lineRule="auto"/>
            <w:ind w:left="790"/>
            <w:rPr>
              <w:rFonts w:ascii="Times New Roman" w:hAnsi="Times New Roman" w:eastAsia="Times New Roman" w:cs="Times New Roman"/>
              <w:sz w:val="24"/>
              <w:szCs w:val="24"/>
            </w:rPr>
          </w:pPr>
          <w:r>
            <w:fldChar w:fldCharType="begin"/>
          </w:r>
          <w:r>
            <w:instrText xml:space="preserve"> HYPERLINK \l "bookmark3" </w:instrText>
          </w:r>
          <w:r>
            <w:fldChar w:fldCharType="separate"/>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建设项目特点</w:t>
          </w:r>
          <w:r>
            <w:rPr>
              <w:rFonts w:ascii="宋体" w:hAnsi="宋体" w:eastAsia="宋体" w:cs="宋体"/>
              <w:sz w:val="24"/>
              <w:szCs w:val="24"/>
            </w:rPr>
            <w:tab/>
          </w:r>
          <w:r>
            <w:rPr>
              <w:rFonts w:ascii="Times New Roman" w:hAnsi="Times New Roman" w:eastAsia="Times New Roman" w:cs="Times New Roman"/>
              <w:spacing w:val="20"/>
              <w:sz w:val="24"/>
              <w:szCs w:val="24"/>
            </w:rPr>
            <w:t>4</w:t>
          </w:r>
          <w:r>
            <w:rPr>
              <w:rFonts w:ascii="Times New Roman" w:hAnsi="Times New Roman" w:eastAsia="Times New Roman" w:cs="Times New Roman"/>
              <w:spacing w:val="20"/>
              <w:sz w:val="24"/>
              <w:szCs w:val="24"/>
            </w:rPr>
            <w:fldChar w:fldCharType="end"/>
          </w:r>
        </w:p>
        <w:p w14:paraId="36983397">
          <w:pPr>
            <w:tabs>
              <w:tab w:val="right" w:leader="dot" w:pos="8522"/>
            </w:tabs>
            <w:spacing w:before="153" w:line="242" w:lineRule="auto"/>
            <w:ind w:left="790"/>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Times New Roman" w:hAnsi="Times New Roman" w:eastAsia="Times New Roman" w:cs="Times New Roman"/>
              <w:spacing w:val="-3"/>
              <w:sz w:val="24"/>
              <w:szCs w:val="24"/>
            </w:rPr>
            <w:t xml:space="preserve">1.3  </w:t>
          </w:r>
          <w:r>
            <w:rPr>
              <w:rFonts w:ascii="宋体" w:hAnsi="宋体" w:eastAsia="宋体" w:cs="宋体"/>
              <w:spacing w:val="-3"/>
              <w:sz w:val="24"/>
              <w:szCs w:val="24"/>
            </w:rPr>
            <w:t>评价工作程序</w:t>
          </w:r>
          <w:r>
            <w:rPr>
              <w:rFonts w:ascii="宋体" w:hAnsi="宋体" w:eastAsia="宋体" w:cs="宋体"/>
              <w:sz w:val="24"/>
              <w:szCs w:val="24"/>
            </w:rPr>
            <w:tab/>
          </w:r>
          <w:r>
            <w:rPr>
              <w:rFonts w:ascii="Times New Roman" w:hAnsi="Times New Roman" w:eastAsia="Times New Roman" w:cs="Times New Roman"/>
              <w:spacing w:val="20"/>
              <w:sz w:val="24"/>
              <w:szCs w:val="24"/>
            </w:rPr>
            <w:t>5</w:t>
          </w:r>
          <w:r>
            <w:rPr>
              <w:rFonts w:ascii="Times New Roman" w:hAnsi="Times New Roman" w:eastAsia="Times New Roman" w:cs="Times New Roman"/>
              <w:spacing w:val="20"/>
              <w:sz w:val="24"/>
              <w:szCs w:val="24"/>
            </w:rPr>
            <w:fldChar w:fldCharType="end"/>
          </w:r>
        </w:p>
        <w:p w14:paraId="5D373461">
          <w:pPr>
            <w:tabs>
              <w:tab w:val="right" w:leader="dot" w:pos="8522"/>
            </w:tabs>
            <w:spacing w:before="153" w:line="242" w:lineRule="auto"/>
            <w:ind w:left="790"/>
            <w:rPr>
              <w:rFonts w:ascii="Times New Roman" w:hAnsi="Times New Roman" w:eastAsia="Times New Roman" w:cs="Times New Roman"/>
              <w:sz w:val="24"/>
              <w:szCs w:val="24"/>
            </w:rPr>
          </w:pPr>
          <w:r>
            <w:fldChar w:fldCharType="begin"/>
          </w:r>
          <w:r>
            <w:instrText xml:space="preserve"> HYPERLINK \l "bookmark5" </w:instrText>
          </w:r>
          <w:r>
            <w:fldChar w:fldCharType="separate"/>
          </w:r>
          <w:r>
            <w:rPr>
              <w:rFonts w:ascii="Times New Roman" w:hAnsi="Times New Roman" w:eastAsia="Times New Roman" w:cs="Times New Roman"/>
              <w:spacing w:val="-2"/>
              <w:sz w:val="24"/>
              <w:szCs w:val="24"/>
            </w:rPr>
            <w:t xml:space="preserve">1.4  </w:t>
          </w:r>
          <w:r>
            <w:rPr>
              <w:rFonts w:ascii="宋体" w:hAnsi="宋体" w:eastAsia="宋体" w:cs="宋体"/>
              <w:spacing w:val="-2"/>
              <w:sz w:val="24"/>
              <w:szCs w:val="24"/>
            </w:rPr>
            <w:t>项目建设合理合法性判定分析</w:t>
          </w:r>
          <w:r>
            <w:rPr>
              <w:rFonts w:ascii="宋体" w:hAnsi="宋体" w:eastAsia="宋体" w:cs="宋体"/>
              <w:sz w:val="24"/>
              <w:szCs w:val="24"/>
            </w:rPr>
            <w:tab/>
          </w:r>
          <w:r>
            <w:rPr>
              <w:rFonts w:ascii="Times New Roman" w:hAnsi="Times New Roman" w:eastAsia="Times New Roman" w:cs="Times New Roman"/>
              <w:spacing w:val="20"/>
              <w:sz w:val="24"/>
              <w:szCs w:val="24"/>
            </w:rPr>
            <w:t>6</w:t>
          </w:r>
          <w:r>
            <w:rPr>
              <w:rFonts w:ascii="Times New Roman" w:hAnsi="Times New Roman" w:eastAsia="Times New Roman" w:cs="Times New Roman"/>
              <w:spacing w:val="20"/>
              <w:sz w:val="24"/>
              <w:szCs w:val="24"/>
            </w:rPr>
            <w:fldChar w:fldCharType="end"/>
          </w:r>
        </w:p>
        <w:p w14:paraId="763DEEFC">
          <w:pPr>
            <w:tabs>
              <w:tab w:val="right" w:leader="dot" w:pos="8522"/>
            </w:tabs>
            <w:spacing w:before="153" w:line="242" w:lineRule="auto"/>
            <w:ind w:left="790"/>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Times New Roman" w:hAnsi="Times New Roman" w:eastAsia="Times New Roman" w:cs="Times New Roman"/>
              <w:spacing w:val="-2"/>
              <w:sz w:val="24"/>
              <w:szCs w:val="24"/>
            </w:rPr>
            <w:t xml:space="preserve">1.5  </w:t>
          </w:r>
          <w:r>
            <w:rPr>
              <w:rFonts w:ascii="宋体" w:hAnsi="宋体" w:eastAsia="宋体" w:cs="宋体"/>
              <w:spacing w:val="-2"/>
              <w:sz w:val="24"/>
              <w:szCs w:val="24"/>
            </w:rPr>
            <w:t>项目主要环境问题及环境影响</w:t>
          </w:r>
          <w:r>
            <w:rPr>
              <w:rFonts w:ascii="宋体" w:hAnsi="宋体" w:eastAsia="宋体" w:cs="宋体"/>
              <w:sz w:val="24"/>
              <w:szCs w:val="24"/>
            </w:rPr>
            <w:tab/>
          </w:r>
          <w:r>
            <w:rPr>
              <w:rFonts w:ascii="Times New Roman" w:hAnsi="Times New Roman" w:eastAsia="Times New Roman" w:cs="Times New Roman"/>
              <w:spacing w:val="10"/>
              <w:sz w:val="24"/>
              <w:szCs w:val="24"/>
            </w:rPr>
            <w:t>18</w:t>
          </w:r>
          <w:r>
            <w:rPr>
              <w:rFonts w:ascii="Times New Roman" w:hAnsi="Times New Roman" w:eastAsia="Times New Roman" w:cs="Times New Roman"/>
              <w:spacing w:val="10"/>
              <w:sz w:val="24"/>
              <w:szCs w:val="24"/>
            </w:rPr>
            <w:fldChar w:fldCharType="end"/>
          </w:r>
        </w:p>
        <w:p w14:paraId="00E69FA4">
          <w:pPr>
            <w:tabs>
              <w:tab w:val="right" w:leader="dot" w:pos="8522"/>
            </w:tabs>
            <w:spacing w:before="153" w:line="242" w:lineRule="auto"/>
            <w:ind w:left="790"/>
            <w:rPr>
              <w:rFonts w:ascii="Times New Roman" w:hAnsi="Times New Roman" w:eastAsia="Times New Roman" w:cs="Times New Roman"/>
              <w:sz w:val="24"/>
              <w:szCs w:val="24"/>
            </w:rPr>
          </w:pPr>
          <w:r>
            <w:fldChar w:fldCharType="begin"/>
          </w:r>
          <w:r>
            <w:instrText xml:space="preserve"> HYPERLINK \l "bookmark7" </w:instrText>
          </w:r>
          <w:r>
            <w:fldChar w:fldCharType="separate"/>
          </w:r>
          <w:r>
            <w:rPr>
              <w:rFonts w:ascii="Times New Roman" w:hAnsi="Times New Roman" w:eastAsia="Times New Roman" w:cs="Times New Roman"/>
              <w:spacing w:val="-2"/>
              <w:sz w:val="24"/>
              <w:szCs w:val="24"/>
            </w:rPr>
            <w:t xml:space="preserve">1.6  </w:t>
          </w:r>
          <w:r>
            <w:rPr>
              <w:rFonts w:ascii="宋体" w:hAnsi="宋体" w:eastAsia="宋体" w:cs="宋体"/>
              <w:spacing w:val="-2"/>
              <w:sz w:val="24"/>
              <w:szCs w:val="24"/>
            </w:rPr>
            <w:t>环境影响评价主要结论</w:t>
          </w:r>
          <w:r>
            <w:rPr>
              <w:rFonts w:ascii="宋体" w:hAnsi="宋体" w:eastAsia="宋体" w:cs="宋体"/>
              <w:sz w:val="24"/>
              <w:szCs w:val="24"/>
            </w:rPr>
            <w:tab/>
          </w:r>
          <w:r>
            <w:rPr>
              <w:rFonts w:ascii="Times New Roman" w:hAnsi="Times New Roman" w:eastAsia="Times New Roman" w:cs="Times New Roman"/>
              <w:spacing w:val="10"/>
              <w:sz w:val="24"/>
              <w:szCs w:val="24"/>
            </w:rPr>
            <w:t>18</w:t>
          </w:r>
          <w:r>
            <w:rPr>
              <w:rFonts w:ascii="Times New Roman" w:hAnsi="Times New Roman" w:eastAsia="Times New Roman" w:cs="Times New Roman"/>
              <w:spacing w:val="10"/>
              <w:sz w:val="24"/>
              <w:szCs w:val="24"/>
            </w:rPr>
            <w:fldChar w:fldCharType="end"/>
          </w:r>
        </w:p>
        <w:p w14:paraId="7745F30C">
          <w:pPr>
            <w:tabs>
              <w:tab w:val="right" w:leader="dot" w:pos="8522"/>
            </w:tabs>
            <w:spacing w:before="245" w:line="186" w:lineRule="auto"/>
            <w:ind w:left="368"/>
            <w:rPr>
              <w:rFonts w:ascii="Times New Roman" w:hAnsi="Times New Roman" w:eastAsia="Times New Roman" w:cs="Times New Roman"/>
              <w:sz w:val="28"/>
              <w:szCs w:val="28"/>
            </w:rPr>
          </w:pPr>
          <w:r>
            <w:fldChar w:fldCharType="begin"/>
          </w:r>
          <w:r>
            <w:instrText xml:space="preserve"> HYPERLINK \l "bookmark8" </w:instrText>
          </w:r>
          <w:r>
            <w:fldChar w:fldCharType="separate"/>
          </w:r>
          <w:r>
            <w:rPr>
              <w:rFonts w:ascii="Times New Roman" w:hAnsi="Times New Roman" w:eastAsia="Times New Roman" w:cs="Times New Roman"/>
              <w:b/>
              <w:bCs/>
              <w:spacing w:val="-9"/>
              <w:sz w:val="28"/>
              <w:szCs w:val="28"/>
            </w:rPr>
            <w:t>2</w:t>
          </w:r>
          <w:r>
            <w:rPr>
              <w:rFonts w:ascii="Times New Roman" w:hAnsi="Times New Roman" w:eastAsia="Times New Roman" w:cs="Times New Roman"/>
              <w:b/>
              <w:bCs/>
              <w:spacing w:val="7"/>
              <w:sz w:val="28"/>
              <w:szCs w:val="28"/>
            </w:rPr>
            <w:t xml:space="preserve">  </w:t>
          </w:r>
          <w:r>
            <w:rPr>
              <w:rFonts w:ascii="宋体" w:hAnsi="宋体" w:eastAsia="宋体" w:cs="宋体"/>
              <w:b/>
              <w:bCs/>
              <w:spacing w:val="-9"/>
              <w:sz w:val="28"/>
              <w:szCs w:val="28"/>
            </w:rPr>
            <w:t>总则</w:t>
          </w:r>
          <w:r>
            <w:rPr>
              <w:rFonts w:ascii="宋体" w:hAnsi="宋体" w:eastAsia="宋体" w:cs="宋体"/>
              <w:b/>
              <w:bCs/>
              <w:sz w:val="28"/>
              <w:szCs w:val="28"/>
            </w:rPr>
            <w:tab/>
          </w:r>
          <w:r>
            <w:rPr>
              <w:rFonts w:ascii="Times New Roman" w:hAnsi="Times New Roman" w:eastAsia="Times New Roman" w:cs="Times New Roman"/>
              <w:b/>
              <w:bCs/>
              <w:sz w:val="28"/>
              <w:szCs w:val="28"/>
            </w:rPr>
            <w:t>23</w:t>
          </w:r>
          <w:r>
            <w:rPr>
              <w:rFonts w:ascii="Times New Roman" w:hAnsi="Times New Roman" w:eastAsia="Times New Roman" w:cs="Times New Roman"/>
              <w:b/>
              <w:bCs/>
              <w:sz w:val="28"/>
              <w:szCs w:val="28"/>
            </w:rPr>
            <w:fldChar w:fldCharType="end"/>
          </w:r>
        </w:p>
        <w:p w14:paraId="73A3FB8C">
          <w:pPr>
            <w:tabs>
              <w:tab w:val="right" w:leader="dot" w:pos="8522"/>
            </w:tabs>
            <w:spacing w:before="251" w:line="242" w:lineRule="auto"/>
            <w:ind w:left="767"/>
            <w:rPr>
              <w:rFonts w:ascii="Times New Roman" w:hAnsi="Times New Roman" w:eastAsia="Times New Roman" w:cs="Times New Roman"/>
              <w:sz w:val="24"/>
              <w:szCs w:val="24"/>
            </w:rPr>
          </w:pPr>
          <w:r>
            <w:fldChar w:fldCharType="begin"/>
          </w:r>
          <w:r>
            <w:instrText xml:space="preserve"> HYPERLINK \l "bookmark9" </w:instrText>
          </w:r>
          <w:r>
            <w:fldChar w:fldCharType="separate"/>
          </w:r>
          <w:r>
            <w:rPr>
              <w:rFonts w:ascii="Times New Roman" w:hAnsi="Times New Roman" w:eastAsia="Times New Roman" w:cs="Times New Roman"/>
              <w:spacing w:val="-3"/>
              <w:sz w:val="24"/>
              <w:szCs w:val="24"/>
            </w:rPr>
            <w:t>2.1</w:t>
          </w:r>
          <w:r>
            <w:rPr>
              <w:rFonts w:ascii="Times New Roman" w:hAnsi="Times New Roman" w:eastAsia="Times New Roman" w:cs="Times New Roman"/>
              <w:spacing w:val="7"/>
              <w:sz w:val="24"/>
              <w:szCs w:val="24"/>
            </w:rPr>
            <w:t xml:space="preserve">  </w:t>
          </w:r>
          <w:r>
            <w:rPr>
              <w:rFonts w:ascii="宋体" w:hAnsi="宋体" w:eastAsia="宋体" w:cs="宋体"/>
              <w:spacing w:val="-3"/>
              <w:sz w:val="24"/>
              <w:szCs w:val="24"/>
            </w:rPr>
            <w:t>编制依据</w:t>
          </w:r>
          <w:r>
            <w:rPr>
              <w:rFonts w:ascii="宋体" w:hAnsi="宋体" w:eastAsia="宋体" w:cs="宋体"/>
              <w:sz w:val="24"/>
              <w:szCs w:val="24"/>
            </w:rPr>
            <w:tab/>
          </w:r>
          <w:r>
            <w:rPr>
              <w:rFonts w:ascii="Times New Roman" w:hAnsi="Times New Roman" w:eastAsia="Times New Roman" w:cs="Times New Roman"/>
              <w:spacing w:val="10"/>
              <w:sz w:val="24"/>
              <w:szCs w:val="24"/>
            </w:rPr>
            <w:t>23</w:t>
          </w:r>
          <w:r>
            <w:rPr>
              <w:rFonts w:ascii="Times New Roman" w:hAnsi="Times New Roman" w:eastAsia="Times New Roman" w:cs="Times New Roman"/>
              <w:spacing w:val="10"/>
              <w:sz w:val="24"/>
              <w:szCs w:val="24"/>
            </w:rPr>
            <w:fldChar w:fldCharType="end"/>
          </w:r>
        </w:p>
        <w:p w14:paraId="683B1911">
          <w:pPr>
            <w:tabs>
              <w:tab w:val="right" w:leader="dot" w:pos="8522"/>
            </w:tabs>
            <w:spacing w:before="153" w:line="242" w:lineRule="auto"/>
            <w:ind w:left="767"/>
            <w:rPr>
              <w:rFonts w:ascii="Times New Roman" w:hAnsi="Times New Roman" w:eastAsia="Times New Roman" w:cs="Times New Roman"/>
              <w:sz w:val="24"/>
              <w:szCs w:val="24"/>
            </w:rPr>
          </w:pPr>
          <w:r>
            <w:fldChar w:fldCharType="begin"/>
          </w:r>
          <w:r>
            <w:instrText xml:space="preserve"> HYPERLINK \l "bookmark10" </w:instrText>
          </w:r>
          <w:r>
            <w:fldChar w:fldCharType="separate"/>
          </w:r>
          <w:r>
            <w:rPr>
              <w:rFonts w:ascii="Times New Roman" w:hAnsi="Times New Roman" w:eastAsia="Times New Roman" w:cs="Times New Roman"/>
              <w:spacing w:val="-1"/>
              <w:sz w:val="24"/>
              <w:szCs w:val="24"/>
            </w:rPr>
            <w:t xml:space="preserve">2.2  </w:t>
          </w:r>
          <w:r>
            <w:rPr>
              <w:rFonts w:ascii="宋体" w:hAnsi="宋体" w:eastAsia="宋体" w:cs="宋体"/>
              <w:spacing w:val="-1"/>
              <w:sz w:val="24"/>
              <w:szCs w:val="24"/>
            </w:rPr>
            <w:t>评价目的、原则和方法</w:t>
          </w:r>
          <w:r>
            <w:rPr>
              <w:rFonts w:ascii="宋体" w:hAnsi="宋体" w:eastAsia="宋体" w:cs="宋体"/>
              <w:sz w:val="24"/>
              <w:szCs w:val="24"/>
            </w:rPr>
            <w:tab/>
          </w:r>
          <w:r>
            <w:rPr>
              <w:rFonts w:ascii="Times New Roman" w:hAnsi="Times New Roman" w:eastAsia="Times New Roman" w:cs="Times New Roman"/>
              <w:spacing w:val="10"/>
              <w:sz w:val="24"/>
              <w:szCs w:val="24"/>
            </w:rPr>
            <w:t>26</w:t>
          </w:r>
          <w:r>
            <w:rPr>
              <w:rFonts w:ascii="Times New Roman" w:hAnsi="Times New Roman" w:eastAsia="Times New Roman" w:cs="Times New Roman"/>
              <w:spacing w:val="10"/>
              <w:sz w:val="24"/>
              <w:szCs w:val="24"/>
            </w:rPr>
            <w:fldChar w:fldCharType="end"/>
          </w:r>
        </w:p>
        <w:p w14:paraId="2C1DD72B">
          <w:pPr>
            <w:tabs>
              <w:tab w:val="right" w:leader="dot" w:pos="8522"/>
            </w:tabs>
            <w:spacing w:before="153" w:line="242" w:lineRule="auto"/>
            <w:ind w:left="767"/>
            <w:rPr>
              <w:rFonts w:ascii="Times New Roman" w:hAnsi="Times New Roman" w:eastAsia="Times New Roman" w:cs="Times New Roman"/>
              <w:sz w:val="24"/>
              <w:szCs w:val="24"/>
            </w:rPr>
          </w:pPr>
          <w:r>
            <w:fldChar w:fldCharType="begin"/>
          </w:r>
          <w:r>
            <w:instrText xml:space="preserve"> HYPERLINK \l "bookmark11" </w:instrText>
          </w:r>
          <w:r>
            <w:fldChar w:fldCharType="separate"/>
          </w:r>
          <w:r>
            <w:rPr>
              <w:rFonts w:ascii="Times New Roman" w:hAnsi="Times New Roman" w:eastAsia="Times New Roman" w:cs="Times New Roman"/>
              <w:spacing w:val="-1"/>
              <w:sz w:val="24"/>
              <w:szCs w:val="24"/>
            </w:rPr>
            <w:t xml:space="preserve">2.3  </w:t>
          </w:r>
          <w:r>
            <w:rPr>
              <w:rFonts w:ascii="宋体" w:hAnsi="宋体" w:eastAsia="宋体" w:cs="宋体"/>
              <w:spacing w:val="-1"/>
              <w:sz w:val="24"/>
              <w:szCs w:val="24"/>
            </w:rPr>
            <w:t>环境功能区划</w:t>
          </w:r>
          <w:r>
            <w:rPr>
              <w:rFonts w:ascii="宋体" w:hAnsi="宋体" w:eastAsia="宋体" w:cs="宋体"/>
              <w:sz w:val="24"/>
              <w:szCs w:val="24"/>
            </w:rPr>
            <w:tab/>
          </w:r>
          <w:r>
            <w:rPr>
              <w:rFonts w:ascii="Times New Roman" w:hAnsi="Times New Roman" w:eastAsia="Times New Roman" w:cs="Times New Roman"/>
              <w:spacing w:val="10"/>
              <w:sz w:val="24"/>
              <w:szCs w:val="24"/>
            </w:rPr>
            <w:t>28</w:t>
          </w:r>
          <w:r>
            <w:rPr>
              <w:rFonts w:ascii="Times New Roman" w:hAnsi="Times New Roman" w:eastAsia="Times New Roman" w:cs="Times New Roman"/>
              <w:spacing w:val="10"/>
              <w:sz w:val="24"/>
              <w:szCs w:val="24"/>
            </w:rPr>
            <w:fldChar w:fldCharType="end"/>
          </w:r>
        </w:p>
        <w:p w14:paraId="3C3C10AF">
          <w:pPr>
            <w:tabs>
              <w:tab w:val="right" w:leader="dot" w:pos="8522"/>
            </w:tabs>
            <w:spacing w:before="154" w:line="242" w:lineRule="auto"/>
            <w:ind w:left="767"/>
            <w:rPr>
              <w:rFonts w:ascii="Times New Roman" w:hAnsi="Times New Roman" w:eastAsia="Times New Roman" w:cs="Times New Roman"/>
              <w:sz w:val="24"/>
              <w:szCs w:val="24"/>
            </w:rPr>
          </w:pPr>
          <w:r>
            <w:fldChar w:fldCharType="begin"/>
          </w:r>
          <w:r>
            <w:instrText xml:space="preserve"> HYPERLINK \l "bookmark12" </w:instrText>
          </w:r>
          <w:r>
            <w:fldChar w:fldCharType="separate"/>
          </w:r>
          <w:r>
            <w:rPr>
              <w:rFonts w:ascii="Times New Roman" w:hAnsi="Times New Roman" w:eastAsia="Times New Roman" w:cs="Times New Roman"/>
              <w:spacing w:val="-1"/>
              <w:sz w:val="24"/>
              <w:szCs w:val="24"/>
            </w:rPr>
            <w:t xml:space="preserve">2.4  </w:t>
          </w:r>
          <w:r>
            <w:rPr>
              <w:rFonts w:ascii="宋体" w:hAnsi="宋体" w:eastAsia="宋体" w:cs="宋体"/>
              <w:spacing w:val="-1"/>
              <w:sz w:val="24"/>
              <w:szCs w:val="24"/>
            </w:rPr>
            <w:t>评价等级与范围</w:t>
          </w:r>
          <w:r>
            <w:rPr>
              <w:rFonts w:ascii="宋体" w:hAnsi="宋体" w:eastAsia="宋体" w:cs="宋体"/>
              <w:sz w:val="24"/>
              <w:szCs w:val="24"/>
            </w:rPr>
            <w:tab/>
          </w:r>
          <w:r>
            <w:rPr>
              <w:rFonts w:ascii="Times New Roman" w:hAnsi="Times New Roman" w:eastAsia="Times New Roman" w:cs="Times New Roman"/>
              <w:spacing w:val="10"/>
              <w:sz w:val="24"/>
              <w:szCs w:val="24"/>
            </w:rPr>
            <w:t>34</w:t>
          </w:r>
          <w:r>
            <w:rPr>
              <w:rFonts w:ascii="Times New Roman" w:hAnsi="Times New Roman" w:eastAsia="Times New Roman" w:cs="Times New Roman"/>
              <w:spacing w:val="10"/>
              <w:sz w:val="24"/>
              <w:szCs w:val="24"/>
            </w:rPr>
            <w:fldChar w:fldCharType="end"/>
          </w:r>
        </w:p>
        <w:p w14:paraId="608E2D64">
          <w:pPr>
            <w:tabs>
              <w:tab w:val="right" w:leader="dot" w:pos="8522"/>
            </w:tabs>
            <w:spacing w:before="153" w:line="242" w:lineRule="auto"/>
            <w:ind w:left="767"/>
            <w:rPr>
              <w:rFonts w:ascii="Times New Roman" w:hAnsi="Times New Roman" w:eastAsia="Times New Roman" w:cs="Times New Roman"/>
              <w:sz w:val="24"/>
              <w:szCs w:val="24"/>
            </w:rPr>
          </w:pPr>
          <w:r>
            <w:fldChar w:fldCharType="begin"/>
          </w:r>
          <w:r>
            <w:instrText xml:space="preserve"> HYPERLINK \l "bookmark13" </w:instrText>
          </w:r>
          <w:r>
            <w:fldChar w:fldCharType="separate"/>
          </w:r>
          <w:r>
            <w:rPr>
              <w:rFonts w:ascii="Times New Roman" w:hAnsi="Times New Roman" w:eastAsia="Times New Roman" w:cs="Times New Roman"/>
              <w:spacing w:val="-1"/>
              <w:sz w:val="24"/>
              <w:szCs w:val="24"/>
            </w:rPr>
            <w:t xml:space="preserve">2.5  </w:t>
          </w:r>
          <w:r>
            <w:rPr>
              <w:rFonts w:ascii="宋体" w:hAnsi="宋体" w:eastAsia="宋体" w:cs="宋体"/>
              <w:spacing w:val="-1"/>
              <w:sz w:val="24"/>
              <w:szCs w:val="24"/>
            </w:rPr>
            <w:t>评价标准</w:t>
          </w:r>
          <w:r>
            <w:rPr>
              <w:rFonts w:ascii="宋体" w:hAnsi="宋体" w:eastAsia="宋体" w:cs="宋体"/>
              <w:sz w:val="24"/>
              <w:szCs w:val="24"/>
            </w:rPr>
            <w:tab/>
          </w:r>
          <w:r>
            <w:rPr>
              <w:rFonts w:ascii="Times New Roman" w:hAnsi="Times New Roman" w:eastAsia="Times New Roman" w:cs="Times New Roman"/>
              <w:spacing w:val="10"/>
              <w:sz w:val="24"/>
              <w:szCs w:val="24"/>
            </w:rPr>
            <w:t>40</w:t>
          </w:r>
          <w:r>
            <w:rPr>
              <w:rFonts w:ascii="Times New Roman" w:hAnsi="Times New Roman" w:eastAsia="Times New Roman" w:cs="Times New Roman"/>
              <w:spacing w:val="10"/>
              <w:sz w:val="24"/>
              <w:szCs w:val="24"/>
            </w:rPr>
            <w:fldChar w:fldCharType="end"/>
          </w:r>
        </w:p>
        <w:p w14:paraId="2BE2BF7E">
          <w:pPr>
            <w:tabs>
              <w:tab w:val="right" w:leader="dot" w:pos="8522"/>
            </w:tabs>
            <w:spacing w:before="154" w:line="242" w:lineRule="auto"/>
            <w:ind w:left="767"/>
            <w:rPr>
              <w:rFonts w:ascii="Times New Roman" w:hAnsi="Times New Roman" w:eastAsia="Times New Roman" w:cs="Times New Roman"/>
              <w:sz w:val="24"/>
              <w:szCs w:val="24"/>
            </w:rPr>
          </w:pPr>
          <w:r>
            <w:fldChar w:fldCharType="begin"/>
          </w:r>
          <w:r>
            <w:instrText xml:space="preserve"> HYPERLINK \l "bookmark14" </w:instrText>
          </w:r>
          <w:r>
            <w:fldChar w:fldCharType="separate"/>
          </w:r>
          <w:r>
            <w:rPr>
              <w:rFonts w:ascii="Times New Roman" w:hAnsi="Times New Roman" w:eastAsia="Times New Roman" w:cs="Times New Roman"/>
              <w:spacing w:val="-1"/>
              <w:sz w:val="24"/>
              <w:szCs w:val="24"/>
            </w:rPr>
            <w:t xml:space="preserve">2.6  </w:t>
          </w:r>
          <w:r>
            <w:rPr>
              <w:rFonts w:ascii="宋体" w:hAnsi="宋体" w:eastAsia="宋体" w:cs="宋体"/>
              <w:spacing w:val="-1"/>
              <w:sz w:val="24"/>
              <w:szCs w:val="24"/>
            </w:rPr>
            <w:t>环境影响要素识别和评价因子筛选</w:t>
          </w:r>
          <w:r>
            <w:rPr>
              <w:rFonts w:ascii="宋体" w:hAnsi="宋体" w:eastAsia="宋体" w:cs="宋体"/>
              <w:sz w:val="24"/>
              <w:szCs w:val="24"/>
            </w:rPr>
            <w:tab/>
          </w:r>
          <w:r>
            <w:rPr>
              <w:rFonts w:ascii="Times New Roman" w:hAnsi="Times New Roman" w:eastAsia="Times New Roman" w:cs="Times New Roman"/>
              <w:spacing w:val="10"/>
              <w:sz w:val="24"/>
              <w:szCs w:val="24"/>
            </w:rPr>
            <w:t>45</w:t>
          </w:r>
          <w:r>
            <w:rPr>
              <w:rFonts w:ascii="Times New Roman" w:hAnsi="Times New Roman" w:eastAsia="Times New Roman" w:cs="Times New Roman"/>
              <w:spacing w:val="10"/>
              <w:sz w:val="24"/>
              <w:szCs w:val="24"/>
            </w:rPr>
            <w:fldChar w:fldCharType="end"/>
          </w:r>
        </w:p>
        <w:p w14:paraId="35925852">
          <w:pPr>
            <w:tabs>
              <w:tab w:val="right" w:leader="dot" w:pos="8522"/>
            </w:tabs>
            <w:spacing w:before="153" w:line="242" w:lineRule="auto"/>
            <w:ind w:left="767"/>
            <w:rPr>
              <w:rFonts w:ascii="Times New Roman" w:hAnsi="Times New Roman" w:eastAsia="Times New Roman" w:cs="Times New Roman"/>
              <w:sz w:val="24"/>
              <w:szCs w:val="24"/>
            </w:rPr>
          </w:pPr>
          <w:r>
            <w:fldChar w:fldCharType="begin"/>
          </w:r>
          <w:r>
            <w:instrText xml:space="preserve"> HYPERLINK \l "bookmark15" </w:instrText>
          </w:r>
          <w:r>
            <w:fldChar w:fldCharType="separate"/>
          </w:r>
          <w:r>
            <w:rPr>
              <w:rFonts w:ascii="Times New Roman" w:hAnsi="Times New Roman" w:eastAsia="Times New Roman" w:cs="Times New Roman"/>
              <w:spacing w:val="-1"/>
              <w:sz w:val="24"/>
              <w:szCs w:val="24"/>
            </w:rPr>
            <w:t xml:space="preserve">2.7  </w:t>
          </w:r>
          <w:r>
            <w:rPr>
              <w:rFonts w:ascii="宋体" w:hAnsi="宋体" w:eastAsia="宋体" w:cs="宋体"/>
              <w:spacing w:val="-1"/>
              <w:sz w:val="24"/>
              <w:szCs w:val="24"/>
            </w:rPr>
            <w:t>评价内容及重点</w:t>
          </w:r>
          <w:r>
            <w:rPr>
              <w:rFonts w:ascii="宋体" w:hAnsi="宋体" w:eastAsia="宋体" w:cs="宋体"/>
              <w:sz w:val="24"/>
              <w:szCs w:val="24"/>
            </w:rPr>
            <w:tab/>
          </w:r>
          <w:r>
            <w:rPr>
              <w:rFonts w:ascii="Times New Roman" w:hAnsi="Times New Roman" w:eastAsia="Times New Roman" w:cs="Times New Roman"/>
              <w:spacing w:val="10"/>
              <w:sz w:val="24"/>
              <w:szCs w:val="24"/>
            </w:rPr>
            <w:t>47</w:t>
          </w:r>
          <w:r>
            <w:rPr>
              <w:rFonts w:ascii="Times New Roman" w:hAnsi="Times New Roman" w:eastAsia="Times New Roman" w:cs="Times New Roman"/>
              <w:spacing w:val="10"/>
              <w:sz w:val="24"/>
              <w:szCs w:val="24"/>
            </w:rPr>
            <w:fldChar w:fldCharType="end"/>
          </w:r>
        </w:p>
        <w:p w14:paraId="389B2377">
          <w:pPr>
            <w:tabs>
              <w:tab w:val="right" w:leader="dot" w:pos="8522"/>
            </w:tabs>
            <w:spacing w:before="153" w:line="242" w:lineRule="auto"/>
            <w:ind w:left="767"/>
            <w:rPr>
              <w:rFonts w:ascii="Times New Roman" w:hAnsi="Times New Roman" w:eastAsia="Times New Roman" w:cs="Times New Roman"/>
              <w:sz w:val="24"/>
              <w:szCs w:val="24"/>
            </w:rPr>
          </w:pPr>
          <w:r>
            <w:fldChar w:fldCharType="begin"/>
          </w:r>
          <w:r>
            <w:instrText xml:space="preserve"> HYPERLINK \l "bookmark16" </w:instrText>
          </w:r>
          <w:r>
            <w:fldChar w:fldCharType="separate"/>
          </w:r>
          <w:r>
            <w:rPr>
              <w:rFonts w:ascii="Times New Roman" w:hAnsi="Times New Roman" w:eastAsia="Times New Roman" w:cs="Times New Roman"/>
              <w:spacing w:val="-1"/>
              <w:sz w:val="24"/>
              <w:szCs w:val="24"/>
            </w:rPr>
            <w:t xml:space="preserve">2.8  </w:t>
          </w:r>
          <w:r>
            <w:rPr>
              <w:rFonts w:ascii="宋体" w:hAnsi="宋体" w:eastAsia="宋体" w:cs="宋体"/>
              <w:spacing w:val="-1"/>
              <w:sz w:val="24"/>
              <w:szCs w:val="24"/>
            </w:rPr>
            <w:t>污染控制与环境保护目标</w:t>
          </w:r>
          <w:r>
            <w:rPr>
              <w:rFonts w:ascii="宋体" w:hAnsi="宋体" w:eastAsia="宋体" w:cs="宋体"/>
              <w:sz w:val="24"/>
              <w:szCs w:val="24"/>
            </w:rPr>
            <w:tab/>
          </w:r>
          <w:r>
            <w:rPr>
              <w:rFonts w:ascii="Times New Roman" w:hAnsi="Times New Roman" w:eastAsia="Times New Roman" w:cs="Times New Roman"/>
              <w:spacing w:val="10"/>
              <w:sz w:val="24"/>
              <w:szCs w:val="24"/>
            </w:rPr>
            <w:t>47</w:t>
          </w:r>
          <w:r>
            <w:rPr>
              <w:rFonts w:ascii="Times New Roman" w:hAnsi="Times New Roman" w:eastAsia="Times New Roman" w:cs="Times New Roman"/>
              <w:spacing w:val="10"/>
              <w:sz w:val="24"/>
              <w:szCs w:val="24"/>
            </w:rPr>
            <w:fldChar w:fldCharType="end"/>
          </w:r>
        </w:p>
        <w:p w14:paraId="71A572C1">
          <w:pPr>
            <w:tabs>
              <w:tab w:val="right" w:leader="dot" w:pos="8522"/>
            </w:tabs>
            <w:spacing w:before="245" w:line="186" w:lineRule="auto"/>
            <w:ind w:left="366"/>
            <w:rPr>
              <w:rFonts w:ascii="Times New Roman" w:hAnsi="Times New Roman" w:eastAsia="Times New Roman" w:cs="Times New Roman"/>
              <w:sz w:val="28"/>
              <w:szCs w:val="28"/>
            </w:rPr>
          </w:pPr>
          <w:r>
            <w:fldChar w:fldCharType="begin"/>
          </w:r>
          <w:r>
            <w:instrText xml:space="preserve"> HYPERLINK \l "bookmark17" </w:instrText>
          </w:r>
          <w:r>
            <w:fldChar w:fldCharType="separate"/>
          </w:r>
          <w:r>
            <w:rPr>
              <w:rFonts w:ascii="Times New Roman" w:hAnsi="Times New Roman" w:eastAsia="Times New Roman" w:cs="Times New Roman"/>
              <w:b/>
              <w:bCs/>
              <w:spacing w:val="-2"/>
              <w:sz w:val="28"/>
              <w:szCs w:val="28"/>
            </w:rPr>
            <w:t xml:space="preserve">3  </w:t>
          </w:r>
          <w:r>
            <w:rPr>
              <w:rFonts w:ascii="宋体" w:hAnsi="宋体" w:eastAsia="宋体" w:cs="宋体"/>
              <w:b/>
              <w:bCs/>
              <w:spacing w:val="-2"/>
              <w:sz w:val="28"/>
              <w:szCs w:val="28"/>
            </w:rPr>
            <w:t>项目概况及工程分析</w:t>
          </w:r>
          <w:r>
            <w:rPr>
              <w:rFonts w:ascii="宋体" w:hAnsi="宋体" w:eastAsia="宋体" w:cs="宋体"/>
              <w:b/>
              <w:bCs/>
              <w:sz w:val="28"/>
              <w:szCs w:val="28"/>
            </w:rPr>
            <w:tab/>
          </w:r>
          <w:r>
            <w:rPr>
              <w:rFonts w:ascii="宋体" w:hAnsi="宋体" w:eastAsia="宋体" w:cs="宋体"/>
              <w:spacing w:val="-98"/>
              <w:sz w:val="28"/>
              <w:szCs w:val="28"/>
            </w:rPr>
            <w:t xml:space="preserve"> </w:t>
          </w:r>
          <w:r>
            <w:rPr>
              <w:rFonts w:ascii="Times New Roman" w:hAnsi="Times New Roman" w:eastAsia="Times New Roman" w:cs="Times New Roman"/>
              <w:b/>
              <w:bCs/>
              <w:spacing w:val="-4"/>
              <w:sz w:val="28"/>
              <w:szCs w:val="28"/>
            </w:rPr>
            <w:t>51</w:t>
          </w:r>
          <w:r>
            <w:rPr>
              <w:rFonts w:ascii="Times New Roman" w:hAnsi="Times New Roman" w:eastAsia="Times New Roman" w:cs="Times New Roman"/>
              <w:b/>
              <w:bCs/>
              <w:spacing w:val="-4"/>
              <w:sz w:val="28"/>
              <w:szCs w:val="28"/>
            </w:rPr>
            <w:fldChar w:fldCharType="end"/>
          </w:r>
        </w:p>
        <w:p w14:paraId="67C9DDBF">
          <w:pPr>
            <w:tabs>
              <w:tab w:val="right" w:leader="dot" w:pos="8522"/>
            </w:tabs>
            <w:spacing w:before="251" w:line="242" w:lineRule="auto"/>
            <w:ind w:left="772"/>
            <w:rPr>
              <w:rFonts w:ascii="Times New Roman" w:hAnsi="Times New Roman" w:eastAsia="Times New Roman" w:cs="Times New Roman"/>
              <w:sz w:val="24"/>
              <w:szCs w:val="24"/>
            </w:rPr>
          </w:pPr>
          <w:r>
            <w:fldChar w:fldCharType="begin"/>
          </w:r>
          <w:r>
            <w:instrText xml:space="preserve"> HYPERLINK \l "bookmark18" </w:instrText>
          </w:r>
          <w:r>
            <w:fldChar w:fldCharType="separate"/>
          </w:r>
          <w:r>
            <w:rPr>
              <w:rFonts w:ascii="Times New Roman" w:hAnsi="Times New Roman" w:eastAsia="Times New Roman" w:cs="Times New Roman"/>
              <w:spacing w:val="-1"/>
              <w:sz w:val="24"/>
              <w:szCs w:val="24"/>
            </w:rPr>
            <w:t xml:space="preserve">3.1  </w:t>
          </w:r>
          <w:r>
            <w:rPr>
              <w:rFonts w:ascii="宋体" w:hAnsi="宋体" w:eastAsia="宋体" w:cs="宋体"/>
              <w:spacing w:val="-1"/>
              <w:sz w:val="24"/>
              <w:szCs w:val="24"/>
            </w:rPr>
            <w:t>建设项目概况</w:t>
          </w:r>
          <w:r>
            <w:rPr>
              <w:rFonts w:ascii="宋体" w:hAnsi="宋体" w:eastAsia="宋体" w:cs="宋体"/>
              <w:sz w:val="24"/>
              <w:szCs w:val="24"/>
            </w:rPr>
            <w:tab/>
          </w:r>
          <w:r>
            <w:rPr>
              <w:rFonts w:ascii="Times New Roman" w:hAnsi="Times New Roman" w:eastAsia="Times New Roman" w:cs="Times New Roman"/>
              <w:spacing w:val="10"/>
              <w:sz w:val="24"/>
              <w:szCs w:val="24"/>
            </w:rPr>
            <w:t>51</w:t>
          </w:r>
          <w:r>
            <w:rPr>
              <w:rFonts w:ascii="Times New Roman" w:hAnsi="Times New Roman" w:eastAsia="Times New Roman" w:cs="Times New Roman"/>
              <w:spacing w:val="10"/>
              <w:sz w:val="24"/>
              <w:szCs w:val="24"/>
            </w:rPr>
            <w:fldChar w:fldCharType="end"/>
          </w:r>
        </w:p>
        <w:p w14:paraId="73B636CF">
          <w:pPr>
            <w:tabs>
              <w:tab w:val="right" w:leader="dot" w:pos="8522"/>
            </w:tabs>
            <w:spacing w:before="153" w:line="242" w:lineRule="auto"/>
            <w:ind w:left="772"/>
            <w:rPr>
              <w:rFonts w:ascii="Times New Roman" w:hAnsi="Times New Roman" w:eastAsia="Times New Roman" w:cs="Times New Roman"/>
              <w:sz w:val="24"/>
              <w:szCs w:val="24"/>
            </w:rPr>
          </w:pPr>
          <w:r>
            <w:fldChar w:fldCharType="begin"/>
          </w:r>
          <w:r>
            <w:instrText xml:space="preserve"> HYPERLINK \l "bookmark19" </w:instrText>
          </w:r>
          <w:r>
            <w:fldChar w:fldCharType="separate"/>
          </w:r>
          <w:r>
            <w:rPr>
              <w:rFonts w:ascii="Times New Roman" w:hAnsi="Times New Roman" w:eastAsia="Times New Roman" w:cs="Times New Roman"/>
              <w:spacing w:val="-1"/>
              <w:sz w:val="24"/>
              <w:szCs w:val="24"/>
            </w:rPr>
            <w:t xml:space="preserve">3.2  </w:t>
          </w:r>
          <w:r>
            <w:rPr>
              <w:rFonts w:ascii="宋体" w:hAnsi="宋体" w:eastAsia="宋体" w:cs="宋体"/>
              <w:spacing w:val="-1"/>
              <w:sz w:val="24"/>
              <w:szCs w:val="24"/>
            </w:rPr>
            <w:t>辅助公用工程</w:t>
          </w:r>
          <w:r>
            <w:rPr>
              <w:rFonts w:ascii="宋体" w:hAnsi="宋体" w:eastAsia="宋体" w:cs="宋体"/>
              <w:sz w:val="24"/>
              <w:szCs w:val="24"/>
            </w:rPr>
            <w:tab/>
          </w:r>
          <w:r>
            <w:rPr>
              <w:rFonts w:ascii="Times New Roman" w:hAnsi="Times New Roman" w:eastAsia="Times New Roman" w:cs="Times New Roman"/>
              <w:spacing w:val="10"/>
              <w:sz w:val="24"/>
              <w:szCs w:val="24"/>
            </w:rPr>
            <w:t>56</w:t>
          </w:r>
          <w:r>
            <w:rPr>
              <w:rFonts w:ascii="Times New Roman" w:hAnsi="Times New Roman" w:eastAsia="Times New Roman" w:cs="Times New Roman"/>
              <w:spacing w:val="10"/>
              <w:sz w:val="24"/>
              <w:szCs w:val="24"/>
            </w:rPr>
            <w:fldChar w:fldCharType="end"/>
          </w:r>
        </w:p>
        <w:p w14:paraId="5D4B995D">
          <w:pPr>
            <w:tabs>
              <w:tab w:val="right" w:leader="dot" w:pos="8522"/>
            </w:tabs>
            <w:spacing w:before="154" w:line="242" w:lineRule="auto"/>
            <w:ind w:left="772"/>
            <w:rPr>
              <w:rFonts w:ascii="Times New Roman" w:hAnsi="Times New Roman" w:eastAsia="Times New Roman" w:cs="Times New Roman"/>
              <w:sz w:val="24"/>
              <w:szCs w:val="24"/>
            </w:rPr>
          </w:pPr>
          <w:r>
            <w:fldChar w:fldCharType="begin"/>
          </w:r>
          <w:r>
            <w:instrText xml:space="preserve"> HYPERLINK \l "bookmark20" </w:instrText>
          </w:r>
          <w:r>
            <w:fldChar w:fldCharType="separate"/>
          </w:r>
          <w:r>
            <w:rPr>
              <w:rFonts w:ascii="Times New Roman" w:hAnsi="Times New Roman" w:eastAsia="Times New Roman" w:cs="Times New Roman"/>
              <w:spacing w:val="-1"/>
              <w:sz w:val="24"/>
              <w:szCs w:val="24"/>
            </w:rPr>
            <w:t xml:space="preserve">3.3  </w:t>
          </w:r>
          <w:r>
            <w:rPr>
              <w:rFonts w:ascii="宋体" w:hAnsi="宋体" w:eastAsia="宋体" w:cs="宋体"/>
              <w:spacing w:val="-1"/>
              <w:sz w:val="24"/>
              <w:szCs w:val="24"/>
            </w:rPr>
            <w:t>项目工艺流程及产污环节</w:t>
          </w:r>
          <w:r>
            <w:rPr>
              <w:rFonts w:ascii="宋体" w:hAnsi="宋体" w:eastAsia="宋体" w:cs="宋体"/>
              <w:sz w:val="24"/>
              <w:szCs w:val="24"/>
            </w:rPr>
            <w:tab/>
          </w:r>
          <w:r>
            <w:rPr>
              <w:rFonts w:ascii="Times New Roman" w:hAnsi="Times New Roman" w:eastAsia="Times New Roman" w:cs="Times New Roman"/>
              <w:spacing w:val="10"/>
              <w:sz w:val="24"/>
              <w:szCs w:val="24"/>
            </w:rPr>
            <w:t>61</w:t>
          </w:r>
          <w:r>
            <w:rPr>
              <w:rFonts w:ascii="Times New Roman" w:hAnsi="Times New Roman" w:eastAsia="Times New Roman" w:cs="Times New Roman"/>
              <w:spacing w:val="10"/>
              <w:sz w:val="24"/>
              <w:szCs w:val="24"/>
            </w:rPr>
            <w:fldChar w:fldCharType="end"/>
          </w:r>
        </w:p>
        <w:p w14:paraId="25456897">
          <w:pPr>
            <w:tabs>
              <w:tab w:val="right" w:leader="dot" w:pos="8522"/>
            </w:tabs>
            <w:spacing w:before="153" w:line="242" w:lineRule="auto"/>
            <w:ind w:left="772"/>
            <w:rPr>
              <w:rFonts w:ascii="Times New Roman" w:hAnsi="Times New Roman" w:eastAsia="Times New Roman" w:cs="Times New Roman"/>
              <w:sz w:val="24"/>
              <w:szCs w:val="24"/>
            </w:rPr>
          </w:pPr>
          <w:r>
            <w:fldChar w:fldCharType="begin"/>
          </w:r>
          <w:r>
            <w:instrText xml:space="preserve"> HYPERLINK \l "bookmark21" </w:instrText>
          </w:r>
          <w:r>
            <w:fldChar w:fldCharType="separate"/>
          </w:r>
          <w:r>
            <w:rPr>
              <w:rFonts w:ascii="Times New Roman" w:hAnsi="Times New Roman" w:eastAsia="Times New Roman" w:cs="Times New Roman"/>
              <w:spacing w:val="-1"/>
              <w:sz w:val="24"/>
              <w:szCs w:val="24"/>
            </w:rPr>
            <w:t xml:space="preserve">3.4  </w:t>
          </w:r>
          <w:r>
            <w:rPr>
              <w:rFonts w:ascii="宋体" w:hAnsi="宋体" w:eastAsia="宋体" w:cs="宋体"/>
              <w:spacing w:val="-1"/>
              <w:sz w:val="24"/>
              <w:szCs w:val="24"/>
            </w:rPr>
            <w:t>施工期污染因素分析</w:t>
          </w:r>
          <w:r>
            <w:rPr>
              <w:rFonts w:ascii="宋体" w:hAnsi="宋体" w:eastAsia="宋体" w:cs="宋体"/>
              <w:sz w:val="24"/>
              <w:szCs w:val="24"/>
            </w:rPr>
            <w:tab/>
          </w:r>
          <w:r>
            <w:rPr>
              <w:rFonts w:ascii="Times New Roman" w:hAnsi="Times New Roman" w:eastAsia="Times New Roman" w:cs="Times New Roman"/>
              <w:spacing w:val="10"/>
              <w:sz w:val="24"/>
              <w:szCs w:val="24"/>
            </w:rPr>
            <w:t>63</w:t>
          </w:r>
          <w:r>
            <w:rPr>
              <w:rFonts w:ascii="Times New Roman" w:hAnsi="Times New Roman" w:eastAsia="Times New Roman" w:cs="Times New Roman"/>
              <w:spacing w:val="10"/>
              <w:sz w:val="24"/>
              <w:szCs w:val="24"/>
            </w:rPr>
            <w:fldChar w:fldCharType="end"/>
          </w:r>
        </w:p>
        <w:p w14:paraId="45024ADC">
          <w:pPr>
            <w:tabs>
              <w:tab w:val="right" w:leader="dot" w:pos="8522"/>
            </w:tabs>
            <w:spacing w:before="153" w:line="242" w:lineRule="auto"/>
            <w:ind w:left="772"/>
            <w:rPr>
              <w:rFonts w:ascii="Times New Roman" w:hAnsi="Times New Roman" w:eastAsia="Times New Roman" w:cs="Times New Roman"/>
              <w:sz w:val="24"/>
              <w:szCs w:val="24"/>
            </w:rPr>
          </w:pPr>
          <w:r>
            <w:fldChar w:fldCharType="begin"/>
          </w:r>
          <w:r>
            <w:instrText xml:space="preserve"> HYPERLINK \l "bookmark22" </w:instrText>
          </w:r>
          <w:r>
            <w:fldChar w:fldCharType="separate"/>
          </w:r>
          <w:r>
            <w:rPr>
              <w:rFonts w:ascii="Times New Roman" w:hAnsi="Times New Roman" w:eastAsia="Times New Roman" w:cs="Times New Roman"/>
              <w:spacing w:val="-1"/>
              <w:sz w:val="24"/>
              <w:szCs w:val="24"/>
            </w:rPr>
            <w:t xml:space="preserve">3.5  </w:t>
          </w:r>
          <w:r>
            <w:rPr>
              <w:rFonts w:ascii="宋体" w:hAnsi="宋体" w:eastAsia="宋体" w:cs="宋体"/>
              <w:spacing w:val="-1"/>
              <w:sz w:val="24"/>
              <w:szCs w:val="24"/>
            </w:rPr>
            <w:t>运营期污染因素分析</w:t>
          </w:r>
          <w:r>
            <w:rPr>
              <w:rFonts w:ascii="宋体" w:hAnsi="宋体" w:eastAsia="宋体" w:cs="宋体"/>
              <w:sz w:val="24"/>
              <w:szCs w:val="24"/>
            </w:rPr>
            <w:tab/>
          </w:r>
          <w:r>
            <w:rPr>
              <w:rFonts w:ascii="Times New Roman" w:hAnsi="Times New Roman" w:eastAsia="Times New Roman" w:cs="Times New Roman"/>
              <w:spacing w:val="10"/>
              <w:sz w:val="24"/>
              <w:szCs w:val="24"/>
            </w:rPr>
            <w:t>67</w:t>
          </w:r>
          <w:r>
            <w:rPr>
              <w:rFonts w:ascii="Times New Roman" w:hAnsi="Times New Roman" w:eastAsia="Times New Roman" w:cs="Times New Roman"/>
              <w:spacing w:val="10"/>
              <w:sz w:val="24"/>
              <w:szCs w:val="24"/>
            </w:rPr>
            <w:fldChar w:fldCharType="end"/>
          </w:r>
        </w:p>
        <w:p w14:paraId="6422B319">
          <w:pPr>
            <w:tabs>
              <w:tab w:val="right" w:leader="dot" w:pos="8522"/>
            </w:tabs>
            <w:spacing w:before="245" w:line="186" w:lineRule="auto"/>
            <w:ind w:left="369"/>
            <w:rPr>
              <w:rFonts w:ascii="Times New Roman" w:hAnsi="Times New Roman" w:eastAsia="Times New Roman" w:cs="Times New Roman"/>
              <w:sz w:val="28"/>
              <w:szCs w:val="28"/>
            </w:rPr>
          </w:pPr>
          <w:r>
            <w:fldChar w:fldCharType="begin"/>
          </w:r>
          <w:r>
            <w:instrText xml:space="preserve"> HYPERLINK \l "bookmark23" </w:instrText>
          </w:r>
          <w:r>
            <w:fldChar w:fldCharType="separate"/>
          </w:r>
          <w:r>
            <w:rPr>
              <w:rFonts w:ascii="Times New Roman" w:hAnsi="Times New Roman" w:eastAsia="Times New Roman" w:cs="Times New Roman"/>
              <w:b/>
              <w:bCs/>
              <w:spacing w:val="-2"/>
              <w:sz w:val="28"/>
              <w:szCs w:val="28"/>
            </w:rPr>
            <w:t xml:space="preserve">4  </w:t>
          </w:r>
          <w:r>
            <w:rPr>
              <w:rFonts w:ascii="宋体" w:hAnsi="宋体" w:eastAsia="宋体" w:cs="宋体"/>
              <w:b/>
              <w:bCs/>
              <w:spacing w:val="-2"/>
              <w:sz w:val="28"/>
              <w:szCs w:val="28"/>
            </w:rPr>
            <w:t>环境质量现状监测与评价</w:t>
          </w:r>
          <w:r>
            <w:rPr>
              <w:rFonts w:ascii="宋体" w:hAnsi="宋体" w:eastAsia="宋体" w:cs="宋体"/>
              <w:b/>
              <w:bCs/>
              <w:sz w:val="28"/>
              <w:szCs w:val="28"/>
            </w:rPr>
            <w:tab/>
          </w:r>
          <w:r>
            <w:rPr>
              <w:rFonts w:ascii="Times New Roman" w:hAnsi="Times New Roman" w:eastAsia="Times New Roman" w:cs="Times New Roman"/>
              <w:b/>
              <w:bCs/>
              <w:spacing w:val="11"/>
              <w:sz w:val="28"/>
              <w:szCs w:val="28"/>
            </w:rPr>
            <w:t>80</w:t>
          </w:r>
          <w:r>
            <w:rPr>
              <w:rFonts w:ascii="Times New Roman" w:hAnsi="Times New Roman" w:eastAsia="Times New Roman" w:cs="Times New Roman"/>
              <w:b/>
              <w:bCs/>
              <w:spacing w:val="11"/>
              <w:sz w:val="28"/>
              <w:szCs w:val="28"/>
            </w:rPr>
            <w:fldChar w:fldCharType="end"/>
          </w:r>
        </w:p>
        <w:p w14:paraId="445F6293">
          <w:pPr>
            <w:tabs>
              <w:tab w:val="right" w:leader="dot" w:pos="8522"/>
            </w:tabs>
            <w:spacing w:before="251" w:line="242" w:lineRule="auto"/>
            <w:ind w:left="766"/>
            <w:rPr>
              <w:rFonts w:ascii="Times New Roman" w:hAnsi="Times New Roman" w:eastAsia="Times New Roman" w:cs="Times New Roman"/>
              <w:sz w:val="24"/>
              <w:szCs w:val="24"/>
            </w:rPr>
          </w:pPr>
          <w:r>
            <w:fldChar w:fldCharType="begin"/>
          </w:r>
          <w:r>
            <w:instrText xml:space="preserve"> HYPERLINK \l "bookmark24" </w:instrText>
          </w:r>
          <w:r>
            <w:fldChar w:fldCharType="separate"/>
          </w:r>
          <w:r>
            <w:rPr>
              <w:rFonts w:ascii="Times New Roman" w:hAnsi="Times New Roman" w:eastAsia="Times New Roman" w:cs="Times New Roman"/>
              <w:spacing w:val="-4"/>
              <w:sz w:val="24"/>
              <w:szCs w:val="24"/>
            </w:rPr>
            <w:t>4.1</w:t>
          </w:r>
          <w:r>
            <w:rPr>
              <w:rFonts w:ascii="Times New Roman" w:hAnsi="Times New Roman" w:eastAsia="Times New Roman" w:cs="Times New Roman"/>
              <w:spacing w:val="25"/>
              <w:sz w:val="24"/>
              <w:szCs w:val="24"/>
            </w:rPr>
            <w:t xml:space="preserve">  </w:t>
          </w:r>
          <w:r>
            <w:rPr>
              <w:rFonts w:ascii="宋体" w:hAnsi="宋体" w:eastAsia="宋体" w:cs="宋体"/>
              <w:spacing w:val="-4"/>
              <w:sz w:val="24"/>
              <w:szCs w:val="24"/>
            </w:rPr>
            <w:t>自然环境现状调查与评价</w:t>
          </w:r>
          <w:r>
            <w:rPr>
              <w:rFonts w:ascii="宋体" w:hAnsi="宋体" w:eastAsia="宋体" w:cs="宋体"/>
              <w:sz w:val="24"/>
              <w:szCs w:val="24"/>
            </w:rPr>
            <w:tab/>
          </w:r>
          <w:r>
            <w:rPr>
              <w:rFonts w:ascii="Times New Roman" w:hAnsi="Times New Roman" w:eastAsia="Times New Roman" w:cs="Times New Roman"/>
              <w:spacing w:val="10"/>
              <w:sz w:val="24"/>
              <w:szCs w:val="24"/>
            </w:rPr>
            <w:t>80</w:t>
          </w:r>
          <w:r>
            <w:rPr>
              <w:rFonts w:ascii="Times New Roman" w:hAnsi="Times New Roman" w:eastAsia="Times New Roman" w:cs="Times New Roman"/>
              <w:spacing w:val="10"/>
              <w:sz w:val="24"/>
              <w:szCs w:val="24"/>
            </w:rPr>
            <w:fldChar w:fldCharType="end"/>
          </w:r>
        </w:p>
        <w:p w14:paraId="5F6B734F">
          <w:pPr>
            <w:tabs>
              <w:tab w:val="right" w:leader="dot" w:pos="8522"/>
            </w:tabs>
            <w:spacing w:before="153" w:line="242" w:lineRule="auto"/>
            <w:ind w:left="766"/>
            <w:rPr>
              <w:rFonts w:ascii="Times New Roman" w:hAnsi="Times New Roman" w:eastAsia="Times New Roman" w:cs="Times New Roman"/>
              <w:sz w:val="24"/>
              <w:szCs w:val="24"/>
            </w:rPr>
          </w:pPr>
          <w:r>
            <w:fldChar w:fldCharType="begin"/>
          </w:r>
          <w:r>
            <w:instrText xml:space="preserve"> HYPERLINK \l "bookmark25" </w:instrText>
          </w:r>
          <w:r>
            <w:fldChar w:fldCharType="separate"/>
          </w:r>
          <w:r>
            <w:rPr>
              <w:rFonts w:ascii="Times New Roman" w:hAnsi="Times New Roman" w:eastAsia="Times New Roman" w:cs="Times New Roman"/>
              <w:spacing w:val="-1"/>
              <w:sz w:val="24"/>
              <w:szCs w:val="24"/>
            </w:rPr>
            <w:t xml:space="preserve">4.2  </w:t>
          </w:r>
          <w:r>
            <w:rPr>
              <w:rFonts w:ascii="宋体" w:hAnsi="宋体" w:eastAsia="宋体" w:cs="宋体"/>
              <w:spacing w:val="-1"/>
              <w:sz w:val="24"/>
              <w:szCs w:val="24"/>
            </w:rPr>
            <w:t>地下水环境质量现状评价</w:t>
          </w:r>
          <w:r>
            <w:rPr>
              <w:rFonts w:ascii="宋体" w:hAnsi="宋体" w:eastAsia="宋体" w:cs="宋体"/>
              <w:sz w:val="24"/>
              <w:szCs w:val="24"/>
            </w:rPr>
            <w:tab/>
          </w:r>
          <w:r>
            <w:rPr>
              <w:rFonts w:ascii="Times New Roman" w:hAnsi="Times New Roman" w:eastAsia="Times New Roman" w:cs="Times New Roman"/>
              <w:spacing w:val="10"/>
              <w:sz w:val="24"/>
              <w:szCs w:val="24"/>
            </w:rPr>
            <w:t>83</w:t>
          </w:r>
          <w:r>
            <w:rPr>
              <w:rFonts w:ascii="Times New Roman" w:hAnsi="Times New Roman" w:eastAsia="Times New Roman" w:cs="Times New Roman"/>
              <w:spacing w:val="10"/>
              <w:sz w:val="24"/>
              <w:szCs w:val="24"/>
            </w:rPr>
            <w:fldChar w:fldCharType="end"/>
          </w:r>
        </w:p>
        <w:p w14:paraId="482B10B8">
          <w:pPr>
            <w:tabs>
              <w:tab w:val="right" w:leader="dot" w:pos="8522"/>
            </w:tabs>
            <w:spacing w:before="153" w:line="242" w:lineRule="auto"/>
            <w:ind w:left="766"/>
            <w:rPr>
              <w:rFonts w:ascii="Times New Roman" w:hAnsi="Times New Roman" w:eastAsia="Times New Roman" w:cs="Times New Roman"/>
              <w:sz w:val="24"/>
              <w:szCs w:val="24"/>
            </w:rPr>
          </w:pPr>
          <w:r>
            <w:fldChar w:fldCharType="begin"/>
          </w:r>
          <w:r>
            <w:instrText xml:space="preserve"> HYPERLINK \l "bookmark26" </w:instrText>
          </w:r>
          <w:r>
            <w:fldChar w:fldCharType="separate"/>
          </w:r>
          <w:r>
            <w:rPr>
              <w:rFonts w:ascii="Times New Roman" w:hAnsi="Times New Roman" w:eastAsia="Times New Roman" w:cs="Times New Roman"/>
              <w:spacing w:val="-1"/>
              <w:sz w:val="24"/>
              <w:szCs w:val="24"/>
            </w:rPr>
            <w:t xml:space="preserve">4.3  </w:t>
          </w:r>
          <w:r>
            <w:rPr>
              <w:rFonts w:ascii="宋体" w:hAnsi="宋体" w:eastAsia="宋体" w:cs="宋体"/>
              <w:spacing w:val="-1"/>
              <w:sz w:val="24"/>
              <w:szCs w:val="24"/>
            </w:rPr>
            <w:t>空气环境质量现状评价</w:t>
          </w:r>
          <w:r>
            <w:rPr>
              <w:rFonts w:ascii="宋体" w:hAnsi="宋体" w:eastAsia="宋体" w:cs="宋体"/>
              <w:sz w:val="24"/>
              <w:szCs w:val="24"/>
            </w:rPr>
            <w:tab/>
          </w:r>
          <w:r>
            <w:rPr>
              <w:rFonts w:ascii="Times New Roman" w:hAnsi="Times New Roman" w:eastAsia="Times New Roman" w:cs="Times New Roman"/>
              <w:spacing w:val="10"/>
              <w:sz w:val="24"/>
              <w:szCs w:val="24"/>
            </w:rPr>
            <w:t>87</w:t>
          </w:r>
          <w:r>
            <w:rPr>
              <w:rFonts w:ascii="Times New Roman" w:hAnsi="Times New Roman" w:eastAsia="Times New Roman" w:cs="Times New Roman"/>
              <w:spacing w:val="10"/>
              <w:sz w:val="24"/>
              <w:szCs w:val="24"/>
            </w:rPr>
            <w:fldChar w:fldCharType="end"/>
          </w:r>
        </w:p>
        <w:p w14:paraId="143D77A4">
          <w:pPr>
            <w:tabs>
              <w:tab w:val="right" w:leader="dot" w:pos="8522"/>
            </w:tabs>
            <w:spacing w:before="154" w:line="348" w:lineRule="exact"/>
            <w:ind w:left="766"/>
            <w:rPr>
              <w:rFonts w:ascii="Times New Roman" w:hAnsi="Times New Roman" w:eastAsia="Times New Roman" w:cs="Times New Roman"/>
              <w:sz w:val="24"/>
              <w:szCs w:val="24"/>
            </w:rPr>
          </w:pPr>
          <w:r>
            <w:fldChar w:fldCharType="begin"/>
          </w:r>
          <w:r>
            <w:instrText xml:space="preserve"> HYPERLINK \l "bookmark27" </w:instrText>
          </w:r>
          <w:r>
            <w:fldChar w:fldCharType="separate"/>
          </w:r>
          <w:r>
            <w:rPr>
              <w:rFonts w:ascii="Times New Roman" w:hAnsi="Times New Roman" w:eastAsia="Times New Roman" w:cs="Times New Roman"/>
              <w:spacing w:val="-1"/>
              <w:position w:val="2"/>
              <w:sz w:val="24"/>
              <w:szCs w:val="24"/>
            </w:rPr>
            <w:t xml:space="preserve">4.4  </w:t>
          </w:r>
          <w:r>
            <w:rPr>
              <w:rFonts w:ascii="宋体" w:hAnsi="宋体" w:eastAsia="宋体" w:cs="宋体"/>
              <w:spacing w:val="-1"/>
              <w:position w:val="2"/>
              <w:sz w:val="24"/>
              <w:szCs w:val="24"/>
            </w:rPr>
            <w:t>声环境质量现状评价</w:t>
          </w:r>
          <w:r>
            <w:rPr>
              <w:rFonts w:ascii="宋体" w:hAnsi="宋体" w:eastAsia="宋体" w:cs="宋体"/>
              <w:position w:val="2"/>
              <w:sz w:val="24"/>
              <w:szCs w:val="24"/>
            </w:rPr>
            <w:tab/>
          </w:r>
          <w:r>
            <w:rPr>
              <w:rFonts w:ascii="Times New Roman" w:hAnsi="Times New Roman" w:eastAsia="Times New Roman" w:cs="Times New Roman"/>
              <w:spacing w:val="10"/>
              <w:position w:val="2"/>
              <w:sz w:val="24"/>
              <w:szCs w:val="24"/>
            </w:rPr>
            <w:t>92</w:t>
          </w:r>
          <w:r>
            <w:rPr>
              <w:rFonts w:ascii="Times New Roman" w:hAnsi="Times New Roman" w:eastAsia="Times New Roman" w:cs="Times New Roman"/>
              <w:spacing w:val="10"/>
              <w:position w:val="2"/>
              <w:sz w:val="24"/>
              <w:szCs w:val="24"/>
            </w:rPr>
            <w:fldChar w:fldCharType="end"/>
          </w:r>
        </w:p>
      </w:sdtContent>
    </w:sdt>
    <w:p w14:paraId="49FB37BD">
      <w:pPr>
        <w:spacing w:line="348" w:lineRule="exact"/>
        <w:rPr>
          <w:rFonts w:ascii="Times New Roman" w:hAnsi="Times New Roman" w:eastAsia="Times New Roman" w:cs="Times New Roman"/>
          <w:sz w:val="24"/>
          <w:szCs w:val="24"/>
        </w:rPr>
        <w:sectPr>
          <w:footerReference r:id="rId5" w:type="default"/>
          <w:pgSz w:w="11906" w:h="16839"/>
          <w:pgMar w:top="1431" w:right="1596" w:bottom="1566" w:left="1785" w:header="0" w:footer="1406" w:gutter="0"/>
          <w:cols w:space="720" w:num="1"/>
        </w:sectPr>
      </w:pPr>
    </w:p>
    <w:sdt>
      <w:sdtPr>
        <w:rPr>
          <w:rFonts w:ascii="Times New Roman" w:hAnsi="Times New Roman" w:eastAsia="Times New Roman" w:cs="Times New Roman"/>
          <w:sz w:val="24"/>
          <w:szCs w:val="24"/>
        </w:rPr>
        <w:id w:val="147468660"/>
        <w:docPartObj>
          <w:docPartGallery w:val="Table of Contents"/>
          <w:docPartUnique/>
        </w:docPartObj>
      </w:sdtPr>
      <w:sdtEndPr>
        <w:rPr>
          <w:rFonts w:ascii="Times New Roman" w:hAnsi="Times New Roman" w:eastAsia="Times New Roman" w:cs="Times New Roman"/>
          <w:sz w:val="24"/>
          <w:szCs w:val="24"/>
        </w:rPr>
      </w:sdtEndPr>
      <w:sdtContent>
        <w:p w14:paraId="7E1F483D">
          <w:pPr>
            <w:tabs>
              <w:tab w:val="right" w:leader="dot" w:pos="8522"/>
            </w:tabs>
            <w:spacing w:before="66" w:line="242" w:lineRule="auto"/>
            <w:ind w:left="766"/>
            <w:rPr>
              <w:rFonts w:ascii="Times New Roman" w:hAnsi="Times New Roman" w:eastAsia="Times New Roman" w:cs="Times New Roman"/>
              <w:sz w:val="24"/>
              <w:szCs w:val="24"/>
            </w:rPr>
          </w:pPr>
          <w:r>
            <w:fldChar w:fldCharType="begin"/>
          </w:r>
          <w:r>
            <w:instrText xml:space="preserve"> HYPERLINK \l "bookmark28" </w:instrText>
          </w:r>
          <w:r>
            <w:fldChar w:fldCharType="separate"/>
          </w:r>
          <w:r>
            <w:rPr>
              <w:rFonts w:ascii="Times New Roman" w:hAnsi="Times New Roman" w:eastAsia="Times New Roman" w:cs="Times New Roman"/>
              <w:spacing w:val="-1"/>
              <w:sz w:val="24"/>
              <w:szCs w:val="24"/>
            </w:rPr>
            <w:t xml:space="preserve">4.5  </w:t>
          </w:r>
          <w:r>
            <w:rPr>
              <w:rFonts w:ascii="宋体" w:hAnsi="宋体" w:eastAsia="宋体" w:cs="宋体"/>
              <w:spacing w:val="-1"/>
              <w:sz w:val="24"/>
              <w:szCs w:val="24"/>
            </w:rPr>
            <w:t>土壤环境质量现状评价</w:t>
          </w:r>
          <w:r>
            <w:rPr>
              <w:rFonts w:ascii="宋体" w:hAnsi="宋体" w:eastAsia="宋体" w:cs="宋体"/>
              <w:sz w:val="24"/>
              <w:szCs w:val="24"/>
            </w:rPr>
            <w:tab/>
          </w:r>
          <w:r>
            <w:rPr>
              <w:rFonts w:ascii="Times New Roman" w:hAnsi="Times New Roman" w:eastAsia="Times New Roman" w:cs="Times New Roman"/>
              <w:spacing w:val="10"/>
              <w:sz w:val="24"/>
              <w:szCs w:val="24"/>
            </w:rPr>
            <w:t>94</w:t>
          </w:r>
          <w:r>
            <w:rPr>
              <w:rFonts w:ascii="Times New Roman" w:hAnsi="Times New Roman" w:eastAsia="Times New Roman" w:cs="Times New Roman"/>
              <w:spacing w:val="10"/>
              <w:sz w:val="24"/>
              <w:szCs w:val="24"/>
            </w:rPr>
            <w:fldChar w:fldCharType="end"/>
          </w:r>
        </w:p>
        <w:p w14:paraId="7DCE00A0">
          <w:pPr>
            <w:tabs>
              <w:tab w:val="right" w:leader="dot" w:pos="8522"/>
            </w:tabs>
            <w:spacing w:before="153" w:line="242" w:lineRule="auto"/>
            <w:ind w:left="766"/>
            <w:rPr>
              <w:rFonts w:ascii="Times New Roman" w:hAnsi="Times New Roman" w:eastAsia="Times New Roman" w:cs="Times New Roman"/>
              <w:sz w:val="24"/>
              <w:szCs w:val="24"/>
            </w:rPr>
          </w:pPr>
          <w:r>
            <w:fldChar w:fldCharType="begin"/>
          </w:r>
          <w:r>
            <w:instrText xml:space="preserve"> HYPERLINK \l "bookmark29" </w:instrText>
          </w:r>
          <w:r>
            <w:fldChar w:fldCharType="separate"/>
          </w:r>
          <w:r>
            <w:rPr>
              <w:rFonts w:ascii="Times New Roman" w:hAnsi="Times New Roman" w:eastAsia="Times New Roman" w:cs="Times New Roman"/>
              <w:spacing w:val="-1"/>
              <w:sz w:val="24"/>
              <w:szCs w:val="24"/>
            </w:rPr>
            <w:t xml:space="preserve">4.6  </w:t>
          </w:r>
          <w:r>
            <w:rPr>
              <w:rFonts w:ascii="宋体" w:hAnsi="宋体" w:eastAsia="宋体" w:cs="宋体"/>
              <w:spacing w:val="-1"/>
              <w:sz w:val="24"/>
              <w:szCs w:val="24"/>
            </w:rPr>
            <w:t>生态环境现状调查</w:t>
          </w:r>
          <w:r>
            <w:rPr>
              <w:rFonts w:ascii="宋体" w:hAnsi="宋体" w:eastAsia="宋体" w:cs="宋体"/>
              <w:sz w:val="24"/>
              <w:szCs w:val="24"/>
            </w:rPr>
            <w:tab/>
          </w:r>
          <w:r>
            <w:rPr>
              <w:rFonts w:ascii="Times New Roman" w:hAnsi="Times New Roman" w:eastAsia="Times New Roman" w:cs="Times New Roman"/>
              <w:spacing w:val="6"/>
              <w:sz w:val="24"/>
              <w:szCs w:val="24"/>
            </w:rPr>
            <w:t>104</w:t>
          </w:r>
          <w:r>
            <w:rPr>
              <w:rFonts w:ascii="Times New Roman" w:hAnsi="Times New Roman" w:eastAsia="Times New Roman" w:cs="Times New Roman"/>
              <w:spacing w:val="6"/>
              <w:sz w:val="24"/>
              <w:szCs w:val="24"/>
            </w:rPr>
            <w:fldChar w:fldCharType="end"/>
          </w:r>
        </w:p>
        <w:p w14:paraId="7602C796">
          <w:pPr>
            <w:tabs>
              <w:tab w:val="right" w:leader="dot" w:pos="8522"/>
            </w:tabs>
            <w:spacing w:before="244" w:line="186" w:lineRule="auto"/>
            <w:ind w:left="371"/>
            <w:rPr>
              <w:rFonts w:ascii="Times New Roman" w:hAnsi="Times New Roman" w:eastAsia="Times New Roman" w:cs="Times New Roman"/>
              <w:sz w:val="28"/>
              <w:szCs w:val="28"/>
            </w:rPr>
          </w:pPr>
          <w:r>
            <w:fldChar w:fldCharType="begin"/>
          </w:r>
          <w:r>
            <w:instrText xml:space="preserve"> HYPERLINK \l "bookmark30" </w:instrText>
          </w:r>
          <w:r>
            <w:fldChar w:fldCharType="separate"/>
          </w:r>
          <w:r>
            <w:rPr>
              <w:rFonts w:ascii="Times New Roman" w:hAnsi="Times New Roman" w:eastAsia="Times New Roman" w:cs="Times New Roman"/>
              <w:b/>
              <w:bCs/>
              <w:spacing w:val="-3"/>
              <w:sz w:val="28"/>
              <w:szCs w:val="28"/>
            </w:rPr>
            <w:t xml:space="preserve">5  </w:t>
          </w:r>
          <w:r>
            <w:rPr>
              <w:rFonts w:ascii="宋体" w:hAnsi="宋体" w:eastAsia="宋体" w:cs="宋体"/>
              <w:b/>
              <w:bCs/>
              <w:spacing w:val="-3"/>
              <w:sz w:val="28"/>
              <w:szCs w:val="28"/>
            </w:rPr>
            <w:t>环境影响预测与评价</w:t>
          </w:r>
          <w:r>
            <w:rPr>
              <w:rFonts w:ascii="宋体" w:hAnsi="宋体" w:eastAsia="宋体" w:cs="宋体"/>
              <w:b/>
              <w:bCs/>
              <w:sz w:val="28"/>
              <w:szCs w:val="28"/>
            </w:rPr>
            <w:tab/>
          </w:r>
          <w:r>
            <w:rPr>
              <w:rFonts w:ascii="宋体" w:hAnsi="宋体" w:eastAsia="宋体" w:cs="宋体"/>
              <w:spacing w:val="-89"/>
              <w:sz w:val="28"/>
              <w:szCs w:val="28"/>
            </w:rPr>
            <w:t xml:space="preserve"> </w:t>
          </w:r>
          <w:r>
            <w:rPr>
              <w:rFonts w:ascii="Times New Roman" w:hAnsi="Times New Roman" w:eastAsia="Times New Roman" w:cs="Times New Roman"/>
              <w:b/>
              <w:bCs/>
              <w:spacing w:val="-6"/>
              <w:sz w:val="28"/>
              <w:szCs w:val="28"/>
            </w:rPr>
            <w:t>108</w:t>
          </w:r>
          <w:r>
            <w:rPr>
              <w:rFonts w:ascii="Times New Roman" w:hAnsi="Times New Roman" w:eastAsia="Times New Roman" w:cs="Times New Roman"/>
              <w:b/>
              <w:bCs/>
              <w:spacing w:val="-6"/>
              <w:sz w:val="28"/>
              <w:szCs w:val="28"/>
            </w:rPr>
            <w:fldChar w:fldCharType="end"/>
          </w:r>
        </w:p>
        <w:p w14:paraId="7CD09784">
          <w:pPr>
            <w:tabs>
              <w:tab w:val="right" w:leader="dot" w:pos="8522"/>
            </w:tabs>
            <w:spacing w:before="251" w:line="242" w:lineRule="auto"/>
            <w:ind w:left="774"/>
            <w:rPr>
              <w:rFonts w:ascii="Times New Roman" w:hAnsi="Times New Roman" w:eastAsia="Times New Roman" w:cs="Times New Roman"/>
              <w:sz w:val="24"/>
              <w:szCs w:val="24"/>
            </w:rPr>
          </w:pPr>
          <w:r>
            <w:fldChar w:fldCharType="begin"/>
          </w:r>
          <w:r>
            <w:instrText xml:space="preserve"> HYPERLINK \l "bookmark31" </w:instrText>
          </w:r>
          <w:r>
            <w:fldChar w:fldCharType="separate"/>
          </w:r>
          <w:r>
            <w:rPr>
              <w:rFonts w:ascii="Times New Roman" w:hAnsi="Times New Roman" w:eastAsia="Times New Roman" w:cs="Times New Roman"/>
              <w:spacing w:val="-1"/>
              <w:sz w:val="24"/>
              <w:szCs w:val="24"/>
            </w:rPr>
            <w:t xml:space="preserve">5.1  </w:t>
          </w:r>
          <w:r>
            <w:rPr>
              <w:rFonts w:ascii="宋体" w:hAnsi="宋体" w:eastAsia="宋体" w:cs="宋体"/>
              <w:spacing w:val="-1"/>
              <w:sz w:val="24"/>
              <w:szCs w:val="24"/>
            </w:rPr>
            <w:t>施工期环境影响分析</w:t>
          </w:r>
          <w:r>
            <w:rPr>
              <w:rFonts w:ascii="宋体" w:hAnsi="宋体" w:eastAsia="宋体" w:cs="宋体"/>
              <w:sz w:val="24"/>
              <w:szCs w:val="24"/>
            </w:rPr>
            <w:tab/>
          </w:r>
          <w:r>
            <w:rPr>
              <w:rFonts w:ascii="Times New Roman" w:hAnsi="Times New Roman" w:eastAsia="Times New Roman" w:cs="Times New Roman"/>
              <w:spacing w:val="6"/>
              <w:sz w:val="24"/>
              <w:szCs w:val="24"/>
            </w:rPr>
            <w:t>108</w:t>
          </w:r>
          <w:r>
            <w:rPr>
              <w:rFonts w:ascii="Times New Roman" w:hAnsi="Times New Roman" w:eastAsia="Times New Roman" w:cs="Times New Roman"/>
              <w:spacing w:val="6"/>
              <w:sz w:val="24"/>
              <w:szCs w:val="24"/>
            </w:rPr>
            <w:fldChar w:fldCharType="end"/>
          </w:r>
        </w:p>
        <w:p w14:paraId="2C24913E">
          <w:pPr>
            <w:tabs>
              <w:tab w:val="right" w:leader="dot" w:pos="8524"/>
            </w:tabs>
            <w:spacing w:before="153" w:line="242" w:lineRule="auto"/>
            <w:ind w:left="774"/>
            <w:rPr>
              <w:rFonts w:ascii="Times New Roman" w:hAnsi="Times New Roman" w:eastAsia="Times New Roman" w:cs="Times New Roman"/>
              <w:sz w:val="24"/>
              <w:szCs w:val="24"/>
            </w:rPr>
          </w:pPr>
          <w:r>
            <w:fldChar w:fldCharType="begin"/>
          </w:r>
          <w:r>
            <w:instrText xml:space="preserve"> HYPERLINK \l "bookmark32" </w:instrText>
          </w:r>
          <w:r>
            <w:fldChar w:fldCharType="separate"/>
          </w:r>
          <w:r>
            <w:rPr>
              <w:rFonts w:ascii="Times New Roman" w:hAnsi="Times New Roman" w:eastAsia="Times New Roman" w:cs="Times New Roman"/>
              <w:spacing w:val="-1"/>
              <w:sz w:val="24"/>
              <w:szCs w:val="24"/>
            </w:rPr>
            <w:t xml:space="preserve">5.2  </w:t>
          </w:r>
          <w:r>
            <w:rPr>
              <w:rFonts w:ascii="宋体" w:hAnsi="宋体" w:eastAsia="宋体" w:cs="宋体"/>
              <w:spacing w:val="-1"/>
              <w:sz w:val="24"/>
              <w:szCs w:val="24"/>
            </w:rPr>
            <w:t>营运期环境影响评价</w:t>
          </w:r>
          <w:r>
            <w:rPr>
              <w:rFonts w:ascii="宋体" w:hAnsi="宋体" w:eastAsia="宋体" w:cs="宋体"/>
              <w:sz w:val="24"/>
              <w:szCs w:val="24"/>
            </w:rPr>
            <w:tab/>
          </w:r>
          <w:r>
            <w:rPr>
              <w:rFonts w:ascii="宋体" w:hAnsi="宋体" w:eastAsia="宋体" w:cs="宋体"/>
              <w:spacing w:val="-63"/>
              <w:sz w:val="24"/>
              <w:szCs w:val="24"/>
            </w:rPr>
            <w:t xml:space="preserve"> </w:t>
          </w:r>
          <w:r>
            <w:rPr>
              <w:rFonts w:ascii="Times New Roman" w:hAnsi="Times New Roman" w:eastAsia="Times New Roman" w:cs="Times New Roman"/>
              <w:spacing w:val="-12"/>
              <w:sz w:val="24"/>
              <w:szCs w:val="24"/>
            </w:rPr>
            <w:t>118</w:t>
          </w:r>
          <w:r>
            <w:rPr>
              <w:rFonts w:ascii="Times New Roman" w:hAnsi="Times New Roman" w:eastAsia="Times New Roman" w:cs="Times New Roman"/>
              <w:spacing w:val="-12"/>
              <w:sz w:val="24"/>
              <w:szCs w:val="24"/>
            </w:rPr>
            <w:fldChar w:fldCharType="end"/>
          </w:r>
        </w:p>
        <w:p w14:paraId="7B11339A">
          <w:pPr>
            <w:tabs>
              <w:tab w:val="right" w:leader="dot" w:pos="8522"/>
            </w:tabs>
            <w:spacing w:before="244" w:line="186" w:lineRule="auto"/>
            <w:ind w:left="372"/>
            <w:rPr>
              <w:rFonts w:ascii="Times New Roman" w:hAnsi="Times New Roman" w:eastAsia="Times New Roman" w:cs="Times New Roman"/>
              <w:sz w:val="28"/>
              <w:szCs w:val="28"/>
            </w:rPr>
          </w:pPr>
          <w:r>
            <w:fldChar w:fldCharType="begin"/>
          </w:r>
          <w:r>
            <w:instrText xml:space="preserve"> HYPERLINK \l "bookmark33" </w:instrText>
          </w:r>
          <w:r>
            <w:fldChar w:fldCharType="separate"/>
          </w:r>
          <w:r>
            <w:rPr>
              <w:rFonts w:ascii="Times New Roman" w:hAnsi="Times New Roman" w:eastAsia="Times New Roman" w:cs="Times New Roman"/>
              <w:b/>
              <w:bCs/>
              <w:spacing w:val="-3"/>
              <w:sz w:val="28"/>
              <w:szCs w:val="28"/>
            </w:rPr>
            <w:t xml:space="preserve">6  </w:t>
          </w:r>
          <w:r>
            <w:rPr>
              <w:rFonts w:ascii="宋体" w:hAnsi="宋体" w:eastAsia="宋体" w:cs="宋体"/>
              <w:b/>
              <w:bCs/>
              <w:spacing w:val="-3"/>
              <w:sz w:val="28"/>
              <w:szCs w:val="28"/>
            </w:rPr>
            <w:t>环境保护措施及其可行性论证</w:t>
          </w:r>
          <w:r>
            <w:rPr>
              <w:rFonts w:ascii="宋体" w:hAnsi="宋体" w:eastAsia="宋体" w:cs="宋体"/>
              <w:b/>
              <w:bCs/>
              <w:sz w:val="28"/>
              <w:szCs w:val="28"/>
            </w:rPr>
            <w:tab/>
          </w:r>
          <w:r>
            <w:rPr>
              <w:rFonts w:ascii="Times New Roman" w:hAnsi="Times New Roman" w:eastAsia="Times New Roman" w:cs="Times New Roman"/>
              <w:b/>
              <w:bCs/>
              <w:spacing w:val="4"/>
              <w:sz w:val="28"/>
              <w:szCs w:val="28"/>
            </w:rPr>
            <w:t>141</w:t>
          </w:r>
          <w:r>
            <w:rPr>
              <w:rFonts w:ascii="Times New Roman" w:hAnsi="Times New Roman" w:eastAsia="Times New Roman" w:cs="Times New Roman"/>
              <w:b/>
              <w:bCs/>
              <w:spacing w:val="4"/>
              <w:sz w:val="28"/>
              <w:szCs w:val="28"/>
            </w:rPr>
            <w:fldChar w:fldCharType="end"/>
          </w:r>
        </w:p>
        <w:p w14:paraId="29377245">
          <w:pPr>
            <w:tabs>
              <w:tab w:val="right" w:leader="dot" w:pos="8522"/>
            </w:tabs>
            <w:spacing w:before="251" w:line="242" w:lineRule="auto"/>
            <w:ind w:left="773"/>
            <w:rPr>
              <w:rFonts w:ascii="Times New Roman" w:hAnsi="Times New Roman" w:eastAsia="Times New Roman" w:cs="Times New Roman"/>
              <w:sz w:val="24"/>
              <w:szCs w:val="24"/>
            </w:rPr>
          </w:pPr>
          <w:r>
            <w:fldChar w:fldCharType="begin"/>
          </w:r>
          <w:r>
            <w:instrText xml:space="preserve"> HYPERLINK \l "bookmark34" </w:instrText>
          </w:r>
          <w:r>
            <w:fldChar w:fldCharType="separate"/>
          </w:r>
          <w:r>
            <w:rPr>
              <w:rFonts w:ascii="Times New Roman" w:hAnsi="Times New Roman" w:eastAsia="Times New Roman" w:cs="Times New Roman"/>
              <w:spacing w:val="-1"/>
              <w:sz w:val="24"/>
              <w:szCs w:val="24"/>
            </w:rPr>
            <w:t xml:space="preserve">6.1  </w:t>
          </w:r>
          <w:r>
            <w:rPr>
              <w:rFonts w:ascii="宋体" w:hAnsi="宋体" w:eastAsia="宋体" w:cs="宋体"/>
              <w:spacing w:val="-1"/>
              <w:sz w:val="24"/>
              <w:szCs w:val="24"/>
            </w:rPr>
            <w:t>地下水污染防治措施</w:t>
          </w:r>
          <w:r>
            <w:rPr>
              <w:rFonts w:ascii="宋体" w:hAnsi="宋体" w:eastAsia="宋体" w:cs="宋体"/>
              <w:sz w:val="24"/>
              <w:szCs w:val="24"/>
            </w:rPr>
            <w:tab/>
          </w:r>
          <w:r>
            <w:rPr>
              <w:rFonts w:ascii="Times New Roman" w:hAnsi="Times New Roman" w:eastAsia="Times New Roman" w:cs="Times New Roman"/>
              <w:spacing w:val="6"/>
              <w:sz w:val="24"/>
              <w:szCs w:val="24"/>
            </w:rPr>
            <w:t>141</w:t>
          </w:r>
          <w:r>
            <w:rPr>
              <w:rFonts w:ascii="Times New Roman" w:hAnsi="Times New Roman" w:eastAsia="Times New Roman" w:cs="Times New Roman"/>
              <w:spacing w:val="6"/>
              <w:sz w:val="24"/>
              <w:szCs w:val="24"/>
            </w:rPr>
            <w:fldChar w:fldCharType="end"/>
          </w:r>
        </w:p>
        <w:p w14:paraId="20AF24CF">
          <w:pPr>
            <w:tabs>
              <w:tab w:val="right" w:leader="dot" w:pos="8522"/>
            </w:tabs>
            <w:spacing w:before="153" w:line="242" w:lineRule="auto"/>
            <w:ind w:left="773"/>
            <w:rPr>
              <w:rFonts w:ascii="Times New Roman" w:hAnsi="Times New Roman" w:eastAsia="Times New Roman" w:cs="Times New Roman"/>
              <w:sz w:val="24"/>
              <w:szCs w:val="24"/>
            </w:rPr>
          </w:pPr>
          <w:r>
            <w:fldChar w:fldCharType="begin"/>
          </w:r>
          <w:r>
            <w:instrText xml:space="preserve"> HYPERLINK \l "bookmark35" </w:instrText>
          </w:r>
          <w:r>
            <w:fldChar w:fldCharType="separate"/>
          </w:r>
          <w:r>
            <w:rPr>
              <w:rFonts w:ascii="Times New Roman" w:hAnsi="Times New Roman" w:eastAsia="Times New Roman" w:cs="Times New Roman"/>
              <w:spacing w:val="-1"/>
              <w:sz w:val="24"/>
              <w:szCs w:val="24"/>
            </w:rPr>
            <w:t xml:space="preserve">6.2  </w:t>
          </w:r>
          <w:r>
            <w:rPr>
              <w:rFonts w:ascii="宋体" w:hAnsi="宋体" w:eastAsia="宋体" w:cs="宋体"/>
              <w:spacing w:val="-1"/>
              <w:sz w:val="24"/>
              <w:szCs w:val="24"/>
            </w:rPr>
            <w:t>大气污染防治措施可行性分析</w:t>
          </w:r>
          <w:r>
            <w:rPr>
              <w:rFonts w:ascii="宋体" w:hAnsi="宋体" w:eastAsia="宋体" w:cs="宋体"/>
              <w:sz w:val="24"/>
              <w:szCs w:val="24"/>
            </w:rPr>
            <w:tab/>
          </w:r>
          <w:r>
            <w:rPr>
              <w:rFonts w:ascii="Times New Roman" w:hAnsi="Times New Roman" w:eastAsia="Times New Roman" w:cs="Times New Roman"/>
              <w:spacing w:val="6"/>
              <w:sz w:val="24"/>
              <w:szCs w:val="24"/>
            </w:rPr>
            <w:t>142</w:t>
          </w:r>
          <w:r>
            <w:rPr>
              <w:rFonts w:ascii="Times New Roman" w:hAnsi="Times New Roman" w:eastAsia="Times New Roman" w:cs="Times New Roman"/>
              <w:spacing w:val="6"/>
              <w:sz w:val="24"/>
              <w:szCs w:val="24"/>
            </w:rPr>
            <w:fldChar w:fldCharType="end"/>
          </w:r>
        </w:p>
        <w:p w14:paraId="12EF7EFA">
          <w:pPr>
            <w:tabs>
              <w:tab w:val="right" w:leader="dot" w:pos="8522"/>
            </w:tabs>
            <w:spacing w:before="153" w:line="242" w:lineRule="auto"/>
            <w:ind w:left="773"/>
            <w:rPr>
              <w:rFonts w:ascii="Times New Roman" w:hAnsi="Times New Roman" w:eastAsia="Times New Roman" w:cs="Times New Roman"/>
              <w:sz w:val="24"/>
              <w:szCs w:val="24"/>
            </w:rPr>
          </w:pPr>
          <w:r>
            <w:fldChar w:fldCharType="begin"/>
          </w:r>
          <w:r>
            <w:instrText xml:space="preserve"> HYPERLINK \l "bookmark36" </w:instrText>
          </w:r>
          <w:r>
            <w:fldChar w:fldCharType="separate"/>
          </w:r>
          <w:r>
            <w:rPr>
              <w:rFonts w:ascii="Times New Roman" w:hAnsi="Times New Roman" w:eastAsia="Times New Roman" w:cs="Times New Roman"/>
              <w:spacing w:val="-1"/>
              <w:sz w:val="24"/>
              <w:szCs w:val="24"/>
            </w:rPr>
            <w:t xml:space="preserve">6.3  </w:t>
          </w:r>
          <w:r>
            <w:rPr>
              <w:rFonts w:ascii="宋体" w:hAnsi="宋体" w:eastAsia="宋体" w:cs="宋体"/>
              <w:spacing w:val="-1"/>
              <w:sz w:val="24"/>
              <w:szCs w:val="24"/>
            </w:rPr>
            <w:t>噪声污染防治措施可行性分析</w:t>
          </w:r>
          <w:r>
            <w:rPr>
              <w:rFonts w:ascii="宋体" w:hAnsi="宋体" w:eastAsia="宋体" w:cs="宋体"/>
              <w:sz w:val="24"/>
              <w:szCs w:val="24"/>
            </w:rPr>
            <w:tab/>
          </w:r>
          <w:r>
            <w:rPr>
              <w:rFonts w:ascii="Times New Roman" w:hAnsi="Times New Roman" w:eastAsia="Times New Roman" w:cs="Times New Roman"/>
              <w:spacing w:val="6"/>
              <w:sz w:val="24"/>
              <w:szCs w:val="24"/>
            </w:rPr>
            <w:t>145</w:t>
          </w:r>
          <w:r>
            <w:rPr>
              <w:rFonts w:ascii="Times New Roman" w:hAnsi="Times New Roman" w:eastAsia="Times New Roman" w:cs="Times New Roman"/>
              <w:spacing w:val="6"/>
              <w:sz w:val="24"/>
              <w:szCs w:val="24"/>
            </w:rPr>
            <w:fldChar w:fldCharType="end"/>
          </w:r>
        </w:p>
        <w:p w14:paraId="0C96B833">
          <w:pPr>
            <w:tabs>
              <w:tab w:val="right" w:leader="dot" w:pos="8522"/>
            </w:tabs>
            <w:spacing w:before="153" w:line="242" w:lineRule="auto"/>
            <w:ind w:left="773"/>
            <w:rPr>
              <w:rFonts w:ascii="Times New Roman" w:hAnsi="Times New Roman" w:eastAsia="Times New Roman" w:cs="Times New Roman"/>
              <w:sz w:val="24"/>
              <w:szCs w:val="24"/>
            </w:rPr>
          </w:pPr>
          <w:r>
            <w:fldChar w:fldCharType="begin"/>
          </w:r>
          <w:r>
            <w:instrText xml:space="preserve"> HYPERLINK \l "bookmark37" </w:instrText>
          </w:r>
          <w:r>
            <w:fldChar w:fldCharType="separate"/>
          </w:r>
          <w:r>
            <w:rPr>
              <w:rFonts w:ascii="Times New Roman" w:hAnsi="Times New Roman" w:eastAsia="Times New Roman" w:cs="Times New Roman"/>
              <w:spacing w:val="-3"/>
              <w:sz w:val="24"/>
              <w:szCs w:val="24"/>
            </w:rPr>
            <w:t>6.4</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固体废物污染防治措施可行性分析</w:t>
          </w:r>
          <w:r>
            <w:rPr>
              <w:rFonts w:ascii="宋体" w:hAnsi="宋体" w:eastAsia="宋体" w:cs="宋体"/>
              <w:sz w:val="24"/>
              <w:szCs w:val="24"/>
            </w:rPr>
            <w:tab/>
          </w:r>
          <w:r>
            <w:rPr>
              <w:rFonts w:ascii="Times New Roman" w:hAnsi="Times New Roman" w:eastAsia="Times New Roman" w:cs="Times New Roman"/>
              <w:spacing w:val="6"/>
              <w:sz w:val="24"/>
              <w:szCs w:val="24"/>
            </w:rPr>
            <w:t>146</w:t>
          </w:r>
          <w:r>
            <w:rPr>
              <w:rFonts w:ascii="Times New Roman" w:hAnsi="Times New Roman" w:eastAsia="Times New Roman" w:cs="Times New Roman"/>
              <w:spacing w:val="6"/>
              <w:sz w:val="24"/>
              <w:szCs w:val="24"/>
            </w:rPr>
            <w:fldChar w:fldCharType="end"/>
          </w:r>
        </w:p>
        <w:p w14:paraId="733D4A34">
          <w:pPr>
            <w:tabs>
              <w:tab w:val="right" w:leader="dot" w:pos="8522"/>
            </w:tabs>
            <w:spacing w:before="154" w:line="242" w:lineRule="auto"/>
            <w:ind w:left="773"/>
            <w:rPr>
              <w:rFonts w:ascii="Times New Roman" w:hAnsi="Times New Roman" w:eastAsia="Times New Roman" w:cs="Times New Roman"/>
              <w:sz w:val="24"/>
              <w:szCs w:val="24"/>
            </w:rPr>
          </w:pPr>
          <w:r>
            <w:fldChar w:fldCharType="begin"/>
          </w:r>
          <w:r>
            <w:instrText xml:space="preserve"> HYPERLINK \l "bookmark38" </w:instrText>
          </w:r>
          <w:r>
            <w:fldChar w:fldCharType="separate"/>
          </w:r>
          <w:r>
            <w:rPr>
              <w:rFonts w:ascii="Times New Roman" w:hAnsi="Times New Roman" w:eastAsia="Times New Roman" w:cs="Times New Roman"/>
              <w:spacing w:val="-1"/>
              <w:sz w:val="24"/>
              <w:szCs w:val="24"/>
            </w:rPr>
            <w:t xml:space="preserve">6.5  </w:t>
          </w:r>
          <w:r>
            <w:rPr>
              <w:rFonts w:ascii="宋体" w:hAnsi="宋体" w:eastAsia="宋体" w:cs="宋体"/>
              <w:spacing w:val="-1"/>
              <w:sz w:val="24"/>
              <w:szCs w:val="24"/>
            </w:rPr>
            <w:t>有害生物防治措施</w:t>
          </w:r>
          <w:r>
            <w:rPr>
              <w:rFonts w:ascii="宋体" w:hAnsi="宋体" w:eastAsia="宋体" w:cs="宋体"/>
              <w:sz w:val="24"/>
              <w:szCs w:val="24"/>
            </w:rPr>
            <w:tab/>
          </w:r>
          <w:r>
            <w:rPr>
              <w:rFonts w:ascii="Times New Roman" w:hAnsi="Times New Roman" w:eastAsia="Times New Roman" w:cs="Times New Roman"/>
              <w:spacing w:val="6"/>
              <w:sz w:val="24"/>
              <w:szCs w:val="24"/>
            </w:rPr>
            <w:t>149</w:t>
          </w:r>
          <w:r>
            <w:rPr>
              <w:rFonts w:ascii="Times New Roman" w:hAnsi="Times New Roman" w:eastAsia="Times New Roman" w:cs="Times New Roman"/>
              <w:spacing w:val="6"/>
              <w:sz w:val="24"/>
              <w:szCs w:val="24"/>
            </w:rPr>
            <w:fldChar w:fldCharType="end"/>
          </w:r>
        </w:p>
        <w:p w14:paraId="6ECC369E">
          <w:pPr>
            <w:tabs>
              <w:tab w:val="right" w:leader="dot" w:pos="8522"/>
            </w:tabs>
            <w:spacing w:before="244" w:line="186" w:lineRule="auto"/>
            <w:ind w:left="371"/>
            <w:rPr>
              <w:rFonts w:ascii="Times New Roman" w:hAnsi="Times New Roman" w:eastAsia="Times New Roman" w:cs="Times New Roman"/>
              <w:sz w:val="28"/>
              <w:szCs w:val="28"/>
            </w:rPr>
          </w:pPr>
          <w:r>
            <w:fldChar w:fldCharType="begin"/>
          </w:r>
          <w:r>
            <w:instrText xml:space="preserve"> HYPERLINK \l "bookmark39" </w:instrText>
          </w:r>
          <w:r>
            <w:fldChar w:fldCharType="separate"/>
          </w:r>
          <w:r>
            <w:rPr>
              <w:rFonts w:ascii="Times New Roman" w:hAnsi="Times New Roman" w:eastAsia="Times New Roman" w:cs="Times New Roman"/>
              <w:b/>
              <w:bCs/>
              <w:spacing w:val="-3"/>
              <w:sz w:val="28"/>
              <w:szCs w:val="28"/>
            </w:rPr>
            <w:t xml:space="preserve">7  </w:t>
          </w:r>
          <w:r>
            <w:rPr>
              <w:rFonts w:ascii="宋体" w:hAnsi="宋体" w:eastAsia="宋体" w:cs="宋体"/>
              <w:b/>
              <w:bCs/>
              <w:spacing w:val="-3"/>
              <w:sz w:val="28"/>
              <w:szCs w:val="28"/>
            </w:rPr>
            <w:t>环境经济损益分析</w:t>
          </w:r>
          <w:r>
            <w:rPr>
              <w:rFonts w:ascii="宋体" w:hAnsi="宋体" w:eastAsia="宋体" w:cs="宋体"/>
              <w:b/>
              <w:bCs/>
              <w:sz w:val="28"/>
              <w:szCs w:val="28"/>
            </w:rPr>
            <w:tab/>
          </w:r>
          <w:r>
            <w:rPr>
              <w:rFonts w:ascii="宋体" w:hAnsi="宋体" w:eastAsia="宋体" w:cs="宋体"/>
              <w:spacing w:val="-84"/>
              <w:sz w:val="28"/>
              <w:szCs w:val="28"/>
            </w:rPr>
            <w:t xml:space="preserve"> </w:t>
          </w:r>
          <w:r>
            <w:rPr>
              <w:rFonts w:ascii="Times New Roman" w:hAnsi="Times New Roman" w:eastAsia="Times New Roman" w:cs="Times New Roman"/>
              <w:b/>
              <w:bCs/>
              <w:spacing w:val="-6"/>
              <w:sz w:val="28"/>
              <w:szCs w:val="28"/>
            </w:rPr>
            <w:t>152</w:t>
          </w:r>
          <w:r>
            <w:rPr>
              <w:rFonts w:ascii="Times New Roman" w:hAnsi="Times New Roman" w:eastAsia="Times New Roman" w:cs="Times New Roman"/>
              <w:b/>
              <w:bCs/>
              <w:spacing w:val="-6"/>
              <w:sz w:val="28"/>
              <w:szCs w:val="28"/>
            </w:rPr>
            <w:fldChar w:fldCharType="end"/>
          </w:r>
        </w:p>
        <w:p w14:paraId="119156A3">
          <w:pPr>
            <w:tabs>
              <w:tab w:val="right" w:leader="dot" w:pos="8522"/>
            </w:tabs>
            <w:spacing w:before="251" w:line="242" w:lineRule="auto"/>
            <w:ind w:left="771"/>
            <w:rPr>
              <w:rFonts w:ascii="Times New Roman" w:hAnsi="Times New Roman" w:eastAsia="Times New Roman" w:cs="Times New Roman"/>
              <w:sz w:val="24"/>
              <w:szCs w:val="24"/>
            </w:rPr>
          </w:pPr>
          <w:r>
            <w:fldChar w:fldCharType="begin"/>
          </w:r>
          <w:r>
            <w:instrText xml:space="preserve"> HYPERLINK \l "bookmark40" </w:instrText>
          </w:r>
          <w:r>
            <w:fldChar w:fldCharType="separate"/>
          </w:r>
          <w:r>
            <w:rPr>
              <w:rFonts w:ascii="Times New Roman" w:hAnsi="Times New Roman" w:eastAsia="Times New Roman" w:cs="Times New Roman"/>
              <w:spacing w:val="-1"/>
              <w:sz w:val="24"/>
              <w:szCs w:val="24"/>
            </w:rPr>
            <w:t xml:space="preserve">7.1  </w:t>
          </w:r>
          <w:r>
            <w:rPr>
              <w:rFonts w:ascii="宋体" w:hAnsi="宋体" w:eastAsia="宋体" w:cs="宋体"/>
              <w:spacing w:val="-1"/>
              <w:sz w:val="24"/>
              <w:szCs w:val="24"/>
            </w:rPr>
            <w:t>环境经济效益分析</w:t>
          </w:r>
          <w:r>
            <w:rPr>
              <w:rFonts w:ascii="宋体" w:hAnsi="宋体" w:eastAsia="宋体" w:cs="宋体"/>
              <w:sz w:val="24"/>
              <w:szCs w:val="24"/>
            </w:rPr>
            <w:tab/>
          </w:r>
          <w:r>
            <w:rPr>
              <w:rFonts w:ascii="Times New Roman" w:hAnsi="Times New Roman" w:eastAsia="Times New Roman" w:cs="Times New Roman"/>
              <w:spacing w:val="6"/>
              <w:sz w:val="24"/>
              <w:szCs w:val="24"/>
            </w:rPr>
            <w:t>152</w:t>
          </w:r>
          <w:r>
            <w:rPr>
              <w:rFonts w:ascii="Times New Roman" w:hAnsi="Times New Roman" w:eastAsia="Times New Roman" w:cs="Times New Roman"/>
              <w:spacing w:val="6"/>
              <w:sz w:val="24"/>
              <w:szCs w:val="24"/>
            </w:rPr>
            <w:fldChar w:fldCharType="end"/>
          </w:r>
        </w:p>
        <w:p w14:paraId="3BAAB7F2">
          <w:pPr>
            <w:tabs>
              <w:tab w:val="right" w:leader="dot" w:pos="8522"/>
            </w:tabs>
            <w:spacing w:before="153" w:line="242" w:lineRule="auto"/>
            <w:ind w:left="771"/>
            <w:rPr>
              <w:rFonts w:ascii="Times New Roman" w:hAnsi="Times New Roman" w:eastAsia="Times New Roman" w:cs="Times New Roman"/>
              <w:sz w:val="24"/>
              <w:szCs w:val="24"/>
            </w:rPr>
          </w:pPr>
          <w:r>
            <w:fldChar w:fldCharType="begin"/>
          </w:r>
          <w:r>
            <w:instrText xml:space="preserve"> HYPERLINK \l "bookmark41" </w:instrText>
          </w:r>
          <w:r>
            <w:fldChar w:fldCharType="separate"/>
          </w:r>
          <w:r>
            <w:rPr>
              <w:rFonts w:ascii="Times New Roman" w:hAnsi="Times New Roman" w:eastAsia="Times New Roman" w:cs="Times New Roman"/>
              <w:spacing w:val="-5"/>
              <w:sz w:val="24"/>
              <w:szCs w:val="24"/>
            </w:rPr>
            <w:t>7.2</w:t>
          </w:r>
          <w:r>
            <w:rPr>
              <w:rFonts w:ascii="Times New Roman" w:hAnsi="Times New Roman" w:eastAsia="Times New Roman" w:cs="Times New Roman"/>
              <w:spacing w:val="7"/>
              <w:sz w:val="24"/>
              <w:szCs w:val="24"/>
            </w:rPr>
            <w:t xml:space="preserve">  </w:t>
          </w:r>
          <w:r>
            <w:rPr>
              <w:rFonts w:ascii="宋体" w:hAnsi="宋体" w:eastAsia="宋体" w:cs="宋体"/>
              <w:spacing w:val="-5"/>
              <w:sz w:val="24"/>
              <w:szCs w:val="24"/>
            </w:rPr>
            <w:t>小结</w:t>
          </w:r>
          <w:r>
            <w:rPr>
              <w:rFonts w:ascii="宋体" w:hAnsi="宋体" w:eastAsia="宋体" w:cs="宋体"/>
              <w:sz w:val="24"/>
              <w:szCs w:val="24"/>
            </w:rPr>
            <w:tab/>
          </w:r>
          <w:r>
            <w:rPr>
              <w:rFonts w:ascii="Times New Roman" w:hAnsi="Times New Roman" w:eastAsia="Times New Roman" w:cs="Times New Roman"/>
              <w:spacing w:val="6"/>
              <w:sz w:val="24"/>
              <w:szCs w:val="24"/>
            </w:rPr>
            <w:t>155</w:t>
          </w:r>
          <w:r>
            <w:rPr>
              <w:rFonts w:ascii="Times New Roman" w:hAnsi="Times New Roman" w:eastAsia="Times New Roman" w:cs="Times New Roman"/>
              <w:spacing w:val="6"/>
              <w:sz w:val="24"/>
              <w:szCs w:val="24"/>
            </w:rPr>
            <w:fldChar w:fldCharType="end"/>
          </w:r>
        </w:p>
        <w:p w14:paraId="2BE22E2B">
          <w:pPr>
            <w:tabs>
              <w:tab w:val="right" w:leader="dot" w:pos="8522"/>
            </w:tabs>
            <w:spacing w:before="245" w:line="186" w:lineRule="auto"/>
            <w:ind w:left="371"/>
            <w:rPr>
              <w:rFonts w:ascii="Times New Roman" w:hAnsi="Times New Roman" w:eastAsia="Times New Roman" w:cs="Times New Roman"/>
              <w:sz w:val="28"/>
              <w:szCs w:val="28"/>
            </w:rPr>
          </w:pPr>
          <w:r>
            <w:fldChar w:fldCharType="begin"/>
          </w:r>
          <w:r>
            <w:instrText xml:space="preserve"> HYPERLINK \l "bookmark42" </w:instrText>
          </w:r>
          <w:r>
            <w:fldChar w:fldCharType="separate"/>
          </w:r>
          <w:r>
            <w:rPr>
              <w:rFonts w:ascii="Times New Roman" w:hAnsi="Times New Roman" w:eastAsia="Times New Roman" w:cs="Times New Roman"/>
              <w:b/>
              <w:bCs/>
              <w:spacing w:val="-3"/>
              <w:sz w:val="28"/>
              <w:szCs w:val="28"/>
            </w:rPr>
            <w:t xml:space="preserve">8  </w:t>
          </w:r>
          <w:r>
            <w:rPr>
              <w:rFonts w:ascii="宋体" w:hAnsi="宋体" w:eastAsia="宋体" w:cs="宋体"/>
              <w:b/>
              <w:bCs/>
              <w:spacing w:val="-3"/>
              <w:sz w:val="28"/>
              <w:szCs w:val="28"/>
            </w:rPr>
            <w:t>环境管理与监测计划</w:t>
          </w:r>
          <w:r>
            <w:rPr>
              <w:rFonts w:ascii="宋体" w:hAnsi="宋体" w:eastAsia="宋体" w:cs="宋体"/>
              <w:b/>
              <w:bCs/>
              <w:sz w:val="28"/>
              <w:szCs w:val="28"/>
            </w:rPr>
            <w:tab/>
          </w:r>
          <w:r>
            <w:rPr>
              <w:rFonts w:ascii="宋体" w:hAnsi="宋体" w:eastAsia="宋体" w:cs="宋体"/>
              <w:spacing w:val="-89"/>
              <w:sz w:val="28"/>
              <w:szCs w:val="28"/>
            </w:rPr>
            <w:t xml:space="preserve"> </w:t>
          </w:r>
          <w:r>
            <w:rPr>
              <w:rFonts w:ascii="Times New Roman" w:hAnsi="Times New Roman" w:eastAsia="Times New Roman" w:cs="Times New Roman"/>
              <w:b/>
              <w:bCs/>
              <w:spacing w:val="-6"/>
              <w:sz w:val="28"/>
              <w:szCs w:val="28"/>
            </w:rPr>
            <w:t>156</w:t>
          </w:r>
          <w:r>
            <w:rPr>
              <w:rFonts w:ascii="Times New Roman" w:hAnsi="Times New Roman" w:eastAsia="Times New Roman" w:cs="Times New Roman"/>
              <w:b/>
              <w:bCs/>
              <w:spacing w:val="-6"/>
              <w:sz w:val="28"/>
              <w:szCs w:val="28"/>
            </w:rPr>
            <w:fldChar w:fldCharType="end"/>
          </w:r>
        </w:p>
        <w:p w14:paraId="10B255E7">
          <w:pPr>
            <w:tabs>
              <w:tab w:val="right" w:leader="dot" w:pos="8522"/>
            </w:tabs>
            <w:spacing w:before="251" w:line="242" w:lineRule="auto"/>
            <w:ind w:left="777"/>
            <w:rPr>
              <w:rFonts w:ascii="Times New Roman" w:hAnsi="Times New Roman" w:eastAsia="Times New Roman" w:cs="Times New Roman"/>
              <w:sz w:val="24"/>
              <w:szCs w:val="24"/>
            </w:rPr>
          </w:pPr>
          <w:r>
            <w:fldChar w:fldCharType="begin"/>
          </w:r>
          <w:r>
            <w:instrText xml:space="preserve"> HYPERLINK \l "bookmark43" </w:instrText>
          </w:r>
          <w:r>
            <w:fldChar w:fldCharType="separate"/>
          </w:r>
          <w:r>
            <w:rPr>
              <w:rFonts w:ascii="Times New Roman" w:hAnsi="Times New Roman" w:eastAsia="Times New Roman" w:cs="Times New Roman"/>
              <w:spacing w:val="-2"/>
              <w:sz w:val="24"/>
              <w:szCs w:val="24"/>
            </w:rPr>
            <w:t xml:space="preserve">8.1  </w:t>
          </w:r>
          <w:r>
            <w:rPr>
              <w:rFonts w:ascii="宋体" w:hAnsi="宋体" w:eastAsia="宋体" w:cs="宋体"/>
              <w:spacing w:val="-2"/>
              <w:sz w:val="24"/>
              <w:szCs w:val="24"/>
            </w:rPr>
            <w:t>环境管理</w:t>
          </w:r>
          <w:r>
            <w:rPr>
              <w:rFonts w:ascii="宋体" w:hAnsi="宋体" w:eastAsia="宋体" w:cs="宋体"/>
              <w:sz w:val="24"/>
              <w:szCs w:val="24"/>
            </w:rPr>
            <w:tab/>
          </w:r>
          <w:r>
            <w:rPr>
              <w:rFonts w:ascii="Times New Roman" w:hAnsi="Times New Roman" w:eastAsia="Times New Roman" w:cs="Times New Roman"/>
              <w:spacing w:val="6"/>
              <w:sz w:val="24"/>
              <w:szCs w:val="24"/>
            </w:rPr>
            <w:t>156</w:t>
          </w:r>
          <w:r>
            <w:rPr>
              <w:rFonts w:ascii="Times New Roman" w:hAnsi="Times New Roman" w:eastAsia="Times New Roman" w:cs="Times New Roman"/>
              <w:spacing w:val="6"/>
              <w:sz w:val="24"/>
              <w:szCs w:val="24"/>
            </w:rPr>
            <w:fldChar w:fldCharType="end"/>
          </w:r>
        </w:p>
        <w:p w14:paraId="73379DFB">
          <w:pPr>
            <w:tabs>
              <w:tab w:val="right" w:leader="dot" w:pos="8522"/>
            </w:tabs>
            <w:spacing w:before="153" w:line="242" w:lineRule="auto"/>
            <w:ind w:left="777"/>
            <w:rPr>
              <w:rFonts w:ascii="Times New Roman" w:hAnsi="Times New Roman" w:eastAsia="Times New Roman" w:cs="Times New Roman"/>
              <w:sz w:val="24"/>
              <w:szCs w:val="24"/>
            </w:rPr>
          </w:pPr>
          <w:r>
            <w:fldChar w:fldCharType="begin"/>
          </w:r>
          <w:r>
            <w:instrText xml:space="preserve"> HYPERLINK \l "bookmark44" </w:instrText>
          </w:r>
          <w:r>
            <w:fldChar w:fldCharType="separate"/>
          </w:r>
          <w:r>
            <w:rPr>
              <w:rFonts w:ascii="Times New Roman" w:hAnsi="Times New Roman" w:eastAsia="Times New Roman" w:cs="Times New Roman"/>
              <w:spacing w:val="-2"/>
              <w:sz w:val="24"/>
              <w:szCs w:val="24"/>
            </w:rPr>
            <w:t xml:space="preserve">8.2  </w:t>
          </w:r>
          <w:r>
            <w:rPr>
              <w:rFonts w:ascii="宋体" w:hAnsi="宋体" w:eastAsia="宋体" w:cs="宋体"/>
              <w:spacing w:val="-2"/>
              <w:sz w:val="24"/>
              <w:szCs w:val="24"/>
            </w:rPr>
            <w:t>环境监测</w:t>
          </w:r>
          <w:r>
            <w:rPr>
              <w:rFonts w:ascii="宋体" w:hAnsi="宋体" w:eastAsia="宋体" w:cs="宋体"/>
              <w:sz w:val="24"/>
              <w:szCs w:val="24"/>
            </w:rPr>
            <w:tab/>
          </w:r>
          <w:r>
            <w:rPr>
              <w:rFonts w:ascii="Times New Roman" w:hAnsi="Times New Roman" w:eastAsia="Times New Roman" w:cs="Times New Roman"/>
              <w:spacing w:val="6"/>
              <w:sz w:val="24"/>
              <w:szCs w:val="24"/>
            </w:rPr>
            <w:t>158</w:t>
          </w:r>
          <w:r>
            <w:rPr>
              <w:rFonts w:ascii="Times New Roman" w:hAnsi="Times New Roman" w:eastAsia="Times New Roman" w:cs="Times New Roman"/>
              <w:spacing w:val="6"/>
              <w:sz w:val="24"/>
              <w:szCs w:val="24"/>
            </w:rPr>
            <w:fldChar w:fldCharType="end"/>
          </w:r>
        </w:p>
        <w:p w14:paraId="60453EFC">
          <w:pPr>
            <w:tabs>
              <w:tab w:val="right" w:leader="dot" w:pos="8522"/>
            </w:tabs>
            <w:spacing w:before="154" w:line="242" w:lineRule="auto"/>
            <w:ind w:left="777"/>
            <w:rPr>
              <w:rFonts w:ascii="Times New Roman" w:hAnsi="Times New Roman" w:eastAsia="Times New Roman" w:cs="Times New Roman"/>
              <w:sz w:val="24"/>
              <w:szCs w:val="24"/>
            </w:rPr>
          </w:pPr>
          <w:r>
            <w:fldChar w:fldCharType="begin"/>
          </w:r>
          <w:r>
            <w:instrText xml:space="preserve"> HYPERLINK \l "bookmark45" </w:instrText>
          </w:r>
          <w:r>
            <w:fldChar w:fldCharType="separate"/>
          </w:r>
          <w:r>
            <w:rPr>
              <w:rFonts w:ascii="Times New Roman" w:hAnsi="Times New Roman" w:eastAsia="Times New Roman" w:cs="Times New Roman"/>
              <w:spacing w:val="-4"/>
              <w:sz w:val="24"/>
              <w:szCs w:val="24"/>
            </w:rPr>
            <w:t>8.3</w:t>
          </w:r>
          <w:r>
            <w:rPr>
              <w:rFonts w:ascii="Times New Roman" w:hAnsi="Times New Roman" w:eastAsia="Times New Roman" w:cs="Times New Roman"/>
              <w:spacing w:val="6"/>
              <w:sz w:val="24"/>
              <w:szCs w:val="24"/>
            </w:rPr>
            <w:t xml:space="preserve">  </w:t>
          </w:r>
          <w:r>
            <w:rPr>
              <w:rFonts w:ascii="宋体" w:hAnsi="宋体" w:eastAsia="宋体" w:cs="宋体"/>
              <w:spacing w:val="-4"/>
              <w:sz w:val="24"/>
              <w:szCs w:val="24"/>
            </w:rPr>
            <w:t>监测计划</w:t>
          </w:r>
          <w:r>
            <w:rPr>
              <w:rFonts w:ascii="宋体" w:hAnsi="宋体" w:eastAsia="宋体" w:cs="宋体"/>
              <w:sz w:val="24"/>
              <w:szCs w:val="24"/>
            </w:rPr>
            <w:tab/>
          </w:r>
          <w:r>
            <w:rPr>
              <w:rFonts w:ascii="Times New Roman" w:hAnsi="Times New Roman" w:eastAsia="Times New Roman" w:cs="Times New Roman"/>
              <w:spacing w:val="6"/>
              <w:sz w:val="24"/>
              <w:szCs w:val="24"/>
            </w:rPr>
            <w:t>159</w:t>
          </w:r>
          <w:r>
            <w:rPr>
              <w:rFonts w:ascii="Times New Roman" w:hAnsi="Times New Roman" w:eastAsia="Times New Roman" w:cs="Times New Roman"/>
              <w:spacing w:val="6"/>
              <w:sz w:val="24"/>
              <w:szCs w:val="24"/>
            </w:rPr>
            <w:fldChar w:fldCharType="end"/>
          </w:r>
        </w:p>
        <w:p w14:paraId="404140D6">
          <w:pPr>
            <w:tabs>
              <w:tab w:val="right" w:leader="dot" w:pos="8522"/>
            </w:tabs>
            <w:spacing w:before="153" w:line="242" w:lineRule="auto"/>
            <w:ind w:left="773"/>
            <w:rPr>
              <w:rFonts w:ascii="Times New Roman" w:hAnsi="Times New Roman" w:eastAsia="Times New Roman" w:cs="Times New Roman"/>
              <w:sz w:val="24"/>
              <w:szCs w:val="24"/>
            </w:rPr>
          </w:pPr>
          <w:r>
            <w:fldChar w:fldCharType="begin"/>
          </w:r>
          <w:r>
            <w:instrText xml:space="preserve"> HYPERLINK \l "bookmark46" </w:instrText>
          </w:r>
          <w:r>
            <w:fldChar w:fldCharType="separate"/>
          </w:r>
          <w:r>
            <w:rPr>
              <w:rFonts w:ascii="宋体" w:hAnsi="宋体" w:eastAsia="宋体" w:cs="宋体"/>
              <w:spacing w:val="-1"/>
              <w:sz w:val="24"/>
              <w:szCs w:val="24"/>
            </w:rPr>
            <w:t>8.4 污染物排放清单</w:t>
          </w:r>
          <w:r>
            <w:rPr>
              <w:rFonts w:ascii="宋体" w:hAnsi="宋体" w:eastAsia="宋体" w:cs="宋体"/>
              <w:sz w:val="24"/>
              <w:szCs w:val="24"/>
            </w:rPr>
            <w:tab/>
          </w:r>
          <w:r>
            <w:rPr>
              <w:rFonts w:ascii="Times New Roman" w:hAnsi="Times New Roman" w:eastAsia="Times New Roman" w:cs="Times New Roman"/>
              <w:spacing w:val="6"/>
              <w:sz w:val="24"/>
              <w:szCs w:val="24"/>
            </w:rPr>
            <w:t>163</w:t>
          </w:r>
          <w:r>
            <w:rPr>
              <w:rFonts w:ascii="Times New Roman" w:hAnsi="Times New Roman" w:eastAsia="Times New Roman" w:cs="Times New Roman"/>
              <w:spacing w:val="6"/>
              <w:sz w:val="24"/>
              <w:szCs w:val="24"/>
            </w:rPr>
            <w:fldChar w:fldCharType="end"/>
          </w:r>
        </w:p>
        <w:p w14:paraId="577E9A4C">
          <w:pPr>
            <w:tabs>
              <w:tab w:val="right" w:leader="dot" w:pos="8522"/>
            </w:tabs>
            <w:spacing w:before="153" w:line="242" w:lineRule="auto"/>
            <w:ind w:left="773"/>
            <w:rPr>
              <w:rFonts w:ascii="Times New Roman" w:hAnsi="Times New Roman" w:eastAsia="Times New Roman" w:cs="Times New Roman"/>
              <w:sz w:val="24"/>
              <w:szCs w:val="24"/>
            </w:rPr>
          </w:pPr>
          <w:r>
            <w:fldChar w:fldCharType="begin"/>
          </w:r>
          <w:r>
            <w:instrText xml:space="preserve"> HYPERLINK \l "bookmark47" </w:instrText>
          </w:r>
          <w:r>
            <w:fldChar w:fldCharType="separate"/>
          </w:r>
          <w:r>
            <w:rPr>
              <w:rFonts w:ascii="宋体" w:hAnsi="宋体" w:eastAsia="宋体" w:cs="宋体"/>
              <w:spacing w:val="-1"/>
              <w:sz w:val="24"/>
              <w:szCs w:val="24"/>
            </w:rPr>
            <w:t>8.5 环保设施</w:t>
          </w:r>
          <w:r>
            <w:rPr>
              <w:rFonts w:ascii="Times New Roman" w:hAnsi="Times New Roman" w:eastAsia="Times New Roman" w:cs="Times New Roman"/>
              <w:spacing w:val="-1"/>
              <w:sz w:val="24"/>
              <w:szCs w:val="24"/>
            </w:rPr>
            <w:t>“</w:t>
          </w:r>
          <w:r>
            <w:rPr>
              <w:rFonts w:ascii="宋体" w:hAnsi="宋体" w:eastAsia="宋体" w:cs="宋体"/>
              <w:spacing w:val="-1"/>
              <w:sz w:val="24"/>
              <w:szCs w:val="24"/>
            </w:rPr>
            <w:t>三同时</w:t>
          </w:r>
          <w:r>
            <w:rPr>
              <w:rFonts w:ascii="Times New Roman" w:hAnsi="Times New Roman" w:eastAsia="Times New Roman" w:cs="Times New Roman"/>
              <w:spacing w:val="-1"/>
              <w:sz w:val="24"/>
              <w:szCs w:val="24"/>
            </w:rPr>
            <w:t>”</w:t>
          </w:r>
          <w:r>
            <w:rPr>
              <w:rFonts w:ascii="宋体" w:hAnsi="宋体" w:eastAsia="宋体" w:cs="宋体"/>
              <w:spacing w:val="-1"/>
              <w:sz w:val="24"/>
              <w:szCs w:val="24"/>
            </w:rPr>
            <w:t>竣工验收汇总</w:t>
          </w:r>
          <w:r>
            <w:rPr>
              <w:rFonts w:ascii="宋体" w:hAnsi="宋体" w:eastAsia="宋体" w:cs="宋体"/>
              <w:sz w:val="24"/>
              <w:szCs w:val="24"/>
            </w:rPr>
            <w:tab/>
          </w:r>
          <w:r>
            <w:rPr>
              <w:rFonts w:ascii="宋体" w:hAnsi="宋体" w:eastAsia="宋体" w:cs="宋体"/>
              <w:spacing w:val="-43"/>
              <w:sz w:val="24"/>
              <w:szCs w:val="24"/>
            </w:rPr>
            <w:t xml:space="preserve"> </w:t>
          </w:r>
          <w:r>
            <w:rPr>
              <w:rFonts w:ascii="Times New Roman" w:hAnsi="Times New Roman" w:eastAsia="Times New Roman" w:cs="Times New Roman"/>
              <w:spacing w:val="-10"/>
              <w:sz w:val="24"/>
              <w:szCs w:val="24"/>
            </w:rPr>
            <w:t>166</w:t>
          </w:r>
          <w:r>
            <w:rPr>
              <w:rFonts w:ascii="Times New Roman" w:hAnsi="Times New Roman" w:eastAsia="Times New Roman" w:cs="Times New Roman"/>
              <w:spacing w:val="-10"/>
              <w:sz w:val="24"/>
              <w:szCs w:val="24"/>
            </w:rPr>
            <w:fldChar w:fldCharType="end"/>
          </w:r>
        </w:p>
        <w:p w14:paraId="00B9AE96">
          <w:pPr>
            <w:tabs>
              <w:tab w:val="right" w:leader="dot" w:pos="8522"/>
            </w:tabs>
            <w:spacing w:before="244" w:line="186" w:lineRule="auto"/>
            <w:ind w:left="370"/>
            <w:rPr>
              <w:rFonts w:ascii="Times New Roman" w:hAnsi="Times New Roman" w:eastAsia="Times New Roman" w:cs="Times New Roman"/>
              <w:sz w:val="28"/>
              <w:szCs w:val="28"/>
            </w:rPr>
          </w:pPr>
          <w:r>
            <w:fldChar w:fldCharType="begin"/>
          </w:r>
          <w:r>
            <w:instrText xml:space="preserve"> HYPERLINK \l "bookmark48" </w:instrText>
          </w:r>
          <w:r>
            <w:fldChar w:fldCharType="separate"/>
          </w:r>
          <w:r>
            <w:rPr>
              <w:rFonts w:ascii="Times New Roman" w:hAnsi="Times New Roman" w:eastAsia="Times New Roman" w:cs="Times New Roman"/>
              <w:b/>
              <w:bCs/>
              <w:spacing w:val="-3"/>
              <w:sz w:val="28"/>
              <w:szCs w:val="28"/>
            </w:rPr>
            <w:t xml:space="preserve">9  </w:t>
          </w:r>
          <w:r>
            <w:rPr>
              <w:rFonts w:ascii="宋体" w:hAnsi="宋体" w:eastAsia="宋体" w:cs="宋体"/>
              <w:b/>
              <w:bCs/>
              <w:spacing w:val="-3"/>
              <w:sz w:val="28"/>
              <w:szCs w:val="28"/>
            </w:rPr>
            <w:t>环境影响评价结论</w:t>
          </w:r>
          <w:r>
            <w:rPr>
              <w:rFonts w:ascii="宋体" w:hAnsi="宋体" w:eastAsia="宋体" w:cs="宋体"/>
              <w:b/>
              <w:bCs/>
              <w:sz w:val="28"/>
              <w:szCs w:val="28"/>
            </w:rPr>
            <w:tab/>
          </w:r>
          <w:r>
            <w:rPr>
              <w:rFonts w:ascii="宋体" w:hAnsi="宋体" w:eastAsia="宋体" w:cs="宋体"/>
              <w:spacing w:val="-84"/>
              <w:sz w:val="28"/>
              <w:szCs w:val="28"/>
            </w:rPr>
            <w:t xml:space="preserve"> </w:t>
          </w:r>
          <w:r>
            <w:rPr>
              <w:rFonts w:ascii="Times New Roman" w:hAnsi="Times New Roman" w:eastAsia="Times New Roman" w:cs="Times New Roman"/>
              <w:b/>
              <w:bCs/>
              <w:spacing w:val="-6"/>
              <w:sz w:val="28"/>
              <w:szCs w:val="28"/>
            </w:rPr>
            <w:t>169</w:t>
          </w:r>
          <w:r>
            <w:rPr>
              <w:rFonts w:ascii="Times New Roman" w:hAnsi="Times New Roman" w:eastAsia="Times New Roman" w:cs="Times New Roman"/>
              <w:b/>
              <w:bCs/>
              <w:spacing w:val="-6"/>
              <w:sz w:val="28"/>
              <w:szCs w:val="28"/>
            </w:rPr>
            <w:fldChar w:fldCharType="end"/>
          </w:r>
        </w:p>
        <w:p w14:paraId="7D75D4A1">
          <w:pPr>
            <w:tabs>
              <w:tab w:val="right" w:leader="dot" w:pos="8522"/>
            </w:tabs>
            <w:spacing w:before="252" w:line="242" w:lineRule="auto"/>
            <w:ind w:left="772"/>
            <w:rPr>
              <w:rFonts w:ascii="Times New Roman" w:hAnsi="Times New Roman" w:eastAsia="Times New Roman" w:cs="Times New Roman"/>
              <w:sz w:val="24"/>
              <w:szCs w:val="24"/>
            </w:rPr>
          </w:pPr>
          <w:r>
            <w:fldChar w:fldCharType="begin"/>
          </w:r>
          <w:r>
            <w:instrText xml:space="preserve"> HYPERLINK \l "bookmark49" </w:instrText>
          </w:r>
          <w:r>
            <w:fldChar w:fldCharType="separate"/>
          </w:r>
          <w:r>
            <w:rPr>
              <w:rFonts w:ascii="Times New Roman" w:hAnsi="Times New Roman" w:eastAsia="Times New Roman" w:cs="Times New Roman"/>
              <w:spacing w:val="-4"/>
              <w:sz w:val="24"/>
              <w:szCs w:val="24"/>
            </w:rPr>
            <w:t>9.1</w:t>
          </w:r>
          <w:r>
            <w:rPr>
              <w:rFonts w:ascii="Times New Roman" w:hAnsi="Times New Roman" w:eastAsia="Times New Roman" w:cs="Times New Roman"/>
              <w:spacing w:val="8"/>
              <w:sz w:val="24"/>
              <w:szCs w:val="24"/>
            </w:rPr>
            <w:t xml:space="preserve">  </w:t>
          </w:r>
          <w:r>
            <w:rPr>
              <w:rFonts w:ascii="宋体" w:hAnsi="宋体" w:eastAsia="宋体" w:cs="宋体"/>
              <w:spacing w:val="-4"/>
              <w:sz w:val="24"/>
              <w:szCs w:val="24"/>
            </w:rPr>
            <w:t>项目概况</w:t>
          </w:r>
          <w:r>
            <w:rPr>
              <w:rFonts w:ascii="宋体" w:hAnsi="宋体" w:eastAsia="宋体" w:cs="宋体"/>
              <w:sz w:val="24"/>
              <w:szCs w:val="24"/>
            </w:rPr>
            <w:tab/>
          </w:r>
          <w:r>
            <w:rPr>
              <w:rFonts w:ascii="Times New Roman" w:hAnsi="Times New Roman" w:eastAsia="Times New Roman" w:cs="Times New Roman"/>
              <w:spacing w:val="6"/>
              <w:sz w:val="24"/>
              <w:szCs w:val="24"/>
            </w:rPr>
            <w:t>169</w:t>
          </w:r>
          <w:r>
            <w:rPr>
              <w:rFonts w:ascii="Times New Roman" w:hAnsi="Times New Roman" w:eastAsia="Times New Roman" w:cs="Times New Roman"/>
              <w:spacing w:val="6"/>
              <w:sz w:val="24"/>
              <w:szCs w:val="24"/>
            </w:rPr>
            <w:fldChar w:fldCharType="end"/>
          </w:r>
        </w:p>
        <w:p w14:paraId="1A23FCBC">
          <w:pPr>
            <w:tabs>
              <w:tab w:val="right" w:leader="dot" w:pos="8522"/>
            </w:tabs>
            <w:spacing w:before="153" w:line="242" w:lineRule="auto"/>
            <w:ind w:left="772"/>
            <w:rPr>
              <w:rFonts w:ascii="Times New Roman" w:hAnsi="Times New Roman" w:eastAsia="Times New Roman" w:cs="Times New Roman"/>
              <w:sz w:val="24"/>
              <w:szCs w:val="24"/>
            </w:rPr>
          </w:pPr>
          <w:r>
            <w:fldChar w:fldCharType="begin"/>
          </w:r>
          <w:r>
            <w:instrText xml:space="preserve"> HYPERLINK \l "bookmark50" </w:instrText>
          </w:r>
          <w:r>
            <w:fldChar w:fldCharType="separate"/>
          </w:r>
          <w:r>
            <w:rPr>
              <w:rFonts w:ascii="Times New Roman" w:hAnsi="Times New Roman" w:eastAsia="Times New Roman" w:cs="Times New Roman"/>
              <w:spacing w:val="-1"/>
              <w:sz w:val="24"/>
              <w:szCs w:val="24"/>
            </w:rPr>
            <w:t xml:space="preserve">9.2  </w:t>
          </w:r>
          <w:r>
            <w:rPr>
              <w:rFonts w:ascii="宋体" w:hAnsi="宋体" w:eastAsia="宋体" w:cs="宋体"/>
              <w:spacing w:val="-1"/>
              <w:sz w:val="24"/>
              <w:szCs w:val="24"/>
            </w:rPr>
            <w:t>环境质量现状评价结论</w:t>
          </w:r>
          <w:r>
            <w:rPr>
              <w:rFonts w:ascii="宋体" w:hAnsi="宋体" w:eastAsia="宋体" w:cs="宋体"/>
              <w:sz w:val="24"/>
              <w:szCs w:val="24"/>
            </w:rPr>
            <w:tab/>
          </w:r>
          <w:r>
            <w:rPr>
              <w:rFonts w:ascii="Times New Roman" w:hAnsi="Times New Roman" w:eastAsia="Times New Roman" w:cs="Times New Roman"/>
              <w:spacing w:val="6"/>
              <w:sz w:val="24"/>
              <w:szCs w:val="24"/>
            </w:rPr>
            <w:t>169</w:t>
          </w:r>
          <w:r>
            <w:rPr>
              <w:rFonts w:ascii="Times New Roman" w:hAnsi="Times New Roman" w:eastAsia="Times New Roman" w:cs="Times New Roman"/>
              <w:spacing w:val="6"/>
              <w:sz w:val="24"/>
              <w:szCs w:val="24"/>
            </w:rPr>
            <w:fldChar w:fldCharType="end"/>
          </w:r>
        </w:p>
        <w:p w14:paraId="099457CE">
          <w:pPr>
            <w:tabs>
              <w:tab w:val="right" w:leader="dot" w:pos="8522"/>
            </w:tabs>
            <w:spacing w:before="153" w:line="242" w:lineRule="auto"/>
            <w:ind w:left="773"/>
            <w:rPr>
              <w:rFonts w:ascii="Times New Roman" w:hAnsi="Times New Roman" w:eastAsia="Times New Roman" w:cs="Times New Roman"/>
              <w:sz w:val="24"/>
              <w:szCs w:val="24"/>
            </w:rPr>
          </w:pPr>
          <w:r>
            <w:fldChar w:fldCharType="begin"/>
          </w:r>
          <w:r>
            <w:instrText xml:space="preserve"> HYPERLINK \l "bookmark51" </w:instrText>
          </w:r>
          <w:r>
            <w:fldChar w:fldCharType="separate"/>
          </w:r>
          <w:r>
            <w:rPr>
              <w:rFonts w:ascii="宋体" w:hAnsi="宋体" w:eastAsia="宋体" w:cs="宋体"/>
              <w:spacing w:val="-1"/>
              <w:sz w:val="24"/>
              <w:szCs w:val="24"/>
            </w:rPr>
            <w:t>9.3 施工期环境影响评价结论</w:t>
          </w:r>
          <w:r>
            <w:rPr>
              <w:rFonts w:ascii="宋体" w:hAnsi="宋体" w:eastAsia="宋体" w:cs="宋体"/>
              <w:sz w:val="24"/>
              <w:szCs w:val="24"/>
            </w:rPr>
            <w:tab/>
          </w:r>
          <w:r>
            <w:rPr>
              <w:rFonts w:ascii="Times New Roman" w:hAnsi="Times New Roman" w:eastAsia="Times New Roman" w:cs="Times New Roman"/>
              <w:spacing w:val="6"/>
              <w:sz w:val="24"/>
              <w:szCs w:val="24"/>
            </w:rPr>
            <w:t>170</w:t>
          </w:r>
          <w:r>
            <w:rPr>
              <w:rFonts w:ascii="Times New Roman" w:hAnsi="Times New Roman" w:eastAsia="Times New Roman" w:cs="Times New Roman"/>
              <w:spacing w:val="6"/>
              <w:sz w:val="24"/>
              <w:szCs w:val="24"/>
            </w:rPr>
            <w:fldChar w:fldCharType="end"/>
          </w:r>
        </w:p>
        <w:p w14:paraId="59657A4A">
          <w:pPr>
            <w:tabs>
              <w:tab w:val="right" w:leader="dot" w:pos="8522"/>
            </w:tabs>
            <w:spacing w:before="154" w:line="242" w:lineRule="auto"/>
            <w:ind w:left="773"/>
            <w:rPr>
              <w:rFonts w:ascii="Times New Roman" w:hAnsi="Times New Roman" w:eastAsia="Times New Roman" w:cs="Times New Roman"/>
              <w:sz w:val="24"/>
              <w:szCs w:val="24"/>
            </w:rPr>
          </w:pPr>
          <w:r>
            <w:fldChar w:fldCharType="begin"/>
          </w:r>
          <w:r>
            <w:instrText xml:space="preserve"> HYPERLINK \l "bookmark52" </w:instrText>
          </w:r>
          <w:r>
            <w:fldChar w:fldCharType="separate"/>
          </w:r>
          <w:r>
            <w:rPr>
              <w:rFonts w:ascii="宋体" w:hAnsi="宋体" w:eastAsia="宋体" w:cs="宋体"/>
              <w:spacing w:val="-1"/>
              <w:sz w:val="24"/>
              <w:szCs w:val="24"/>
            </w:rPr>
            <w:t>9.4 运营期环境影响评价结论</w:t>
          </w:r>
          <w:r>
            <w:rPr>
              <w:rFonts w:ascii="宋体" w:hAnsi="宋体" w:eastAsia="宋体" w:cs="宋体"/>
              <w:sz w:val="24"/>
              <w:szCs w:val="24"/>
            </w:rPr>
            <w:tab/>
          </w:r>
          <w:r>
            <w:rPr>
              <w:rFonts w:ascii="Times New Roman" w:hAnsi="Times New Roman" w:eastAsia="Times New Roman" w:cs="Times New Roman"/>
              <w:spacing w:val="6"/>
              <w:sz w:val="24"/>
              <w:szCs w:val="24"/>
            </w:rPr>
            <w:t>171</w:t>
          </w:r>
          <w:r>
            <w:rPr>
              <w:rFonts w:ascii="Times New Roman" w:hAnsi="Times New Roman" w:eastAsia="Times New Roman" w:cs="Times New Roman"/>
              <w:spacing w:val="6"/>
              <w:sz w:val="24"/>
              <w:szCs w:val="24"/>
            </w:rPr>
            <w:fldChar w:fldCharType="end"/>
          </w:r>
        </w:p>
        <w:p w14:paraId="2BC87DAF">
          <w:pPr>
            <w:tabs>
              <w:tab w:val="right" w:leader="dot" w:pos="8522"/>
            </w:tabs>
            <w:spacing w:before="153" w:line="242" w:lineRule="auto"/>
            <w:ind w:left="772"/>
            <w:rPr>
              <w:rFonts w:ascii="Times New Roman" w:hAnsi="Times New Roman" w:eastAsia="Times New Roman" w:cs="Times New Roman"/>
              <w:sz w:val="24"/>
              <w:szCs w:val="24"/>
            </w:rPr>
          </w:pPr>
          <w:r>
            <w:fldChar w:fldCharType="begin"/>
          </w:r>
          <w:r>
            <w:instrText xml:space="preserve"> HYPERLINK \l "bookmark53" </w:instrText>
          </w:r>
          <w:r>
            <w:fldChar w:fldCharType="separate"/>
          </w:r>
          <w:r>
            <w:rPr>
              <w:rFonts w:ascii="Times New Roman" w:hAnsi="Times New Roman" w:eastAsia="Times New Roman" w:cs="Times New Roman"/>
              <w:spacing w:val="-1"/>
              <w:sz w:val="24"/>
              <w:szCs w:val="24"/>
            </w:rPr>
            <w:t xml:space="preserve">9.5  </w:t>
          </w:r>
          <w:r>
            <w:rPr>
              <w:rFonts w:ascii="宋体" w:hAnsi="宋体" w:eastAsia="宋体" w:cs="宋体"/>
              <w:spacing w:val="-1"/>
              <w:sz w:val="24"/>
              <w:szCs w:val="24"/>
            </w:rPr>
            <w:t>公众意见采纳情况</w:t>
          </w:r>
          <w:r>
            <w:rPr>
              <w:rFonts w:ascii="宋体" w:hAnsi="宋体" w:eastAsia="宋体" w:cs="宋体"/>
              <w:sz w:val="24"/>
              <w:szCs w:val="24"/>
            </w:rPr>
            <w:tab/>
          </w:r>
          <w:r>
            <w:rPr>
              <w:rFonts w:ascii="Times New Roman" w:hAnsi="Times New Roman" w:eastAsia="Times New Roman" w:cs="Times New Roman"/>
              <w:spacing w:val="6"/>
              <w:sz w:val="24"/>
              <w:szCs w:val="24"/>
            </w:rPr>
            <w:t>174</w:t>
          </w:r>
          <w:r>
            <w:rPr>
              <w:rFonts w:ascii="Times New Roman" w:hAnsi="Times New Roman" w:eastAsia="Times New Roman" w:cs="Times New Roman"/>
              <w:spacing w:val="6"/>
              <w:sz w:val="24"/>
              <w:szCs w:val="24"/>
            </w:rPr>
            <w:fldChar w:fldCharType="end"/>
          </w:r>
        </w:p>
        <w:p w14:paraId="6286336C">
          <w:pPr>
            <w:tabs>
              <w:tab w:val="right" w:leader="dot" w:pos="8522"/>
            </w:tabs>
            <w:spacing w:before="154" w:line="242" w:lineRule="auto"/>
            <w:ind w:left="772"/>
            <w:rPr>
              <w:rFonts w:ascii="Times New Roman" w:hAnsi="Times New Roman" w:eastAsia="Times New Roman" w:cs="Times New Roman"/>
              <w:sz w:val="24"/>
              <w:szCs w:val="24"/>
            </w:rPr>
          </w:pPr>
          <w:r>
            <w:fldChar w:fldCharType="begin"/>
          </w:r>
          <w:r>
            <w:instrText xml:space="preserve"> HYPERLINK \l "bookmark54" </w:instrText>
          </w:r>
          <w:r>
            <w:fldChar w:fldCharType="separate"/>
          </w:r>
          <w:r>
            <w:rPr>
              <w:rFonts w:ascii="Times New Roman" w:hAnsi="Times New Roman" w:eastAsia="Times New Roman" w:cs="Times New Roman"/>
              <w:spacing w:val="-1"/>
              <w:sz w:val="24"/>
              <w:szCs w:val="24"/>
            </w:rPr>
            <w:t xml:space="preserve">9.6  </w:t>
          </w:r>
          <w:r>
            <w:rPr>
              <w:rFonts w:ascii="宋体" w:hAnsi="宋体" w:eastAsia="宋体" w:cs="宋体"/>
              <w:spacing w:val="-1"/>
              <w:sz w:val="24"/>
              <w:szCs w:val="24"/>
            </w:rPr>
            <w:t>环境影响经济损益分析结论</w:t>
          </w:r>
          <w:r>
            <w:rPr>
              <w:rFonts w:ascii="宋体" w:hAnsi="宋体" w:eastAsia="宋体" w:cs="宋体"/>
              <w:sz w:val="24"/>
              <w:szCs w:val="24"/>
            </w:rPr>
            <w:tab/>
          </w:r>
          <w:r>
            <w:rPr>
              <w:rFonts w:ascii="Times New Roman" w:hAnsi="Times New Roman" w:eastAsia="Times New Roman" w:cs="Times New Roman"/>
              <w:spacing w:val="6"/>
              <w:sz w:val="24"/>
              <w:szCs w:val="24"/>
            </w:rPr>
            <w:t>174</w:t>
          </w:r>
          <w:r>
            <w:rPr>
              <w:rFonts w:ascii="Times New Roman" w:hAnsi="Times New Roman" w:eastAsia="Times New Roman" w:cs="Times New Roman"/>
              <w:spacing w:val="6"/>
              <w:sz w:val="24"/>
              <w:szCs w:val="24"/>
            </w:rPr>
            <w:fldChar w:fldCharType="end"/>
          </w:r>
        </w:p>
        <w:p w14:paraId="4B480C61">
          <w:pPr>
            <w:tabs>
              <w:tab w:val="right" w:leader="dot" w:pos="8522"/>
            </w:tabs>
            <w:spacing w:before="153" w:line="348" w:lineRule="exact"/>
            <w:ind w:left="772"/>
            <w:rPr>
              <w:rFonts w:ascii="Times New Roman" w:hAnsi="Times New Roman" w:eastAsia="Times New Roman" w:cs="Times New Roman"/>
              <w:sz w:val="24"/>
              <w:szCs w:val="24"/>
            </w:rPr>
          </w:pPr>
          <w:r>
            <w:fldChar w:fldCharType="begin"/>
          </w:r>
          <w:r>
            <w:instrText xml:space="preserve"> HYPERLINK \l "bookmark55" </w:instrText>
          </w:r>
          <w:r>
            <w:fldChar w:fldCharType="separate"/>
          </w:r>
          <w:r>
            <w:rPr>
              <w:rFonts w:ascii="Times New Roman" w:hAnsi="Times New Roman" w:eastAsia="Times New Roman" w:cs="Times New Roman"/>
              <w:spacing w:val="-4"/>
              <w:position w:val="2"/>
              <w:sz w:val="24"/>
              <w:szCs w:val="24"/>
            </w:rPr>
            <w:t>9.7</w:t>
          </w:r>
          <w:r>
            <w:rPr>
              <w:rFonts w:ascii="Times New Roman" w:hAnsi="Times New Roman" w:eastAsia="Times New Roman" w:cs="Times New Roman"/>
              <w:spacing w:val="8"/>
              <w:position w:val="2"/>
              <w:sz w:val="24"/>
              <w:szCs w:val="24"/>
            </w:rPr>
            <w:t xml:space="preserve">  </w:t>
          </w:r>
          <w:r>
            <w:rPr>
              <w:rFonts w:ascii="宋体" w:hAnsi="宋体" w:eastAsia="宋体" w:cs="宋体"/>
              <w:spacing w:val="-4"/>
              <w:position w:val="2"/>
              <w:sz w:val="24"/>
              <w:szCs w:val="24"/>
            </w:rPr>
            <w:t>综合结论</w:t>
          </w:r>
          <w:r>
            <w:rPr>
              <w:rFonts w:ascii="宋体" w:hAnsi="宋体" w:eastAsia="宋体" w:cs="宋体"/>
              <w:position w:val="2"/>
              <w:sz w:val="24"/>
              <w:szCs w:val="24"/>
            </w:rPr>
            <w:tab/>
          </w:r>
          <w:r>
            <w:rPr>
              <w:rFonts w:ascii="Times New Roman" w:hAnsi="Times New Roman" w:eastAsia="Times New Roman" w:cs="Times New Roman"/>
              <w:spacing w:val="6"/>
              <w:position w:val="2"/>
              <w:sz w:val="24"/>
              <w:szCs w:val="24"/>
            </w:rPr>
            <w:t>175</w:t>
          </w:r>
          <w:r>
            <w:rPr>
              <w:rFonts w:ascii="Times New Roman" w:hAnsi="Times New Roman" w:eastAsia="Times New Roman" w:cs="Times New Roman"/>
              <w:spacing w:val="6"/>
              <w:position w:val="2"/>
              <w:sz w:val="24"/>
              <w:szCs w:val="24"/>
            </w:rPr>
            <w:fldChar w:fldCharType="end"/>
          </w:r>
        </w:p>
      </w:sdtContent>
    </w:sdt>
    <w:p w14:paraId="574B7C8B">
      <w:pPr>
        <w:spacing w:line="348" w:lineRule="exact"/>
        <w:rPr>
          <w:rFonts w:ascii="Times New Roman" w:hAnsi="Times New Roman" w:eastAsia="Times New Roman" w:cs="Times New Roman"/>
          <w:sz w:val="24"/>
          <w:szCs w:val="24"/>
        </w:rPr>
        <w:sectPr>
          <w:footerReference r:id="rId6" w:type="default"/>
          <w:pgSz w:w="11906" w:h="16839"/>
          <w:pgMar w:top="1431" w:right="1595" w:bottom="1566" w:left="1785" w:header="0" w:footer="1406" w:gutter="0"/>
          <w:cols w:space="720" w:num="1"/>
        </w:sectPr>
      </w:pPr>
    </w:p>
    <w:p w14:paraId="745B77CC">
      <w:pPr>
        <w:spacing w:before="65" w:line="362" w:lineRule="exact"/>
        <w:jc w:val="right"/>
        <w:rPr>
          <w:rFonts w:ascii="Times New Roman" w:hAnsi="Times New Roman" w:eastAsia="Times New Roman" w:cs="Times New Roman"/>
          <w:sz w:val="24"/>
          <w:szCs w:val="24"/>
        </w:rPr>
      </w:pPr>
      <w:r>
        <w:fldChar w:fldCharType="begin"/>
      </w:r>
      <w:r>
        <w:instrText xml:space="preserve"> HYPERLINK \l "bookmark56" </w:instrText>
      </w:r>
      <w:r>
        <w:fldChar w:fldCharType="separate"/>
      </w:r>
      <w:r>
        <w:rPr>
          <w:rFonts w:ascii="宋体" w:hAnsi="宋体" w:eastAsia="宋体" w:cs="宋体"/>
          <w:position w:val="2"/>
          <w:sz w:val="24"/>
          <w:szCs w:val="24"/>
        </w:rPr>
        <w:t>9.8 其他建议</w:t>
      </w:r>
      <w:r>
        <w:rPr>
          <w:rFonts w:ascii="Times New Roman" w:hAnsi="Times New Roman" w:eastAsia="Times New Roman" w:cs="Times New Roman"/>
          <w:position w:val="2"/>
          <w:sz w:val="24"/>
          <w:szCs w:val="24"/>
        </w:rPr>
        <w:t>...................................................................................................175</w:t>
      </w:r>
      <w:r>
        <w:rPr>
          <w:rFonts w:ascii="Times New Roman" w:hAnsi="Times New Roman" w:eastAsia="Times New Roman" w:cs="Times New Roman"/>
          <w:position w:val="2"/>
          <w:sz w:val="24"/>
          <w:szCs w:val="24"/>
        </w:rPr>
        <w:fldChar w:fldCharType="end"/>
      </w:r>
    </w:p>
    <w:p w14:paraId="0154AD17">
      <w:pPr>
        <w:pStyle w:val="2"/>
        <w:spacing w:line="342" w:lineRule="auto"/>
      </w:pPr>
    </w:p>
    <w:p w14:paraId="0042EAEA">
      <w:pPr>
        <w:pStyle w:val="2"/>
        <w:spacing w:line="342" w:lineRule="auto"/>
      </w:pPr>
    </w:p>
    <w:p w14:paraId="2868AE04">
      <w:pPr>
        <w:spacing w:before="78" w:line="219" w:lineRule="auto"/>
        <w:ind w:left="28"/>
        <w:rPr>
          <w:rFonts w:ascii="宋体" w:hAnsi="宋体" w:eastAsia="宋体" w:cs="宋体"/>
          <w:sz w:val="24"/>
          <w:szCs w:val="24"/>
        </w:rPr>
      </w:pPr>
      <w:r>
        <w:rPr>
          <w:rFonts w:ascii="宋体" w:hAnsi="宋体" w:eastAsia="宋体" w:cs="宋体"/>
          <w:b/>
          <w:bCs/>
          <w:spacing w:val="-12"/>
          <w:sz w:val="24"/>
          <w:szCs w:val="24"/>
        </w:rPr>
        <w:t>附件：</w:t>
      </w:r>
    </w:p>
    <w:p w14:paraId="5C471636">
      <w:pPr>
        <w:spacing w:before="147" w:line="357" w:lineRule="auto"/>
        <w:ind w:left="27" w:right="540" w:hanging="28"/>
        <w:rPr>
          <w:rFonts w:ascii="宋体" w:hAnsi="宋体" w:eastAsia="宋体" w:cs="宋体"/>
          <w:sz w:val="24"/>
          <w:szCs w:val="24"/>
        </w:rPr>
      </w:pPr>
      <w:r>
        <w:rPr>
          <w:rFonts w:ascii="宋体" w:hAnsi="宋体" w:eastAsia="宋体" w:cs="宋体"/>
          <w:spacing w:val="-4"/>
          <w:sz w:val="24"/>
          <w:szCs w:val="24"/>
        </w:rPr>
        <w:t>附件</w:t>
      </w:r>
      <w:r>
        <w:rPr>
          <w:rFonts w:ascii="宋体" w:hAnsi="宋体" w:eastAsia="宋体" w:cs="宋体"/>
          <w:spacing w:val="-14"/>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《汕尾市天磊联信种养有限公司生猪养殖项目》环境影响评价委托书；</w:t>
      </w:r>
      <w:r>
        <w:rPr>
          <w:rFonts w:ascii="宋体" w:hAnsi="宋体" w:eastAsia="宋体" w:cs="宋体"/>
          <w:sz w:val="24"/>
          <w:szCs w:val="24"/>
        </w:rPr>
        <w:t xml:space="preserve"> </w:t>
      </w:r>
      <w:r>
        <w:rPr>
          <w:rFonts w:ascii="宋体" w:hAnsi="宋体" w:eastAsia="宋体" w:cs="宋体"/>
          <w:spacing w:val="-7"/>
          <w:sz w:val="24"/>
          <w:szCs w:val="24"/>
        </w:rPr>
        <w:t>附件</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2</w:t>
      </w:r>
      <w:r>
        <w:rPr>
          <w:rFonts w:ascii="Times New Roman" w:hAnsi="Times New Roman" w:eastAsia="Times New Roman" w:cs="Times New Roman"/>
          <w:spacing w:val="16"/>
          <w:w w:val="101"/>
          <w:sz w:val="24"/>
          <w:szCs w:val="24"/>
        </w:rPr>
        <w:t xml:space="preserve"> </w:t>
      </w:r>
      <w:r>
        <w:rPr>
          <w:rFonts w:ascii="宋体" w:hAnsi="宋体" w:eastAsia="宋体" w:cs="宋体"/>
          <w:spacing w:val="-7"/>
          <w:sz w:val="24"/>
          <w:szCs w:val="24"/>
        </w:rPr>
        <w:t>营业执照；</w:t>
      </w:r>
    </w:p>
    <w:p w14:paraId="73CDEDA6">
      <w:pPr>
        <w:spacing w:before="8" w:line="359" w:lineRule="exact"/>
        <w:ind w:left="28"/>
        <w:rPr>
          <w:rFonts w:ascii="宋体" w:hAnsi="宋体" w:eastAsia="宋体" w:cs="宋体"/>
          <w:sz w:val="24"/>
          <w:szCs w:val="24"/>
        </w:rPr>
      </w:pPr>
      <w:r>
        <w:rPr>
          <w:rFonts w:ascii="宋体" w:hAnsi="宋体" w:eastAsia="宋体" w:cs="宋体"/>
          <w:spacing w:val="2"/>
          <w:position w:val="2"/>
          <w:sz w:val="24"/>
          <w:szCs w:val="24"/>
        </w:rPr>
        <w:t>附件</w:t>
      </w:r>
      <w:r>
        <w:rPr>
          <w:rFonts w:ascii="Times New Roman" w:hAnsi="Times New Roman" w:eastAsia="Times New Roman" w:cs="Times New Roman"/>
          <w:spacing w:val="2"/>
          <w:position w:val="2"/>
          <w:sz w:val="24"/>
          <w:szCs w:val="24"/>
        </w:rPr>
        <w:t xml:space="preserve">3 </w:t>
      </w:r>
      <w:r>
        <w:rPr>
          <w:rFonts w:ascii="宋体" w:hAnsi="宋体" w:eastAsia="宋体" w:cs="宋体"/>
          <w:spacing w:val="2"/>
          <w:position w:val="2"/>
          <w:sz w:val="24"/>
          <w:szCs w:val="24"/>
        </w:rPr>
        <w:t>土地使用证明；</w:t>
      </w:r>
    </w:p>
    <w:p w14:paraId="1855AA31">
      <w:pPr>
        <w:spacing w:before="108" w:line="360" w:lineRule="exact"/>
        <w:ind w:left="28"/>
        <w:rPr>
          <w:rFonts w:ascii="宋体" w:hAnsi="宋体" w:eastAsia="宋体" w:cs="宋体"/>
          <w:sz w:val="24"/>
          <w:szCs w:val="24"/>
        </w:rPr>
      </w:pPr>
      <w:r>
        <w:rPr>
          <w:rFonts w:ascii="宋体" w:hAnsi="宋体" w:eastAsia="宋体" w:cs="宋体"/>
          <w:spacing w:val="-3"/>
          <w:position w:val="2"/>
          <w:sz w:val="24"/>
          <w:szCs w:val="24"/>
        </w:rPr>
        <w:t>附件</w:t>
      </w:r>
      <w:r>
        <w:rPr>
          <w:rFonts w:ascii="宋体" w:hAnsi="宋体" w:eastAsia="宋体" w:cs="宋体"/>
          <w:spacing w:val="-57"/>
          <w:position w:val="2"/>
          <w:sz w:val="24"/>
          <w:szCs w:val="24"/>
        </w:rPr>
        <w:t xml:space="preserve"> </w:t>
      </w:r>
      <w:r>
        <w:rPr>
          <w:rFonts w:ascii="Times New Roman" w:hAnsi="Times New Roman" w:eastAsia="Times New Roman" w:cs="Times New Roman"/>
          <w:spacing w:val="-3"/>
          <w:position w:val="2"/>
          <w:sz w:val="24"/>
          <w:szCs w:val="24"/>
        </w:rPr>
        <w:t xml:space="preserve">4 </w:t>
      </w:r>
      <w:r>
        <w:rPr>
          <w:rFonts w:ascii="宋体" w:hAnsi="宋体" w:eastAsia="宋体" w:cs="宋体"/>
          <w:spacing w:val="-3"/>
          <w:position w:val="2"/>
          <w:sz w:val="24"/>
          <w:szCs w:val="24"/>
        </w:rPr>
        <w:t>非林用地证明；</w:t>
      </w:r>
    </w:p>
    <w:p w14:paraId="3939E9D8">
      <w:pPr>
        <w:spacing w:before="143" w:line="219" w:lineRule="auto"/>
        <w:ind w:left="28"/>
        <w:rPr>
          <w:rFonts w:ascii="宋体" w:hAnsi="宋体" w:eastAsia="宋体" w:cs="宋体"/>
          <w:sz w:val="24"/>
          <w:szCs w:val="24"/>
        </w:rPr>
      </w:pPr>
      <w:r>
        <w:rPr>
          <w:rFonts w:ascii="宋体" w:hAnsi="宋体" w:eastAsia="宋体" w:cs="宋体"/>
          <w:spacing w:val="-3"/>
          <w:sz w:val="24"/>
          <w:szCs w:val="24"/>
        </w:rPr>
        <w:t>附件</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空气、地下水、土壤、声环境质量现状监测报告；</w:t>
      </w:r>
    </w:p>
    <w:p w14:paraId="1B7B95EF">
      <w:pPr>
        <w:spacing w:before="148" w:line="359" w:lineRule="exact"/>
        <w:ind w:left="28"/>
        <w:rPr>
          <w:rFonts w:ascii="宋体" w:hAnsi="宋体" w:eastAsia="宋体" w:cs="宋体"/>
          <w:sz w:val="24"/>
          <w:szCs w:val="24"/>
        </w:rPr>
      </w:pPr>
      <w:r>
        <w:rPr>
          <w:rFonts w:ascii="宋体" w:hAnsi="宋体" w:eastAsia="宋体" w:cs="宋体"/>
          <w:spacing w:val="2"/>
          <w:position w:val="2"/>
          <w:sz w:val="24"/>
          <w:szCs w:val="24"/>
        </w:rPr>
        <w:t>附件</w:t>
      </w:r>
      <w:r>
        <w:rPr>
          <w:rFonts w:ascii="Times New Roman" w:hAnsi="Times New Roman" w:eastAsia="Times New Roman" w:cs="Times New Roman"/>
          <w:spacing w:val="2"/>
          <w:position w:val="2"/>
          <w:sz w:val="24"/>
          <w:szCs w:val="24"/>
        </w:rPr>
        <w:t xml:space="preserve">6  </w:t>
      </w:r>
      <w:r>
        <w:rPr>
          <w:rFonts w:ascii="宋体" w:hAnsi="宋体" w:eastAsia="宋体" w:cs="宋体"/>
          <w:spacing w:val="2"/>
          <w:position w:val="2"/>
          <w:sz w:val="24"/>
          <w:szCs w:val="24"/>
        </w:rPr>
        <w:t>病死猪尸体接纳证明。</w:t>
      </w:r>
    </w:p>
    <w:p w14:paraId="38307B4E">
      <w:pPr>
        <w:pStyle w:val="2"/>
        <w:spacing w:line="249" w:lineRule="auto"/>
      </w:pPr>
    </w:p>
    <w:p w14:paraId="2EAA1BFF">
      <w:pPr>
        <w:pStyle w:val="2"/>
        <w:spacing w:line="249" w:lineRule="auto"/>
      </w:pPr>
    </w:p>
    <w:p w14:paraId="485D5C7D">
      <w:pPr>
        <w:pStyle w:val="2"/>
        <w:spacing w:line="249" w:lineRule="auto"/>
      </w:pPr>
    </w:p>
    <w:p w14:paraId="2466E7D9">
      <w:pPr>
        <w:pStyle w:val="2"/>
        <w:spacing w:line="249" w:lineRule="auto"/>
      </w:pPr>
    </w:p>
    <w:p w14:paraId="22167465">
      <w:pPr>
        <w:spacing w:before="78" w:line="219" w:lineRule="auto"/>
        <w:ind w:left="28"/>
        <w:rPr>
          <w:rFonts w:ascii="宋体" w:hAnsi="宋体" w:eastAsia="宋体" w:cs="宋体"/>
          <w:sz w:val="24"/>
          <w:szCs w:val="24"/>
        </w:rPr>
      </w:pPr>
      <w:r>
        <w:rPr>
          <w:rFonts w:ascii="宋体" w:hAnsi="宋体" w:eastAsia="宋体" w:cs="宋体"/>
          <w:b/>
          <w:bCs/>
          <w:spacing w:val="-12"/>
          <w:sz w:val="24"/>
          <w:szCs w:val="24"/>
        </w:rPr>
        <w:t>附表：</w:t>
      </w:r>
    </w:p>
    <w:p w14:paraId="24CB166D">
      <w:pPr>
        <w:spacing w:before="148" w:line="358" w:lineRule="exact"/>
        <w:ind w:left="28"/>
        <w:rPr>
          <w:rFonts w:ascii="宋体" w:hAnsi="宋体" w:eastAsia="宋体" w:cs="宋体"/>
          <w:sz w:val="24"/>
          <w:szCs w:val="24"/>
        </w:rPr>
      </w:pPr>
      <w:r>
        <w:rPr>
          <w:rFonts w:ascii="宋体" w:hAnsi="宋体" w:eastAsia="宋体" w:cs="宋体"/>
          <w:spacing w:val="-3"/>
          <w:position w:val="2"/>
          <w:sz w:val="24"/>
          <w:szCs w:val="24"/>
        </w:rPr>
        <w:t>附表</w:t>
      </w:r>
      <w:r>
        <w:rPr>
          <w:rFonts w:ascii="宋体" w:hAnsi="宋体" w:eastAsia="宋体" w:cs="宋体"/>
          <w:spacing w:val="-30"/>
          <w:position w:val="2"/>
          <w:sz w:val="24"/>
          <w:szCs w:val="24"/>
        </w:rPr>
        <w:t xml:space="preserve"> </w:t>
      </w:r>
      <w:r>
        <w:rPr>
          <w:rFonts w:ascii="Times New Roman" w:hAnsi="Times New Roman" w:eastAsia="Times New Roman" w:cs="Times New Roman"/>
          <w:spacing w:val="-3"/>
          <w:position w:val="2"/>
          <w:sz w:val="24"/>
          <w:szCs w:val="24"/>
        </w:rPr>
        <w:t xml:space="preserve">1 </w:t>
      </w:r>
      <w:r>
        <w:rPr>
          <w:rFonts w:ascii="宋体" w:hAnsi="宋体" w:eastAsia="宋体" w:cs="宋体"/>
          <w:spacing w:val="-3"/>
          <w:position w:val="2"/>
          <w:sz w:val="24"/>
          <w:szCs w:val="24"/>
        </w:rPr>
        <w:t>建设项目大气环境影响评价自查表；</w:t>
      </w:r>
    </w:p>
    <w:p w14:paraId="3F9048E7">
      <w:pPr>
        <w:spacing w:before="110" w:line="358" w:lineRule="exact"/>
        <w:ind w:left="28"/>
        <w:rPr>
          <w:rFonts w:ascii="宋体" w:hAnsi="宋体" w:eastAsia="宋体" w:cs="宋体"/>
          <w:sz w:val="24"/>
          <w:szCs w:val="24"/>
        </w:rPr>
      </w:pPr>
      <w:r>
        <w:rPr>
          <w:rFonts w:ascii="宋体" w:hAnsi="宋体" w:eastAsia="宋体" w:cs="宋体"/>
          <w:spacing w:val="-2"/>
          <w:position w:val="2"/>
          <w:sz w:val="24"/>
          <w:szCs w:val="24"/>
        </w:rPr>
        <w:t>附表</w:t>
      </w:r>
      <w:r>
        <w:rPr>
          <w:rFonts w:ascii="宋体" w:hAnsi="宋体" w:eastAsia="宋体" w:cs="宋体"/>
          <w:spacing w:val="-54"/>
          <w:position w:val="2"/>
          <w:sz w:val="24"/>
          <w:szCs w:val="24"/>
        </w:rPr>
        <w:t xml:space="preserve"> </w:t>
      </w:r>
      <w:r>
        <w:rPr>
          <w:rFonts w:ascii="Times New Roman" w:hAnsi="Times New Roman" w:eastAsia="Times New Roman" w:cs="Times New Roman"/>
          <w:spacing w:val="-2"/>
          <w:position w:val="2"/>
          <w:sz w:val="24"/>
          <w:szCs w:val="24"/>
        </w:rPr>
        <w:t xml:space="preserve">2 </w:t>
      </w:r>
      <w:r>
        <w:rPr>
          <w:rFonts w:ascii="宋体" w:hAnsi="宋体" w:eastAsia="宋体" w:cs="宋体"/>
          <w:spacing w:val="-2"/>
          <w:position w:val="2"/>
          <w:sz w:val="24"/>
          <w:szCs w:val="24"/>
        </w:rPr>
        <w:t>建设项目环境风险评价自查表；</w:t>
      </w:r>
    </w:p>
    <w:p w14:paraId="1A960216">
      <w:pPr>
        <w:spacing w:before="110" w:line="358" w:lineRule="exact"/>
        <w:ind w:left="28"/>
        <w:rPr>
          <w:rFonts w:ascii="宋体" w:hAnsi="宋体" w:eastAsia="宋体" w:cs="宋体"/>
          <w:sz w:val="24"/>
          <w:szCs w:val="24"/>
        </w:rPr>
      </w:pPr>
      <w:r>
        <w:rPr>
          <w:rFonts w:ascii="宋体" w:hAnsi="宋体" w:eastAsia="宋体" w:cs="宋体"/>
          <w:spacing w:val="1"/>
          <w:position w:val="2"/>
          <w:sz w:val="24"/>
          <w:szCs w:val="24"/>
        </w:rPr>
        <w:t>附表</w:t>
      </w:r>
      <w:r>
        <w:rPr>
          <w:rFonts w:ascii="Times New Roman" w:hAnsi="Times New Roman" w:eastAsia="Times New Roman" w:cs="Times New Roman"/>
          <w:spacing w:val="1"/>
          <w:position w:val="2"/>
          <w:sz w:val="24"/>
          <w:szCs w:val="24"/>
        </w:rPr>
        <w:t xml:space="preserve">3 </w:t>
      </w:r>
      <w:r>
        <w:rPr>
          <w:rFonts w:ascii="宋体" w:hAnsi="宋体" w:eastAsia="宋体" w:cs="宋体"/>
          <w:spacing w:val="1"/>
          <w:position w:val="2"/>
          <w:sz w:val="24"/>
          <w:szCs w:val="24"/>
        </w:rPr>
        <w:t>建设项目土壤环境影响评价自查表；</w:t>
      </w:r>
    </w:p>
    <w:p w14:paraId="585C4B08">
      <w:pPr>
        <w:spacing w:before="110" w:line="358" w:lineRule="exact"/>
        <w:ind w:left="28"/>
        <w:rPr>
          <w:rFonts w:ascii="宋体" w:hAnsi="宋体" w:eastAsia="宋体" w:cs="宋体"/>
          <w:sz w:val="24"/>
          <w:szCs w:val="24"/>
        </w:rPr>
      </w:pPr>
      <w:r>
        <w:rPr>
          <w:rFonts w:ascii="宋体" w:hAnsi="宋体" w:eastAsia="宋体" w:cs="宋体"/>
          <w:spacing w:val="-2"/>
          <w:position w:val="2"/>
          <w:sz w:val="24"/>
          <w:szCs w:val="24"/>
        </w:rPr>
        <w:t>附表</w:t>
      </w:r>
      <w:r>
        <w:rPr>
          <w:rFonts w:ascii="宋体" w:hAnsi="宋体" w:eastAsia="宋体" w:cs="宋体"/>
          <w:spacing w:val="-50"/>
          <w:position w:val="2"/>
          <w:sz w:val="24"/>
          <w:szCs w:val="24"/>
        </w:rPr>
        <w:t xml:space="preserve"> </w:t>
      </w:r>
      <w:r>
        <w:rPr>
          <w:rFonts w:ascii="Times New Roman" w:hAnsi="Times New Roman" w:eastAsia="Times New Roman" w:cs="Times New Roman"/>
          <w:spacing w:val="-2"/>
          <w:position w:val="2"/>
          <w:sz w:val="24"/>
          <w:szCs w:val="24"/>
        </w:rPr>
        <w:t xml:space="preserve">4 </w:t>
      </w:r>
      <w:r>
        <w:rPr>
          <w:rFonts w:ascii="宋体" w:hAnsi="宋体" w:eastAsia="宋体" w:cs="宋体"/>
          <w:spacing w:val="-2"/>
          <w:position w:val="2"/>
          <w:sz w:val="24"/>
          <w:szCs w:val="24"/>
        </w:rPr>
        <w:t>建设项目环境影响评价基础信息表。</w:t>
      </w:r>
    </w:p>
    <w:p w14:paraId="181B2A07">
      <w:pPr>
        <w:spacing w:line="358" w:lineRule="exact"/>
        <w:rPr>
          <w:rFonts w:ascii="宋体" w:hAnsi="宋体" w:eastAsia="宋体" w:cs="宋体"/>
          <w:sz w:val="24"/>
          <w:szCs w:val="24"/>
        </w:rPr>
        <w:sectPr>
          <w:footerReference r:id="rId7" w:type="default"/>
          <w:pgSz w:w="11906" w:h="16839"/>
          <w:pgMar w:top="1431" w:right="1598" w:bottom="1566" w:left="1756" w:header="0" w:footer="1406" w:gutter="0"/>
          <w:cols w:space="720" w:num="1"/>
        </w:sectPr>
      </w:pPr>
    </w:p>
    <w:p w14:paraId="68A7CB3B">
      <w:pPr>
        <w:pStyle w:val="2"/>
        <w:spacing w:line="297" w:lineRule="auto"/>
      </w:pPr>
    </w:p>
    <w:p w14:paraId="1A9DEECC">
      <w:pPr>
        <w:spacing w:before="140" w:line="635" w:lineRule="exact"/>
        <w:ind w:left="3840"/>
        <w:outlineLvl w:val="0"/>
        <w:rPr>
          <w:rFonts w:ascii="黑体" w:hAnsi="黑体" w:eastAsia="黑体" w:cs="黑体"/>
          <w:sz w:val="43"/>
          <w:szCs w:val="43"/>
        </w:rPr>
      </w:pPr>
      <w:bookmarkStart w:id="0" w:name="bookmark1"/>
      <w:bookmarkEnd w:id="0"/>
      <w:bookmarkStart w:id="1" w:name="bookmark2"/>
      <w:bookmarkEnd w:id="1"/>
      <w:r>
        <w:rPr>
          <w:rFonts w:ascii="Calibri" w:hAnsi="Calibri" w:eastAsia="Calibri" w:cs="Calibri"/>
          <w:spacing w:val="-5"/>
          <w:position w:val="4"/>
          <w:sz w:val="43"/>
          <w:szCs w:val="43"/>
        </w:rPr>
        <w:t>1</w:t>
      </w:r>
      <w:r>
        <w:rPr>
          <w:rFonts w:ascii="黑体" w:hAnsi="黑体" w:eastAsia="黑体" w:cs="黑体"/>
          <w:spacing w:val="-5"/>
          <w:position w:val="4"/>
          <w:sz w:val="43"/>
          <w:szCs w:val="43"/>
        </w:rPr>
        <w:t>概述</w:t>
      </w:r>
    </w:p>
    <w:p w14:paraId="2D9689BE">
      <w:pPr>
        <w:pStyle w:val="2"/>
        <w:spacing w:line="385" w:lineRule="auto"/>
      </w:pPr>
    </w:p>
    <w:p w14:paraId="41AF5D5F">
      <w:pPr>
        <w:spacing w:before="101" w:line="225" w:lineRule="auto"/>
        <w:ind w:left="12"/>
        <w:outlineLvl w:val="1"/>
        <w:rPr>
          <w:rFonts w:ascii="宋体" w:hAnsi="宋体" w:eastAsia="宋体" w:cs="宋体"/>
          <w:sz w:val="31"/>
          <w:szCs w:val="31"/>
        </w:rPr>
      </w:pPr>
      <w:bookmarkStart w:id="2" w:name="bookmark57"/>
      <w:bookmarkEnd w:id="2"/>
      <w:r>
        <w:rPr>
          <w:rFonts w:ascii="Times New Roman" w:hAnsi="Times New Roman" w:eastAsia="Times New Roman" w:cs="Times New Roman"/>
          <w:b/>
          <w:bCs/>
          <w:spacing w:val="2"/>
          <w:sz w:val="31"/>
          <w:szCs w:val="31"/>
        </w:rPr>
        <w:t>1.1</w:t>
      </w:r>
      <w:r>
        <w:rPr>
          <w:rFonts w:ascii="宋体" w:hAnsi="宋体" w:eastAsia="宋体" w:cs="宋体"/>
          <w:b/>
          <w:bCs/>
          <w:spacing w:val="2"/>
          <w:sz w:val="31"/>
          <w:szCs w:val="31"/>
        </w:rPr>
        <w:t>项目由来</w:t>
      </w:r>
    </w:p>
    <w:p w14:paraId="65C1752C">
      <w:pPr>
        <w:pStyle w:val="2"/>
        <w:spacing w:line="349" w:lineRule="auto"/>
      </w:pPr>
    </w:p>
    <w:p w14:paraId="4D89AA8E">
      <w:pPr>
        <w:spacing w:before="78" w:line="360" w:lineRule="auto"/>
        <w:ind w:firstLine="486"/>
        <w:jc w:val="both"/>
        <w:rPr>
          <w:rFonts w:ascii="宋体" w:hAnsi="宋体" w:eastAsia="宋体" w:cs="宋体"/>
          <w:sz w:val="24"/>
          <w:szCs w:val="24"/>
        </w:rPr>
      </w:pPr>
      <w:r>
        <w:rPr>
          <w:rFonts w:ascii="宋体" w:hAnsi="宋体" w:eastAsia="宋体" w:cs="宋体"/>
          <w:spacing w:val="-7"/>
          <w:sz w:val="24"/>
          <w:szCs w:val="24"/>
        </w:rPr>
        <w:t>《广东省生猪生产发展总体规划和区域布局（</w:t>
      </w:r>
      <w:r>
        <w:rPr>
          <w:rFonts w:ascii="Times New Roman" w:hAnsi="Times New Roman" w:eastAsia="Times New Roman" w:cs="Times New Roman"/>
          <w:spacing w:val="-7"/>
          <w:sz w:val="24"/>
          <w:szCs w:val="24"/>
        </w:rPr>
        <w:t xml:space="preserve">2008-2020 </w:t>
      </w:r>
      <w:r>
        <w:rPr>
          <w:rFonts w:ascii="宋体" w:hAnsi="宋体" w:eastAsia="宋体" w:cs="宋体"/>
          <w:spacing w:val="-7"/>
          <w:sz w:val="24"/>
          <w:szCs w:val="24"/>
        </w:rPr>
        <w:t>年）》指出，争取</w:t>
      </w:r>
      <w:r>
        <w:rPr>
          <w:rFonts w:ascii="宋体" w:hAnsi="宋体" w:eastAsia="宋体" w:cs="宋体"/>
          <w:spacing w:val="-8"/>
          <w:sz w:val="24"/>
          <w:szCs w:val="24"/>
        </w:rPr>
        <w:t>在</w:t>
      </w:r>
      <w:r>
        <w:rPr>
          <w:rFonts w:ascii="Times New Roman" w:hAnsi="Times New Roman" w:eastAsia="Times New Roman" w:cs="Times New Roman"/>
          <w:spacing w:val="-8"/>
          <w:sz w:val="24"/>
          <w:szCs w:val="24"/>
        </w:rPr>
        <w:t>2020</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年全省标准化养殖比例达到</w:t>
      </w:r>
      <w:r>
        <w:rPr>
          <w:rFonts w:ascii="Times New Roman" w:hAnsi="Times New Roman" w:eastAsia="Times New Roman" w:cs="Times New Roman"/>
          <w:spacing w:val="3"/>
          <w:sz w:val="24"/>
          <w:szCs w:val="24"/>
        </w:rPr>
        <w:t>90%</w:t>
      </w:r>
      <w:r>
        <w:rPr>
          <w:rFonts w:ascii="宋体" w:hAnsi="宋体" w:eastAsia="宋体" w:cs="宋体"/>
          <w:spacing w:val="3"/>
          <w:sz w:val="24"/>
          <w:szCs w:val="24"/>
        </w:rPr>
        <w:t>以上，废</w:t>
      </w:r>
      <w:r>
        <w:rPr>
          <w:rFonts w:ascii="宋体" w:hAnsi="宋体" w:eastAsia="宋体" w:cs="宋体"/>
          <w:spacing w:val="2"/>
          <w:sz w:val="24"/>
          <w:szCs w:val="24"/>
        </w:rPr>
        <w:t>弃物资源利用率达到</w:t>
      </w:r>
      <w:r>
        <w:rPr>
          <w:rFonts w:ascii="Times New Roman" w:hAnsi="Times New Roman" w:eastAsia="Times New Roman" w:cs="Times New Roman"/>
          <w:spacing w:val="2"/>
          <w:sz w:val="24"/>
          <w:szCs w:val="24"/>
        </w:rPr>
        <w:t>90%</w:t>
      </w:r>
      <w:r>
        <w:rPr>
          <w:rFonts w:ascii="宋体" w:hAnsi="宋体" w:eastAsia="宋体" w:cs="宋体"/>
          <w:spacing w:val="2"/>
          <w:sz w:val="24"/>
          <w:szCs w:val="24"/>
        </w:rPr>
        <w:t>以上，</w:t>
      </w:r>
      <w:r>
        <w:rPr>
          <w:rFonts w:ascii="Times New Roman" w:hAnsi="Times New Roman" w:eastAsia="Times New Roman" w:cs="Times New Roman"/>
          <w:spacing w:val="2"/>
          <w:sz w:val="24"/>
          <w:szCs w:val="24"/>
        </w:rPr>
        <w:t xml:space="preserve">2012 </w:t>
      </w:r>
      <w:r>
        <w:rPr>
          <w:rFonts w:ascii="宋体" w:hAnsi="宋体" w:eastAsia="宋体" w:cs="宋体"/>
          <w:spacing w:val="2"/>
          <w:sz w:val="24"/>
          <w:szCs w:val="24"/>
        </w:rPr>
        <w:t>年生</w:t>
      </w:r>
      <w:r>
        <w:rPr>
          <w:rFonts w:ascii="宋体" w:hAnsi="宋体" w:eastAsia="宋体" w:cs="宋体"/>
          <w:sz w:val="24"/>
          <w:szCs w:val="24"/>
        </w:rPr>
        <w:t xml:space="preserve"> </w:t>
      </w:r>
      <w:r>
        <w:rPr>
          <w:rFonts w:ascii="宋体" w:hAnsi="宋体" w:eastAsia="宋体" w:cs="宋体"/>
          <w:spacing w:val="-2"/>
          <w:sz w:val="24"/>
          <w:szCs w:val="24"/>
        </w:rPr>
        <w:t>猪出栏达到</w:t>
      </w:r>
      <w:r>
        <w:rPr>
          <w:rFonts w:ascii="宋体" w:hAnsi="宋体" w:eastAsia="宋体" w:cs="宋体"/>
          <w:spacing w:val="-59"/>
          <w:sz w:val="24"/>
          <w:szCs w:val="24"/>
        </w:rPr>
        <w:t xml:space="preserve"> </w:t>
      </w:r>
      <w:r>
        <w:rPr>
          <w:rFonts w:ascii="Times New Roman" w:hAnsi="Times New Roman" w:eastAsia="Times New Roman" w:cs="Times New Roman"/>
          <w:spacing w:val="-2"/>
          <w:sz w:val="24"/>
          <w:szCs w:val="24"/>
        </w:rPr>
        <w:t>4574</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万头，</w:t>
      </w:r>
      <w:r>
        <w:rPr>
          <w:rFonts w:ascii="Times New Roman" w:hAnsi="Times New Roman" w:eastAsia="Times New Roman" w:cs="Times New Roman"/>
          <w:spacing w:val="-2"/>
          <w:sz w:val="24"/>
          <w:szCs w:val="24"/>
        </w:rPr>
        <w:t xml:space="preserve">2020 </w:t>
      </w:r>
      <w:r>
        <w:rPr>
          <w:rFonts w:ascii="宋体" w:hAnsi="宋体" w:eastAsia="宋体" w:cs="宋体"/>
          <w:spacing w:val="-2"/>
          <w:sz w:val="24"/>
          <w:szCs w:val="24"/>
        </w:rPr>
        <w:t>年生猪出栏达到</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5245</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万头，猪肉自给率达到</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85%</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，保</w:t>
      </w:r>
      <w:r>
        <w:rPr>
          <w:rFonts w:ascii="宋体" w:hAnsi="宋体" w:eastAsia="宋体" w:cs="宋体"/>
          <w:sz w:val="24"/>
          <w:szCs w:val="24"/>
        </w:rPr>
        <w:t xml:space="preserve"> </w:t>
      </w:r>
      <w:r>
        <w:rPr>
          <w:rFonts w:ascii="宋体" w:hAnsi="宋体" w:eastAsia="宋体" w:cs="宋体"/>
          <w:spacing w:val="2"/>
          <w:sz w:val="24"/>
          <w:szCs w:val="24"/>
        </w:rPr>
        <w:t>障全省猪肉供应和安全。规划在建设布局中提出发展东部生猪产业带：以梅州、汕</w:t>
      </w:r>
      <w:r>
        <w:rPr>
          <w:rFonts w:ascii="宋体" w:hAnsi="宋体" w:eastAsia="宋体" w:cs="宋体"/>
          <w:spacing w:val="7"/>
          <w:sz w:val="24"/>
          <w:szCs w:val="24"/>
        </w:rPr>
        <w:t xml:space="preserve"> </w:t>
      </w:r>
      <w:r>
        <w:rPr>
          <w:rFonts w:ascii="宋体" w:hAnsi="宋体" w:eastAsia="宋体" w:cs="宋体"/>
          <w:spacing w:val="2"/>
          <w:sz w:val="24"/>
          <w:szCs w:val="24"/>
        </w:rPr>
        <w:t>尾、潮汕地区为主的发展区域，兼顾河源、惠州地区、重点发展瘦肉型猪，适度饲</w:t>
      </w:r>
      <w:r>
        <w:rPr>
          <w:rFonts w:ascii="宋体" w:hAnsi="宋体" w:eastAsia="宋体" w:cs="宋体"/>
          <w:spacing w:val="7"/>
          <w:sz w:val="24"/>
          <w:szCs w:val="24"/>
        </w:rPr>
        <w:t xml:space="preserve"> </w:t>
      </w:r>
      <w:r>
        <w:rPr>
          <w:rFonts w:ascii="宋体" w:hAnsi="宋体" w:eastAsia="宋体" w:cs="宋体"/>
          <w:spacing w:val="2"/>
          <w:sz w:val="24"/>
          <w:szCs w:val="24"/>
        </w:rPr>
        <w:t>养本地猪和土杂猪，除满足本地市场需求外，重点面向深圳、东莞等市场及香港市</w:t>
      </w:r>
      <w:r>
        <w:rPr>
          <w:rFonts w:ascii="宋体" w:hAnsi="宋体" w:eastAsia="宋体" w:cs="宋体"/>
          <w:spacing w:val="7"/>
          <w:sz w:val="24"/>
          <w:szCs w:val="24"/>
        </w:rPr>
        <w:t xml:space="preserve"> </w:t>
      </w:r>
      <w:r>
        <w:rPr>
          <w:rFonts w:ascii="宋体" w:hAnsi="宋体" w:eastAsia="宋体" w:cs="宋体"/>
          <w:spacing w:val="-3"/>
          <w:sz w:val="24"/>
          <w:szCs w:val="24"/>
        </w:rPr>
        <w:t>场。该区域目标规划</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2020 </w:t>
      </w:r>
      <w:r>
        <w:rPr>
          <w:rFonts w:ascii="宋体" w:hAnsi="宋体" w:eastAsia="宋体" w:cs="宋体"/>
          <w:spacing w:val="-3"/>
          <w:sz w:val="24"/>
          <w:szCs w:val="24"/>
        </w:rPr>
        <w:t>年上市生猪</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1460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万头，以发展大、中型生猪养</w:t>
      </w:r>
      <w:r>
        <w:rPr>
          <w:rFonts w:ascii="宋体" w:hAnsi="宋体" w:eastAsia="宋体" w:cs="宋体"/>
          <w:spacing w:val="-4"/>
          <w:sz w:val="24"/>
          <w:szCs w:val="24"/>
        </w:rPr>
        <w:t>殖场为主。</w:t>
      </w:r>
    </w:p>
    <w:p w14:paraId="7A71BD2E">
      <w:pPr>
        <w:spacing w:before="1" w:line="353" w:lineRule="auto"/>
        <w:ind w:right="81" w:firstLine="480"/>
        <w:rPr>
          <w:rFonts w:ascii="宋体" w:hAnsi="宋体" w:eastAsia="宋体" w:cs="宋体"/>
          <w:sz w:val="24"/>
          <w:szCs w:val="24"/>
        </w:rPr>
      </w:pPr>
      <w:r>
        <w:rPr>
          <w:rFonts w:ascii="宋体" w:hAnsi="宋体" w:eastAsia="宋体" w:cs="宋体"/>
          <w:spacing w:val="2"/>
          <w:sz w:val="24"/>
          <w:szCs w:val="24"/>
        </w:rPr>
        <w:t>根据《海丰县畜禽养殖禁养区划定方案》（海府办</w:t>
      </w:r>
      <w:r>
        <w:rPr>
          <w:rFonts w:ascii="宋体" w:hAnsi="宋体" w:eastAsia="宋体" w:cs="宋体"/>
          <w:spacing w:val="1"/>
          <w:sz w:val="24"/>
          <w:szCs w:val="24"/>
        </w:rPr>
        <w:t>函</w:t>
      </w:r>
      <w:r>
        <w:rPr>
          <w:rFonts w:ascii="Times New Roman" w:hAnsi="Times New Roman" w:eastAsia="Times New Roman" w:cs="Times New Roman"/>
          <w:spacing w:val="1"/>
          <w:sz w:val="24"/>
          <w:szCs w:val="24"/>
        </w:rPr>
        <w:t>[2020]25</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号</w:t>
      </w:r>
      <w:r>
        <w:rPr>
          <w:rFonts w:ascii="宋体" w:hAnsi="宋体" w:eastAsia="宋体" w:cs="宋体"/>
          <w:spacing w:val="11"/>
          <w:sz w:val="24"/>
          <w:szCs w:val="24"/>
        </w:rPr>
        <w:t>），</w:t>
      </w:r>
      <w:r>
        <w:rPr>
          <w:rFonts w:ascii="宋体" w:hAnsi="宋体" w:eastAsia="宋体" w:cs="宋体"/>
          <w:spacing w:val="1"/>
          <w:sz w:val="24"/>
          <w:szCs w:val="24"/>
        </w:rPr>
        <w:t>本项目所</w:t>
      </w:r>
      <w:r>
        <w:rPr>
          <w:rFonts w:ascii="宋体" w:hAnsi="宋体" w:eastAsia="宋体" w:cs="宋体"/>
          <w:sz w:val="24"/>
          <w:szCs w:val="24"/>
        </w:rPr>
        <w:t xml:space="preserve"> </w:t>
      </w:r>
      <w:r>
        <w:rPr>
          <w:rFonts w:ascii="宋体" w:hAnsi="宋体" w:eastAsia="宋体" w:cs="宋体"/>
          <w:spacing w:val="-1"/>
          <w:sz w:val="24"/>
          <w:szCs w:val="24"/>
        </w:rPr>
        <w:t>在区域不属于禁养区。</w:t>
      </w:r>
    </w:p>
    <w:p w14:paraId="1004A209">
      <w:pPr>
        <w:spacing w:before="51" w:line="355" w:lineRule="auto"/>
        <w:ind w:right="78" w:firstLine="483"/>
        <w:jc w:val="both"/>
        <w:rPr>
          <w:rFonts w:ascii="宋体" w:hAnsi="宋体" w:eastAsia="宋体" w:cs="宋体"/>
          <w:sz w:val="24"/>
          <w:szCs w:val="24"/>
        </w:rPr>
      </w:pPr>
      <w:r>
        <w:rPr>
          <w:rFonts w:ascii="宋体" w:hAnsi="宋体" w:eastAsia="宋体" w:cs="宋体"/>
          <w:spacing w:val="2"/>
          <w:sz w:val="24"/>
          <w:szCs w:val="24"/>
        </w:rPr>
        <w:t>为此，汕尾市天磊联信种养有限公司拟在海丰县公平镇龙岗美月姑少山坡地建</w:t>
      </w:r>
      <w:r>
        <w:rPr>
          <w:rFonts w:ascii="宋体" w:hAnsi="宋体" w:eastAsia="宋体" w:cs="宋体"/>
          <w:spacing w:val="7"/>
          <w:sz w:val="24"/>
          <w:szCs w:val="24"/>
        </w:rPr>
        <w:t xml:space="preserve"> </w:t>
      </w:r>
      <w:r>
        <w:rPr>
          <w:rFonts w:ascii="宋体" w:hAnsi="宋体" w:eastAsia="宋体" w:cs="宋体"/>
          <w:spacing w:val="-5"/>
          <w:sz w:val="24"/>
          <w:szCs w:val="24"/>
        </w:rPr>
        <w:t>设生猪养殖项目，项目地理位置图见图</w:t>
      </w:r>
      <w:r>
        <w:rPr>
          <w:rFonts w:ascii="宋体" w:hAnsi="宋体" w:eastAsia="宋体" w:cs="宋体"/>
          <w:spacing w:val="-17"/>
          <w:sz w:val="24"/>
          <w:szCs w:val="24"/>
        </w:rPr>
        <w:t xml:space="preserve"> </w:t>
      </w:r>
      <w:r>
        <w:rPr>
          <w:rFonts w:ascii="Times New Roman" w:hAnsi="Times New Roman" w:eastAsia="Times New Roman" w:cs="Times New Roman"/>
          <w:spacing w:val="-5"/>
          <w:sz w:val="24"/>
          <w:szCs w:val="24"/>
        </w:rPr>
        <w:t>1.1-1</w:t>
      </w:r>
      <w:r>
        <w:rPr>
          <w:rFonts w:ascii="宋体" w:hAnsi="宋体" w:eastAsia="宋体" w:cs="宋体"/>
          <w:spacing w:val="-5"/>
          <w:sz w:val="24"/>
          <w:szCs w:val="24"/>
        </w:rPr>
        <w:t>。项目总投资</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1300</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万元人民币，其中环</w:t>
      </w:r>
      <w:r>
        <w:rPr>
          <w:rFonts w:ascii="宋体" w:hAnsi="宋体" w:eastAsia="宋体" w:cs="宋体"/>
          <w:sz w:val="24"/>
          <w:szCs w:val="24"/>
        </w:rPr>
        <w:t xml:space="preserve"> </w:t>
      </w:r>
      <w:r>
        <w:rPr>
          <w:rFonts w:ascii="宋体" w:hAnsi="宋体" w:eastAsia="宋体" w:cs="宋体"/>
          <w:spacing w:val="-3"/>
          <w:sz w:val="24"/>
          <w:szCs w:val="24"/>
        </w:rPr>
        <w:t>保投资</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320</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万元，</w:t>
      </w:r>
      <w:r>
        <w:rPr>
          <w:rFonts w:ascii="宋体" w:hAnsi="宋体" w:eastAsia="宋体" w:cs="宋体"/>
          <w:spacing w:val="-71"/>
          <w:sz w:val="24"/>
          <w:szCs w:val="24"/>
        </w:rPr>
        <w:t xml:space="preserve"> </w:t>
      </w:r>
      <w:r>
        <w:rPr>
          <w:rFonts w:ascii="宋体" w:hAnsi="宋体" w:eastAsia="宋体" w:cs="宋体"/>
          <w:spacing w:val="-3"/>
          <w:sz w:val="24"/>
          <w:szCs w:val="24"/>
        </w:rPr>
        <w:t>占地面积</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17194m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0"/>
          <w:position w:val="7"/>
          <w:sz w:val="15"/>
          <w:szCs w:val="15"/>
        </w:rPr>
        <w:t xml:space="preserve"> </w:t>
      </w:r>
      <w:r>
        <w:rPr>
          <w:rFonts w:ascii="宋体" w:hAnsi="宋体" w:eastAsia="宋体" w:cs="宋体"/>
          <w:spacing w:val="-4"/>
          <w:sz w:val="24"/>
          <w:szCs w:val="24"/>
        </w:rPr>
        <w:t>，建筑面积</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8346m</w:t>
      </w:r>
      <w:r>
        <w:rPr>
          <w:rFonts w:ascii="Times New Roman" w:hAnsi="Times New Roman" w:eastAsia="Times New Roman" w:cs="Times New Roman"/>
          <w:spacing w:val="-4"/>
          <w:position w:val="7"/>
          <w:sz w:val="15"/>
          <w:szCs w:val="15"/>
        </w:rPr>
        <w:t xml:space="preserve">2 </w:t>
      </w:r>
      <w:r>
        <w:rPr>
          <w:rFonts w:ascii="宋体" w:hAnsi="宋体" w:eastAsia="宋体" w:cs="宋体"/>
          <w:spacing w:val="-4"/>
          <w:sz w:val="24"/>
          <w:szCs w:val="24"/>
        </w:rPr>
        <w:t>。主要建设内容包括</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栋育</w:t>
      </w:r>
      <w:r>
        <w:rPr>
          <w:rFonts w:ascii="宋体" w:hAnsi="宋体" w:eastAsia="宋体" w:cs="宋体"/>
          <w:sz w:val="24"/>
          <w:szCs w:val="24"/>
        </w:rPr>
        <w:t xml:space="preserve"> 肥舍、疫苗仓库</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栋、兽药仓库</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栋、消毒</w:t>
      </w:r>
      <w:r>
        <w:rPr>
          <w:rFonts w:ascii="宋体" w:hAnsi="宋体" w:eastAsia="宋体" w:cs="宋体"/>
          <w:spacing w:val="-1"/>
          <w:sz w:val="24"/>
          <w:szCs w:val="24"/>
        </w:rPr>
        <w:t>仓库</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栋、危废暂存间及有机肥生产车</w:t>
      </w:r>
      <w:r>
        <w:rPr>
          <w:rFonts w:ascii="宋体" w:hAnsi="宋体" w:eastAsia="宋体" w:cs="宋体"/>
          <w:sz w:val="24"/>
          <w:szCs w:val="24"/>
        </w:rPr>
        <w:t xml:space="preserve"> </w:t>
      </w:r>
      <w:r>
        <w:rPr>
          <w:rFonts w:ascii="宋体" w:hAnsi="宋体" w:eastAsia="宋体" w:cs="宋体"/>
          <w:spacing w:val="-3"/>
          <w:sz w:val="24"/>
          <w:szCs w:val="24"/>
        </w:rPr>
        <w:t>间等配套设施。项目建成后预计猪只存栏量为</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7000 </w:t>
      </w:r>
      <w:r>
        <w:rPr>
          <w:rFonts w:ascii="宋体" w:hAnsi="宋体" w:eastAsia="宋体" w:cs="宋体"/>
          <w:spacing w:val="-4"/>
          <w:sz w:val="24"/>
          <w:szCs w:val="24"/>
        </w:rPr>
        <w:t>头，出栏量为</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 xml:space="preserve">15000 </w:t>
      </w:r>
      <w:r>
        <w:rPr>
          <w:rFonts w:ascii="宋体" w:hAnsi="宋体" w:eastAsia="宋体" w:cs="宋体"/>
          <w:spacing w:val="-4"/>
          <w:sz w:val="24"/>
          <w:szCs w:val="24"/>
        </w:rPr>
        <w:t>头</w:t>
      </w:r>
      <w:r>
        <w:rPr>
          <w:rFonts w:ascii="Times New Roman" w:hAnsi="Times New Roman" w:eastAsia="Times New Roman" w:cs="Times New Roman"/>
          <w:spacing w:val="-4"/>
          <w:sz w:val="24"/>
          <w:szCs w:val="24"/>
        </w:rPr>
        <w:t>/</w:t>
      </w:r>
      <w:r>
        <w:rPr>
          <w:rFonts w:ascii="宋体" w:hAnsi="宋体" w:eastAsia="宋体" w:cs="宋体"/>
          <w:spacing w:val="-4"/>
          <w:sz w:val="24"/>
          <w:szCs w:val="24"/>
        </w:rPr>
        <w:t>年。项目</w:t>
      </w:r>
      <w:r>
        <w:rPr>
          <w:rFonts w:ascii="宋体" w:hAnsi="宋体" w:eastAsia="宋体" w:cs="宋体"/>
          <w:sz w:val="24"/>
          <w:szCs w:val="24"/>
        </w:rPr>
        <w:t xml:space="preserve"> </w:t>
      </w:r>
      <w:r>
        <w:rPr>
          <w:rFonts w:ascii="宋体" w:hAnsi="宋体" w:eastAsia="宋体" w:cs="宋体"/>
          <w:spacing w:val="-4"/>
          <w:sz w:val="24"/>
          <w:szCs w:val="24"/>
        </w:rPr>
        <w:t>施工期限为：</w:t>
      </w:r>
      <w:r>
        <w:rPr>
          <w:rFonts w:ascii="Times New Roman" w:hAnsi="Times New Roman" w:eastAsia="Times New Roman" w:cs="Times New Roman"/>
          <w:spacing w:val="-4"/>
          <w:sz w:val="24"/>
          <w:szCs w:val="24"/>
        </w:rPr>
        <w:t xml:space="preserve">2021 </w:t>
      </w:r>
      <w:r>
        <w:rPr>
          <w:rFonts w:ascii="宋体" w:hAnsi="宋体" w:eastAsia="宋体" w:cs="宋体"/>
          <w:spacing w:val="-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Times New Roman" w:hAnsi="Times New Roman" w:eastAsia="Times New Roman" w:cs="Times New Roman"/>
          <w:spacing w:val="-4"/>
          <w:sz w:val="24"/>
          <w:szCs w:val="24"/>
        </w:rPr>
        <w:t xml:space="preserve">~2021 </w:t>
      </w:r>
      <w:r>
        <w:rPr>
          <w:rFonts w:ascii="宋体" w:hAnsi="宋体" w:eastAsia="宋体" w:cs="宋体"/>
          <w:spacing w:val="-4"/>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p>
    <w:p w14:paraId="256BA9C4">
      <w:pPr>
        <w:spacing w:before="3" w:line="357" w:lineRule="auto"/>
        <w:ind w:right="78" w:firstLine="480"/>
        <w:jc w:val="both"/>
        <w:rPr>
          <w:rFonts w:ascii="宋体" w:hAnsi="宋体" w:eastAsia="宋体" w:cs="宋体"/>
          <w:sz w:val="24"/>
          <w:szCs w:val="24"/>
        </w:rPr>
      </w:pPr>
      <w:r>
        <w:rPr>
          <w:rFonts w:ascii="宋体" w:hAnsi="宋体" w:eastAsia="宋体" w:cs="宋体"/>
          <w:spacing w:val="3"/>
          <w:sz w:val="24"/>
          <w:szCs w:val="24"/>
        </w:rPr>
        <w:t>根据《中华人民共和国环境保护法》（中华人民共和国主席令第</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38"/>
          <w:w w:val="101"/>
          <w:sz w:val="24"/>
          <w:szCs w:val="24"/>
        </w:rPr>
        <w:t xml:space="preserve"> </w:t>
      </w:r>
      <w:r>
        <w:rPr>
          <w:rFonts w:ascii="宋体" w:hAnsi="宋体" w:eastAsia="宋体" w:cs="宋体"/>
          <w:spacing w:val="3"/>
          <w:sz w:val="24"/>
          <w:szCs w:val="24"/>
        </w:rPr>
        <w:t>号）、《中</w:t>
      </w:r>
      <w:r>
        <w:rPr>
          <w:rFonts w:ascii="宋体" w:hAnsi="宋体" w:eastAsia="宋体" w:cs="宋体"/>
          <w:sz w:val="24"/>
          <w:szCs w:val="24"/>
        </w:rPr>
        <w:t xml:space="preserve"> 华人民共和国环境影响评价法》（中华人民共和国主席令第</w:t>
      </w:r>
      <w:r>
        <w:rPr>
          <w:rFonts w:ascii="Times New Roman" w:hAnsi="Times New Roman" w:eastAsia="Times New Roman" w:cs="Times New Roman"/>
          <w:sz w:val="24"/>
          <w:szCs w:val="24"/>
        </w:rPr>
        <w:t xml:space="preserve">48 </w:t>
      </w:r>
      <w:r>
        <w:rPr>
          <w:rFonts w:ascii="宋体" w:hAnsi="宋体" w:eastAsia="宋体" w:cs="宋体"/>
          <w:sz w:val="24"/>
          <w:szCs w:val="24"/>
        </w:rPr>
        <w:t>号）、《建设项目环</w:t>
      </w:r>
      <w:r>
        <w:rPr>
          <w:rFonts w:ascii="宋体" w:hAnsi="宋体" w:eastAsia="宋体" w:cs="宋体"/>
          <w:spacing w:val="18"/>
          <w:sz w:val="24"/>
          <w:szCs w:val="24"/>
        </w:rPr>
        <w:t xml:space="preserve"> </w:t>
      </w:r>
      <w:r>
        <w:rPr>
          <w:rFonts w:ascii="宋体" w:hAnsi="宋体" w:eastAsia="宋体" w:cs="宋体"/>
          <w:spacing w:val="-1"/>
          <w:sz w:val="24"/>
          <w:szCs w:val="24"/>
        </w:rPr>
        <w:t>境保护管理条例》（</w:t>
      </w:r>
      <w:r>
        <w:rPr>
          <w:rFonts w:ascii="Times New Roman" w:hAnsi="Times New Roman" w:eastAsia="Times New Roman" w:cs="Times New Roman"/>
          <w:spacing w:val="-1"/>
          <w:sz w:val="24"/>
          <w:szCs w:val="24"/>
        </w:rPr>
        <w:t xml:space="preserve">2012 </w:t>
      </w:r>
      <w:r>
        <w:rPr>
          <w:rFonts w:ascii="宋体" w:hAnsi="宋体" w:eastAsia="宋体" w:cs="宋体"/>
          <w:spacing w:val="-1"/>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26  </w:t>
      </w:r>
      <w:r>
        <w:rPr>
          <w:rFonts w:ascii="宋体" w:hAnsi="宋体" w:eastAsia="宋体" w:cs="宋体"/>
          <w:spacing w:val="-1"/>
          <w:sz w:val="24"/>
          <w:szCs w:val="24"/>
        </w:rPr>
        <w:t>日广东省十一届人大常委会</w:t>
      </w:r>
      <w:r>
        <w:rPr>
          <w:rFonts w:ascii="宋体" w:hAnsi="宋体" w:eastAsia="宋体" w:cs="宋体"/>
          <w:spacing w:val="-2"/>
          <w:sz w:val="24"/>
          <w:szCs w:val="24"/>
        </w:rPr>
        <w:t>第</w:t>
      </w:r>
      <w:r>
        <w:rPr>
          <w:rFonts w:ascii="Times New Roman" w:hAnsi="Times New Roman" w:eastAsia="Times New Roman" w:cs="Times New Roman"/>
          <w:spacing w:val="-2"/>
          <w:sz w:val="24"/>
          <w:szCs w:val="24"/>
        </w:rPr>
        <w:t>35</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次会议第</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次</w:t>
      </w:r>
      <w:r>
        <w:rPr>
          <w:rFonts w:ascii="宋体" w:hAnsi="宋体" w:eastAsia="宋体" w:cs="宋体"/>
          <w:sz w:val="24"/>
          <w:szCs w:val="24"/>
        </w:rPr>
        <w:t xml:space="preserve"> </w:t>
      </w:r>
      <w:r>
        <w:rPr>
          <w:rFonts w:ascii="宋体" w:hAnsi="宋体" w:eastAsia="宋体" w:cs="宋体"/>
          <w:spacing w:val="2"/>
          <w:sz w:val="24"/>
          <w:szCs w:val="24"/>
        </w:rPr>
        <w:t>修正）的有关要求，对环境存在影响的新建、改建、扩建项目必须执行环境影响评</w:t>
      </w:r>
      <w:r>
        <w:rPr>
          <w:rFonts w:ascii="宋体" w:hAnsi="宋体" w:eastAsia="宋体" w:cs="宋体"/>
          <w:spacing w:val="6"/>
          <w:sz w:val="24"/>
          <w:szCs w:val="24"/>
        </w:rPr>
        <w:t xml:space="preserve"> </w:t>
      </w:r>
      <w:r>
        <w:rPr>
          <w:rFonts w:ascii="宋体" w:hAnsi="宋体" w:eastAsia="宋体" w:cs="宋体"/>
          <w:spacing w:val="-3"/>
          <w:sz w:val="24"/>
          <w:szCs w:val="24"/>
        </w:rPr>
        <w:t>价制度。</w:t>
      </w:r>
    </w:p>
    <w:p w14:paraId="14D66A85">
      <w:pPr>
        <w:spacing w:before="59" w:line="363" w:lineRule="auto"/>
        <w:ind w:right="78" w:firstLine="481"/>
        <w:jc w:val="both"/>
        <w:rPr>
          <w:rFonts w:ascii="宋体" w:hAnsi="宋体" w:eastAsia="宋体" w:cs="宋体"/>
          <w:sz w:val="24"/>
          <w:szCs w:val="24"/>
        </w:rPr>
      </w:pPr>
      <w:r>
        <w:rPr>
          <w:rFonts w:ascii="宋体" w:hAnsi="宋体" w:eastAsia="宋体" w:cs="宋体"/>
          <w:spacing w:val="2"/>
          <w:sz w:val="24"/>
          <w:szCs w:val="24"/>
        </w:rPr>
        <w:t>本项目施工期和营运期均会产生废水、废气、固废、噪声等污染，对环境有一</w:t>
      </w:r>
      <w:r>
        <w:rPr>
          <w:rFonts w:ascii="宋体" w:hAnsi="宋体" w:eastAsia="宋体" w:cs="宋体"/>
          <w:spacing w:val="11"/>
          <w:sz w:val="24"/>
          <w:szCs w:val="24"/>
        </w:rPr>
        <w:t xml:space="preserve"> </w:t>
      </w:r>
      <w:r>
        <w:rPr>
          <w:rFonts w:ascii="宋体" w:hAnsi="宋体" w:eastAsia="宋体" w:cs="宋体"/>
          <w:spacing w:val="2"/>
          <w:sz w:val="24"/>
          <w:szCs w:val="24"/>
        </w:rPr>
        <w:t>定的影响，因此，需办理环评手续。对照《建设项目环境影响评价分类管理</w:t>
      </w:r>
      <w:r>
        <w:rPr>
          <w:rFonts w:ascii="宋体" w:hAnsi="宋体" w:eastAsia="宋体" w:cs="宋体"/>
          <w:spacing w:val="1"/>
          <w:sz w:val="24"/>
          <w:szCs w:val="24"/>
        </w:rPr>
        <w:t>名录》</w:t>
      </w:r>
      <w:r>
        <w:rPr>
          <w:rFonts w:ascii="宋体" w:hAnsi="宋体" w:eastAsia="宋体" w:cs="宋体"/>
          <w:sz w:val="24"/>
          <w:szCs w:val="24"/>
        </w:rPr>
        <w:t xml:space="preserve"> </w:t>
      </w:r>
      <w:r>
        <w:rPr>
          <w:rFonts w:ascii="宋体" w:hAnsi="宋体" w:eastAsia="宋体" w:cs="宋体"/>
          <w:spacing w:val="3"/>
          <w:sz w:val="24"/>
          <w:szCs w:val="24"/>
        </w:rPr>
        <w:t>（部令第</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16 </w:t>
      </w:r>
      <w:r>
        <w:rPr>
          <w:rFonts w:ascii="宋体" w:hAnsi="宋体" w:eastAsia="宋体" w:cs="宋体"/>
          <w:spacing w:val="3"/>
          <w:sz w:val="24"/>
          <w:szCs w:val="24"/>
        </w:rPr>
        <w:t>号</w:t>
      </w:r>
      <w:r>
        <w:rPr>
          <w:rFonts w:ascii="宋体" w:hAnsi="宋体" w:eastAsia="宋体" w:cs="宋体"/>
          <w:spacing w:val="7"/>
          <w:sz w:val="24"/>
          <w:szCs w:val="24"/>
        </w:rPr>
        <w:t>），</w:t>
      </w:r>
      <w:r>
        <w:rPr>
          <w:rFonts w:ascii="宋体" w:hAnsi="宋体" w:eastAsia="宋体" w:cs="宋体"/>
          <w:spacing w:val="3"/>
          <w:sz w:val="24"/>
          <w:szCs w:val="24"/>
        </w:rPr>
        <w:t>确定本项目类别为“二、畜牧</w:t>
      </w:r>
      <w:r>
        <w:rPr>
          <w:rFonts w:ascii="宋体" w:hAnsi="宋体" w:eastAsia="宋体" w:cs="宋体"/>
          <w:spacing w:val="2"/>
          <w:sz w:val="24"/>
          <w:szCs w:val="24"/>
        </w:rPr>
        <w:t>业第</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项中的牲畜饲养</w:t>
      </w:r>
      <w:r>
        <w:rPr>
          <w:rFonts w:ascii="Times New Roman" w:hAnsi="Times New Roman" w:eastAsia="Times New Roman" w:cs="Times New Roman"/>
          <w:spacing w:val="2"/>
          <w:sz w:val="24"/>
          <w:szCs w:val="24"/>
        </w:rPr>
        <w:t>031</w:t>
      </w:r>
      <w:r>
        <w:rPr>
          <w:rFonts w:ascii="宋体" w:hAnsi="宋体" w:eastAsia="宋体" w:cs="宋体"/>
          <w:spacing w:val="2"/>
          <w:sz w:val="24"/>
          <w:szCs w:val="24"/>
        </w:rPr>
        <w:t>；家禽</w:t>
      </w:r>
      <w:r>
        <w:rPr>
          <w:rFonts w:ascii="宋体" w:hAnsi="宋体" w:eastAsia="宋体" w:cs="宋体"/>
          <w:sz w:val="24"/>
          <w:szCs w:val="24"/>
        </w:rPr>
        <w:t xml:space="preserve"> </w:t>
      </w:r>
      <w:r>
        <w:rPr>
          <w:rFonts w:ascii="宋体" w:hAnsi="宋体" w:eastAsia="宋体" w:cs="宋体"/>
          <w:spacing w:val="4"/>
          <w:sz w:val="24"/>
          <w:szCs w:val="24"/>
        </w:rPr>
        <w:t>饲养</w:t>
      </w:r>
      <w:r>
        <w:rPr>
          <w:rFonts w:ascii="Times New Roman" w:hAnsi="Times New Roman" w:eastAsia="Times New Roman" w:cs="Times New Roman"/>
          <w:spacing w:val="4"/>
          <w:sz w:val="24"/>
          <w:szCs w:val="24"/>
        </w:rPr>
        <w:t>032</w:t>
      </w:r>
      <w:r>
        <w:rPr>
          <w:rFonts w:ascii="宋体" w:hAnsi="宋体" w:eastAsia="宋体" w:cs="宋体"/>
          <w:spacing w:val="4"/>
          <w:sz w:val="24"/>
          <w:szCs w:val="24"/>
        </w:rPr>
        <w:t>；其他畜牧业</w:t>
      </w:r>
      <w:r>
        <w:rPr>
          <w:rFonts w:ascii="Times New Roman" w:hAnsi="Times New Roman" w:eastAsia="Times New Roman" w:cs="Times New Roman"/>
          <w:spacing w:val="4"/>
          <w:sz w:val="24"/>
          <w:szCs w:val="24"/>
        </w:rPr>
        <w:t>039</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，年出栏生猪</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 xml:space="preserve">5000 </w:t>
      </w:r>
      <w:r>
        <w:rPr>
          <w:rFonts w:ascii="宋体" w:hAnsi="宋体" w:eastAsia="宋体" w:cs="宋体"/>
          <w:spacing w:val="4"/>
          <w:sz w:val="24"/>
          <w:szCs w:val="24"/>
        </w:rPr>
        <w:t>头（其</w:t>
      </w:r>
      <w:r>
        <w:rPr>
          <w:rFonts w:ascii="宋体" w:hAnsi="宋体" w:eastAsia="宋体" w:cs="宋体"/>
          <w:spacing w:val="3"/>
          <w:sz w:val="24"/>
          <w:szCs w:val="24"/>
        </w:rPr>
        <w:t>他畜禽种类折合猪的养殖量）</w:t>
      </w:r>
    </w:p>
    <w:p w14:paraId="15B5012A">
      <w:pPr>
        <w:spacing w:line="363" w:lineRule="auto"/>
        <w:rPr>
          <w:rFonts w:ascii="宋体" w:hAnsi="宋体" w:eastAsia="宋体" w:cs="宋体"/>
          <w:sz w:val="24"/>
          <w:szCs w:val="24"/>
        </w:rPr>
        <w:sectPr>
          <w:footerReference r:id="rId8" w:type="default"/>
          <w:pgSz w:w="11906" w:h="16839"/>
          <w:pgMar w:top="1431" w:right="1507" w:bottom="1626" w:left="1597" w:header="0" w:footer="1390" w:gutter="0"/>
          <w:cols w:space="720" w:num="1"/>
        </w:sectPr>
      </w:pPr>
    </w:p>
    <w:p w14:paraId="7463EE1E">
      <w:pPr>
        <w:spacing w:before="64" w:line="349" w:lineRule="auto"/>
        <w:ind w:right="82"/>
        <w:jc w:val="both"/>
        <w:rPr>
          <w:rFonts w:ascii="宋体" w:hAnsi="宋体" w:eastAsia="宋体" w:cs="宋体"/>
          <w:sz w:val="24"/>
          <w:szCs w:val="24"/>
        </w:rPr>
      </w:pPr>
      <w:r>
        <w:rPr>
          <w:rFonts w:ascii="宋体" w:hAnsi="宋体" w:eastAsia="宋体" w:cs="宋体"/>
          <w:spacing w:val="-1"/>
          <w:sz w:val="24"/>
          <w:szCs w:val="24"/>
        </w:rPr>
        <w:t>及以上的规模化畜禽养殖；存栏生猪</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2500 </w:t>
      </w:r>
      <w:r>
        <w:rPr>
          <w:rFonts w:ascii="宋体" w:hAnsi="宋体" w:eastAsia="宋体" w:cs="宋体"/>
          <w:spacing w:val="-1"/>
          <w:sz w:val="24"/>
          <w:szCs w:val="24"/>
        </w:rPr>
        <w:t>头（其他畜禽种类折合猪</w:t>
      </w:r>
      <w:r>
        <w:rPr>
          <w:rFonts w:ascii="宋体" w:hAnsi="宋体" w:eastAsia="宋体" w:cs="宋体"/>
          <w:spacing w:val="-2"/>
          <w:sz w:val="24"/>
          <w:szCs w:val="24"/>
        </w:rPr>
        <w:t>的养殖规模）及</w:t>
      </w:r>
      <w:r>
        <w:rPr>
          <w:rFonts w:ascii="宋体" w:hAnsi="宋体" w:eastAsia="宋体" w:cs="宋体"/>
          <w:sz w:val="24"/>
          <w:szCs w:val="24"/>
        </w:rPr>
        <w:t xml:space="preserve"> </w:t>
      </w:r>
      <w:r>
        <w:rPr>
          <w:rFonts w:ascii="宋体" w:hAnsi="宋体" w:eastAsia="宋体" w:cs="宋体"/>
          <w:spacing w:val="1"/>
          <w:sz w:val="24"/>
          <w:szCs w:val="24"/>
        </w:rPr>
        <w:t>以上无出栏量的规模化畜禽养殖；涉及环境敏感区的规模化畜禽养殖</w:t>
      </w:r>
      <w:r>
        <w:rPr>
          <w:rFonts w:ascii="宋体" w:hAnsi="宋体" w:eastAsia="宋体" w:cs="宋体"/>
          <w:spacing w:val="-76"/>
          <w:sz w:val="24"/>
          <w:szCs w:val="24"/>
        </w:rPr>
        <w:t xml:space="preserve"> </w:t>
      </w:r>
      <w:r>
        <w:rPr>
          <w:rFonts w:ascii="宋体" w:hAnsi="宋体" w:eastAsia="宋体" w:cs="宋体"/>
          <w:spacing w:val="1"/>
          <w:sz w:val="24"/>
          <w:szCs w:val="24"/>
        </w:rPr>
        <w:t>”，属于编制</w:t>
      </w:r>
      <w:r>
        <w:rPr>
          <w:rFonts w:ascii="宋体" w:hAnsi="宋体" w:eastAsia="宋体" w:cs="宋体"/>
          <w:sz w:val="24"/>
          <w:szCs w:val="24"/>
        </w:rPr>
        <w:t xml:space="preserve"> </w:t>
      </w:r>
      <w:r>
        <w:rPr>
          <w:rFonts w:ascii="宋体" w:hAnsi="宋体" w:eastAsia="宋体" w:cs="宋体"/>
          <w:spacing w:val="-1"/>
          <w:sz w:val="24"/>
          <w:szCs w:val="24"/>
        </w:rPr>
        <w:t>报告书的类别。因此，判定其环评类别为报告书形式。</w:t>
      </w:r>
    </w:p>
    <w:p w14:paraId="297CBC58">
      <w:pPr>
        <w:spacing w:before="3" w:line="359" w:lineRule="auto"/>
        <w:ind w:firstLine="483"/>
        <w:jc w:val="both"/>
        <w:rPr>
          <w:rFonts w:ascii="宋体" w:hAnsi="宋体" w:eastAsia="宋体" w:cs="宋体"/>
          <w:sz w:val="24"/>
          <w:szCs w:val="24"/>
        </w:rPr>
      </w:pPr>
      <w:r>
        <w:rPr>
          <w:rFonts w:ascii="宋体" w:hAnsi="宋体" w:eastAsia="宋体" w:cs="宋体"/>
          <w:spacing w:val="2"/>
          <w:sz w:val="24"/>
          <w:szCs w:val="24"/>
        </w:rPr>
        <w:t>为此，汕尾市天磊联信种养有限公司委托广东绿佳环境科技有限公司进行汕尾</w:t>
      </w:r>
      <w:r>
        <w:rPr>
          <w:rFonts w:ascii="宋体" w:hAnsi="宋体" w:eastAsia="宋体" w:cs="宋体"/>
          <w:spacing w:val="7"/>
          <w:sz w:val="24"/>
          <w:szCs w:val="24"/>
        </w:rPr>
        <w:t xml:space="preserve"> </w:t>
      </w:r>
      <w:r>
        <w:rPr>
          <w:rFonts w:ascii="宋体" w:hAnsi="宋体" w:eastAsia="宋体" w:cs="宋体"/>
          <w:spacing w:val="-1"/>
          <w:sz w:val="24"/>
          <w:szCs w:val="24"/>
        </w:rPr>
        <w:t>市天磊联信种养有限公司生猪养殖项目（以下简称</w:t>
      </w:r>
      <w:r>
        <w:rPr>
          <w:rFonts w:ascii="Times New Roman" w:hAnsi="Times New Roman" w:eastAsia="Times New Roman" w:cs="Times New Roman"/>
          <w:spacing w:val="-1"/>
          <w:sz w:val="24"/>
          <w:szCs w:val="24"/>
        </w:rPr>
        <w:t>“</w:t>
      </w:r>
      <w:r>
        <w:rPr>
          <w:rFonts w:ascii="宋体" w:hAnsi="宋体" w:eastAsia="宋体" w:cs="宋体"/>
          <w:spacing w:val="-1"/>
          <w:sz w:val="24"/>
          <w:szCs w:val="24"/>
        </w:rPr>
        <w:t>本</w:t>
      </w:r>
      <w:r>
        <w:rPr>
          <w:rFonts w:ascii="宋体" w:hAnsi="宋体" w:eastAsia="宋体" w:cs="宋体"/>
          <w:spacing w:val="-2"/>
          <w:sz w:val="24"/>
          <w:szCs w:val="24"/>
        </w:rPr>
        <w:t>项目</w:t>
      </w:r>
      <w:r>
        <w:rPr>
          <w:rFonts w:ascii="Times New Roman" w:hAnsi="Times New Roman" w:eastAsia="Times New Roman" w:cs="Times New Roman"/>
          <w:spacing w:val="-2"/>
          <w:sz w:val="24"/>
          <w:szCs w:val="24"/>
        </w:rPr>
        <w:t>”</w:t>
      </w:r>
      <w:r>
        <w:rPr>
          <w:rFonts w:ascii="宋体" w:hAnsi="宋体" w:eastAsia="宋体" w:cs="宋体"/>
          <w:spacing w:val="-2"/>
          <w:sz w:val="24"/>
          <w:szCs w:val="24"/>
        </w:rPr>
        <w:t>）的环境影响评价工作、</w:t>
      </w:r>
      <w:r>
        <w:rPr>
          <w:rFonts w:ascii="宋体" w:hAnsi="宋体" w:eastAsia="宋体" w:cs="宋体"/>
          <w:sz w:val="24"/>
          <w:szCs w:val="24"/>
        </w:rPr>
        <w:t xml:space="preserve"> </w:t>
      </w:r>
      <w:r>
        <w:rPr>
          <w:rFonts w:ascii="宋体" w:hAnsi="宋体" w:eastAsia="宋体" w:cs="宋体"/>
          <w:spacing w:val="2"/>
          <w:sz w:val="24"/>
          <w:szCs w:val="24"/>
        </w:rPr>
        <w:t>编制《汕尾市天磊联信种养有限公司生猪养殖项目环境影响报告书》。我司在接受</w:t>
      </w:r>
      <w:r>
        <w:rPr>
          <w:rFonts w:ascii="宋体" w:hAnsi="宋体" w:eastAsia="宋体" w:cs="宋体"/>
          <w:spacing w:val="7"/>
          <w:sz w:val="24"/>
          <w:szCs w:val="24"/>
        </w:rPr>
        <w:t xml:space="preserve"> </w:t>
      </w:r>
      <w:r>
        <w:rPr>
          <w:rFonts w:ascii="宋体" w:hAnsi="宋体" w:eastAsia="宋体" w:cs="宋体"/>
          <w:spacing w:val="2"/>
          <w:sz w:val="24"/>
          <w:szCs w:val="24"/>
        </w:rPr>
        <w:t>委托后，立即收集了相关资料，对现场展开了勘察，在此基础上编制了《汕尾市天</w:t>
      </w:r>
      <w:r>
        <w:rPr>
          <w:rFonts w:ascii="宋体" w:hAnsi="宋体" w:eastAsia="宋体" w:cs="宋体"/>
          <w:spacing w:val="7"/>
          <w:sz w:val="24"/>
          <w:szCs w:val="24"/>
        </w:rPr>
        <w:t xml:space="preserve"> </w:t>
      </w:r>
      <w:r>
        <w:rPr>
          <w:rFonts w:ascii="宋体" w:hAnsi="宋体" w:eastAsia="宋体" w:cs="宋体"/>
          <w:spacing w:val="-1"/>
          <w:sz w:val="24"/>
          <w:szCs w:val="24"/>
        </w:rPr>
        <w:t>磊联信种养有限公司生猪养殖项目环境影响报告书》。</w:t>
      </w:r>
    </w:p>
    <w:p w14:paraId="604C3000">
      <w:pPr>
        <w:spacing w:line="359" w:lineRule="auto"/>
        <w:rPr>
          <w:rFonts w:ascii="宋体" w:hAnsi="宋体" w:eastAsia="宋体" w:cs="宋体"/>
          <w:sz w:val="24"/>
          <w:szCs w:val="24"/>
        </w:rPr>
        <w:sectPr>
          <w:footerReference r:id="rId9" w:type="default"/>
          <w:pgSz w:w="11906" w:h="16839"/>
          <w:pgMar w:top="1431" w:right="1505" w:bottom="1626" w:left="1596" w:header="0" w:footer="1390" w:gutter="0"/>
          <w:cols w:space="720" w:num="1"/>
        </w:sectPr>
      </w:pPr>
    </w:p>
    <w:p w14:paraId="587332DB">
      <w:pPr>
        <w:pStyle w:val="2"/>
        <w:spacing w:line="305" w:lineRule="auto"/>
      </w:pPr>
    </w:p>
    <w:p w14:paraId="6FA034CF">
      <w:pPr>
        <w:pStyle w:val="2"/>
        <w:spacing w:line="306" w:lineRule="auto"/>
      </w:pPr>
    </w:p>
    <w:p w14:paraId="53057A1C">
      <w:pPr>
        <w:spacing w:line="8069" w:lineRule="exact"/>
      </w:pPr>
      <w:r>
        <w:rPr>
          <w:position w:val="-161"/>
        </w:rPr>
        <w:drawing>
          <wp:inline distT="0" distB="0" distL="0" distR="0">
            <wp:extent cx="8117840" cy="512318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94"/>
                    <a:stretch>
                      <a:fillRect/>
                    </a:stretch>
                  </pic:blipFill>
                  <pic:spPr>
                    <a:xfrm>
                      <a:off x="0" y="0"/>
                      <a:ext cx="8118347" cy="5123688"/>
                    </a:xfrm>
                    <a:prstGeom prst="rect">
                      <a:avLst/>
                    </a:prstGeom>
                  </pic:spPr>
                </pic:pic>
              </a:graphicData>
            </a:graphic>
          </wp:inline>
        </w:drawing>
      </w:r>
    </w:p>
    <w:p w14:paraId="23E6BD54">
      <w:pPr>
        <w:spacing w:before="77" w:line="221" w:lineRule="auto"/>
        <w:ind w:left="4247"/>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39"/>
          <w:sz w:val="24"/>
          <w:szCs w:val="24"/>
        </w:rPr>
        <w:t xml:space="preserve"> </w:t>
      </w:r>
      <w:r>
        <w:rPr>
          <w:rFonts w:ascii="Times New Roman" w:hAnsi="Times New Roman" w:eastAsia="Times New Roman" w:cs="Times New Roman"/>
          <w:b/>
          <w:bCs/>
          <w:spacing w:val="-3"/>
          <w:sz w:val="24"/>
          <w:szCs w:val="24"/>
        </w:rPr>
        <w:t xml:space="preserve">1.1-1  </w:t>
      </w:r>
      <w:r>
        <w:rPr>
          <w:rFonts w:ascii="宋体" w:hAnsi="宋体" w:eastAsia="宋体" w:cs="宋体"/>
          <w:b/>
          <w:bCs/>
          <w:spacing w:val="-3"/>
          <w:sz w:val="24"/>
          <w:szCs w:val="24"/>
        </w:rPr>
        <w:t>项目地理位置图（</w:t>
      </w:r>
      <w:r>
        <w:rPr>
          <w:rFonts w:ascii="Times New Roman" w:hAnsi="Times New Roman" w:eastAsia="Times New Roman" w:cs="Times New Roman"/>
          <w:b/>
          <w:bCs/>
          <w:spacing w:val="-3"/>
          <w:sz w:val="24"/>
          <w:szCs w:val="24"/>
        </w:rPr>
        <w:t>1:50000</w:t>
      </w:r>
      <w:r>
        <w:rPr>
          <w:rFonts w:ascii="宋体" w:hAnsi="宋体" w:eastAsia="宋体" w:cs="宋体"/>
          <w:b/>
          <w:bCs/>
          <w:spacing w:val="-3"/>
          <w:sz w:val="24"/>
          <w:szCs w:val="24"/>
        </w:rPr>
        <w:t>）</w:t>
      </w:r>
    </w:p>
    <w:p w14:paraId="27F6DBF8">
      <w:pPr>
        <w:spacing w:line="221" w:lineRule="auto"/>
        <w:rPr>
          <w:rFonts w:ascii="宋体" w:hAnsi="宋体" w:eastAsia="宋体" w:cs="宋体"/>
          <w:sz w:val="24"/>
          <w:szCs w:val="24"/>
        </w:rPr>
        <w:sectPr>
          <w:footerReference r:id="rId10" w:type="default"/>
          <w:pgSz w:w="16839" w:h="11906"/>
          <w:pgMar w:top="1012" w:right="1787" w:bottom="1626" w:left="2265" w:header="0" w:footer="1390" w:gutter="0"/>
          <w:cols w:space="720" w:num="1"/>
        </w:sectPr>
      </w:pPr>
    </w:p>
    <w:p w14:paraId="7FA481AC">
      <w:pPr>
        <w:pStyle w:val="2"/>
        <w:spacing w:line="298" w:lineRule="auto"/>
      </w:pPr>
    </w:p>
    <w:p w14:paraId="5C57D04A">
      <w:pPr>
        <w:spacing w:before="101" w:line="225" w:lineRule="auto"/>
        <w:ind w:left="11"/>
        <w:outlineLvl w:val="1"/>
        <w:rPr>
          <w:rFonts w:ascii="宋体" w:hAnsi="宋体" w:eastAsia="宋体" w:cs="宋体"/>
          <w:sz w:val="31"/>
          <w:szCs w:val="31"/>
        </w:rPr>
      </w:pPr>
      <w:bookmarkStart w:id="3" w:name="bookmark3"/>
      <w:bookmarkEnd w:id="3"/>
      <w:r>
        <w:rPr>
          <w:rFonts w:ascii="Times New Roman" w:hAnsi="Times New Roman" w:eastAsia="Times New Roman" w:cs="Times New Roman"/>
          <w:b/>
          <w:bCs/>
          <w:spacing w:val="3"/>
          <w:sz w:val="31"/>
          <w:szCs w:val="31"/>
        </w:rPr>
        <w:t>1.2</w:t>
      </w:r>
      <w:r>
        <w:rPr>
          <w:rFonts w:ascii="宋体" w:hAnsi="宋体" w:eastAsia="宋体" w:cs="宋体"/>
          <w:b/>
          <w:bCs/>
          <w:spacing w:val="3"/>
          <w:sz w:val="31"/>
          <w:szCs w:val="31"/>
        </w:rPr>
        <w:t>建设项目特点</w:t>
      </w:r>
    </w:p>
    <w:p w14:paraId="7F7082A8">
      <w:pPr>
        <w:pStyle w:val="2"/>
        <w:spacing w:line="349" w:lineRule="auto"/>
      </w:pPr>
    </w:p>
    <w:p w14:paraId="4D2DD861">
      <w:pPr>
        <w:spacing w:before="78" w:line="304" w:lineRule="auto"/>
        <w:ind w:firstLine="49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）本项目拟于海丰县公平镇龙岗美月姑少山坡地进行建设，项目给水、排水、</w:t>
      </w:r>
      <w:r>
        <w:rPr>
          <w:rFonts w:ascii="宋体" w:hAnsi="宋体" w:eastAsia="宋体" w:cs="宋体"/>
          <w:spacing w:val="3"/>
          <w:sz w:val="24"/>
          <w:szCs w:val="24"/>
        </w:rPr>
        <w:t xml:space="preserve"> </w:t>
      </w:r>
      <w:r>
        <w:rPr>
          <w:rFonts w:ascii="宋体" w:hAnsi="宋体" w:eastAsia="宋体" w:cs="宋体"/>
          <w:spacing w:val="-1"/>
          <w:sz w:val="24"/>
          <w:szCs w:val="24"/>
        </w:rPr>
        <w:t>供电等配套设施完善。</w:t>
      </w:r>
    </w:p>
    <w:p w14:paraId="084D66E5">
      <w:pPr>
        <w:spacing w:before="146" w:line="332" w:lineRule="auto"/>
        <w:ind w:left="2"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）本项目建设过程中将产生废水、废气</w:t>
      </w:r>
      <w:r>
        <w:rPr>
          <w:rFonts w:ascii="宋体" w:hAnsi="宋体" w:eastAsia="宋体" w:cs="宋体"/>
          <w:spacing w:val="-2"/>
          <w:sz w:val="24"/>
          <w:szCs w:val="24"/>
        </w:rPr>
        <w:t>、噪声及固体废物等污染物，这些污</w:t>
      </w:r>
      <w:r>
        <w:rPr>
          <w:rFonts w:ascii="宋体" w:hAnsi="宋体" w:eastAsia="宋体" w:cs="宋体"/>
          <w:sz w:val="24"/>
          <w:szCs w:val="24"/>
        </w:rPr>
        <w:t xml:space="preserve"> </w:t>
      </w:r>
      <w:r>
        <w:rPr>
          <w:rFonts w:ascii="宋体" w:hAnsi="宋体" w:eastAsia="宋体" w:cs="宋体"/>
          <w:spacing w:val="2"/>
          <w:sz w:val="24"/>
          <w:szCs w:val="24"/>
        </w:rPr>
        <w:t>染物排放对外环境产生一定的影响，但施工期是短暂的，对外环境的影响随着施工</w:t>
      </w:r>
      <w:r>
        <w:rPr>
          <w:rFonts w:ascii="宋体" w:hAnsi="宋体" w:eastAsia="宋体" w:cs="宋体"/>
          <w:spacing w:val="3"/>
          <w:sz w:val="24"/>
          <w:szCs w:val="24"/>
        </w:rPr>
        <w:t xml:space="preserve"> </w:t>
      </w:r>
      <w:r>
        <w:rPr>
          <w:rFonts w:ascii="宋体" w:hAnsi="宋体" w:eastAsia="宋体" w:cs="宋体"/>
          <w:spacing w:val="-2"/>
          <w:sz w:val="24"/>
          <w:szCs w:val="24"/>
        </w:rPr>
        <w:t>期的结束而消除。本项目建成后，营运期主要环境问题为废气</w:t>
      </w:r>
      <w:r>
        <w:rPr>
          <w:rFonts w:ascii="宋体" w:hAnsi="宋体" w:eastAsia="宋体" w:cs="宋体"/>
          <w:spacing w:val="-3"/>
          <w:sz w:val="24"/>
          <w:szCs w:val="24"/>
        </w:rPr>
        <w:t>、固废及噪声的排放。</w:t>
      </w:r>
      <w:r>
        <w:rPr>
          <w:rFonts w:ascii="宋体" w:hAnsi="宋体" w:eastAsia="宋体" w:cs="宋体"/>
          <w:sz w:val="24"/>
          <w:szCs w:val="24"/>
        </w:rPr>
        <w:t xml:space="preserve"> </w:t>
      </w:r>
      <w:r>
        <w:rPr>
          <w:rFonts w:ascii="宋体" w:hAnsi="宋体" w:eastAsia="宋体" w:cs="宋体"/>
          <w:spacing w:val="-1"/>
          <w:sz w:val="24"/>
          <w:szCs w:val="24"/>
        </w:rPr>
        <w:t>营运期污染物的排放对外环境具有持久性的影响。</w:t>
      </w:r>
    </w:p>
    <w:p w14:paraId="0E426322">
      <w:pPr>
        <w:spacing w:before="181" w:line="219" w:lineRule="auto"/>
        <w:ind w:left="498"/>
        <w:rPr>
          <w:rFonts w:ascii="宋体" w:hAnsi="宋体" w:eastAsia="宋体" w:cs="宋体"/>
          <w:sz w:val="24"/>
          <w:szCs w:val="24"/>
        </w:rPr>
      </w:pPr>
      <w:r>
        <w:rPr>
          <w:rFonts w:ascii="宋体" w:hAnsi="宋体" w:eastAsia="宋体" w:cs="宋体"/>
          <w:spacing w:val="-1"/>
          <w:sz w:val="24"/>
          <w:szCs w:val="24"/>
        </w:rPr>
        <w:t>因此，本项目环境影响评价，主要评价营运期对外环境的影</w:t>
      </w:r>
      <w:r>
        <w:rPr>
          <w:rFonts w:ascii="宋体" w:hAnsi="宋体" w:eastAsia="宋体" w:cs="宋体"/>
          <w:spacing w:val="-2"/>
          <w:sz w:val="24"/>
          <w:szCs w:val="24"/>
        </w:rPr>
        <w:t>响。</w:t>
      </w:r>
    </w:p>
    <w:p w14:paraId="2E8DDA36">
      <w:pPr>
        <w:spacing w:line="219" w:lineRule="auto"/>
        <w:rPr>
          <w:rFonts w:ascii="宋体" w:hAnsi="宋体" w:eastAsia="宋体" w:cs="宋体"/>
          <w:sz w:val="24"/>
          <w:szCs w:val="24"/>
        </w:rPr>
        <w:sectPr>
          <w:footerReference r:id="rId11" w:type="default"/>
          <w:pgSz w:w="11906" w:h="16839"/>
          <w:pgMar w:top="1431" w:right="1507" w:bottom="1626" w:left="1598" w:header="0" w:footer="1390" w:gutter="0"/>
          <w:cols w:space="720" w:num="1"/>
        </w:sectPr>
      </w:pPr>
    </w:p>
    <w:p w14:paraId="5466B7E7">
      <w:pPr>
        <w:pStyle w:val="2"/>
        <w:spacing w:line="312" w:lineRule="auto"/>
      </w:pPr>
    </w:p>
    <w:p w14:paraId="515B29A9">
      <w:pPr>
        <w:spacing w:before="101" w:line="224" w:lineRule="auto"/>
        <w:outlineLvl w:val="1"/>
        <w:rPr>
          <w:rFonts w:ascii="宋体" w:hAnsi="宋体" w:eastAsia="宋体" w:cs="宋体"/>
          <w:sz w:val="31"/>
          <w:szCs w:val="31"/>
        </w:rPr>
      </w:pPr>
      <w:bookmarkStart w:id="4" w:name="bookmark4"/>
      <w:bookmarkEnd w:id="4"/>
      <w:r>
        <w:rPr>
          <w:rFonts w:ascii="Times New Roman" w:hAnsi="Times New Roman" w:eastAsia="Times New Roman" w:cs="Times New Roman"/>
          <w:b/>
          <w:bCs/>
          <w:spacing w:val="3"/>
          <w:sz w:val="31"/>
          <w:szCs w:val="31"/>
        </w:rPr>
        <w:t>1.3</w:t>
      </w:r>
      <w:r>
        <w:rPr>
          <w:rFonts w:ascii="宋体" w:hAnsi="宋体" w:eastAsia="宋体" w:cs="宋体"/>
          <w:b/>
          <w:bCs/>
          <w:spacing w:val="3"/>
          <w:sz w:val="31"/>
          <w:szCs w:val="31"/>
        </w:rPr>
        <w:t>评价工作程序</w:t>
      </w:r>
    </w:p>
    <w:p w14:paraId="2F27B8FC">
      <w:pPr>
        <w:pStyle w:val="2"/>
        <w:spacing w:line="375" w:lineRule="auto"/>
      </w:pPr>
    </w:p>
    <w:p w14:paraId="30AE8A9D">
      <w:pPr>
        <w:spacing w:before="78" w:line="359" w:lineRule="exact"/>
        <w:ind w:left="469"/>
        <w:rPr>
          <w:rFonts w:ascii="宋体" w:hAnsi="宋体" w:eastAsia="宋体" w:cs="宋体"/>
          <w:sz w:val="24"/>
          <w:szCs w:val="24"/>
        </w:rPr>
      </w:pPr>
      <w:r>
        <w:rPr>
          <w:rFonts w:ascii="宋体" w:hAnsi="宋体" w:eastAsia="宋体" w:cs="宋体"/>
          <w:spacing w:val="-3"/>
          <w:position w:val="2"/>
          <w:sz w:val="24"/>
          <w:szCs w:val="24"/>
        </w:rPr>
        <w:t>本项目环境影响工作程序见图</w:t>
      </w:r>
      <w:r>
        <w:rPr>
          <w:rFonts w:ascii="宋体" w:hAnsi="宋体" w:eastAsia="宋体" w:cs="宋体"/>
          <w:spacing w:val="-16"/>
          <w:position w:val="2"/>
          <w:sz w:val="24"/>
          <w:szCs w:val="24"/>
        </w:rPr>
        <w:t xml:space="preserve"> </w:t>
      </w:r>
      <w:r>
        <w:rPr>
          <w:rFonts w:ascii="Times New Roman" w:hAnsi="Times New Roman" w:eastAsia="Times New Roman" w:cs="Times New Roman"/>
          <w:spacing w:val="-3"/>
          <w:position w:val="2"/>
          <w:sz w:val="24"/>
          <w:szCs w:val="24"/>
        </w:rPr>
        <w:t>1.3-1</w:t>
      </w:r>
      <w:r>
        <w:rPr>
          <w:rFonts w:ascii="宋体" w:hAnsi="宋体" w:eastAsia="宋体" w:cs="宋体"/>
          <w:spacing w:val="-3"/>
          <w:position w:val="2"/>
          <w:sz w:val="24"/>
          <w:szCs w:val="24"/>
        </w:rPr>
        <w:t>。</w:t>
      </w:r>
    </w:p>
    <w:p w14:paraId="16DCA26B">
      <w:pPr>
        <w:pStyle w:val="2"/>
        <w:spacing w:line="336" w:lineRule="auto"/>
      </w:pPr>
    </w:p>
    <w:p w14:paraId="0EA00EF7">
      <w:pPr>
        <w:pStyle w:val="2"/>
        <w:spacing w:line="337" w:lineRule="auto"/>
      </w:pPr>
    </w:p>
    <w:p w14:paraId="5ED6AB6A">
      <w:pPr>
        <w:spacing w:line="10621" w:lineRule="exact"/>
        <w:ind w:firstLine="800"/>
      </w:pPr>
      <w:r>
        <w:rPr>
          <w:position w:val="-212"/>
        </w:rPr>
        <w:drawing>
          <wp:inline distT="0" distB="0" distL="0" distR="0">
            <wp:extent cx="4791075" cy="674433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95"/>
                    <a:stretch>
                      <a:fillRect/>
                    </a:stretch>
                  </pic:blipFill>
                  <pic:spPr>
                    <a:xfrm>
                      <a:off x="0" y="0"/>
                      <a:ext cx="4791164" cy="6744377"/>
                    </a:xfrm>
                    <a:prstGeom prst="rect">
                      <a:avLst/>
                    </a:prstGeom>
                  </pic:spPr>
                </pic:pic>
              </a:graphicData>
            </a:graphic>
          </wp:inline>
        </w:drawing>
      </w:r>
    </w:p>
    <w:p w14:paraId="3E493D6A">
      <w:pPr>
        <w:pStyle w:val="2"/>
        <w:spacing w:line="437" w:lineRule="auto"/>
      </w:pPr>
    </w:p>
    <w:p w14:paraId="3F86F59D">
      <w:pPr>
        <w:spacing w:before="78" w:line="219" w:lineRule="auto"/>
        <w:ind w:left="2116"/>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31"/>
          <w:sz w:val="24"/>
          <w:szCs w:val="24"/>
        </w:rPr>
        <w:t xml:space="preserve"> </w:t>
      </w:r>
      <w:r>
        <w:rPr>
          <w:rFonts w:ascii="Times New Roman" w:hAnsi="Times New Roman" w:eastAsia="Times New Roman" w:cs="Times New Roman"/>
          <w:b/>
          <w:bCs/>
          <w:spacing w:val="-4"/>
          <w:sz w:val="24"/>
          <w:szCs w:val="24"/>
        </w:rPr>
        <w:t xml:space="preserve">1.3-1  </w:t>
      </w:r>
      <w:r>
        <w:rPr>
          <w:rFonts w:ascii="宋体" w:hAnsi="宋体" w:eastAsia="宋体" w:cs="宋体"/>
          <w:b/>
          <w:bCs/>
          <w:spacing w:val="-4"/>
          <w:sz w:val="24"/>
          <w:szCs w:val="24"/>
        </w:rPr>
        <w:t>项目环境影响评价工作程序示意图</w:t>
      </w:r>
    </w:p>
    <w:p w14:paraId="2467D055">
      <w:pPr>
        <w:spacing w:line="219" w:lineRule="auto"/>
        <w:rPr>
          <w:rFonts w:ascii="宋体" w:hAnsi="宋体" w:eastAsia="宋体" w:cs="宋体"/>
          <w:sz w:val="24"/>
          <w:szCs w:val="24"/>
        </w:rPr>
        <w:sectPr>
          <w:footerReference r:id="rId12" w:type="default"/>
          <w:pgSz w:w="11906" w:h="16839"/>
          <w:pgMar w:top="1431" w:right="1785" w:bottom="1425" w:left="1609" w:header="0" w:footer="1265" w:gutter="0"/>
          <w:cols w:space="720" w:num="1"/>
        </w:sectPr>
      </w:pPr>
    </w:p>
    <w:p w14:paraId="7290F3B0">
      <w:pPr>
        <w:spacing w:before="156" w:line="226" w:lineRule="auto"/>
        <w:ind w:left="12"/>
        <w:outlineLvl w:val="1"/>
        <w:rPr>
          <w:rFonts w:ascii="宋体" w:hAnsi="宋体" w:eastAsia="宋体" w:cs="宋体"/>
          <w:sz w:val="31"/>
          <w:szCs w:val="31"/>
        </w:rPr>
      </w:pPr>
      <w:bookmarkStart w:id="5" w:name="bookmark5"/>
      <w:bookmarkEnd w:id="5"/>
      <w:r>
        <w:rPr>
          <w:rFonts w:ascii="Times New Roman" w:hAnsi="Times New Roman" w:eastAsia="Times New Roman" w:cs="Times New Roman"/>
          <w:b/>
          <w:bCs/>
          <w:spacing w:val="5"/>
          <w:sz w:val="31"/>
          <w:szCs w:val="31"/>
        </w:rPr>
        <w:t>1.4</w:t>
      </w:r>
      <w:r>
        <w:rPr>
          <w:rFonts w:ascii="宋体" w:hAnsi="宋体" w:eastAsia="宋体" w:cs="宋体"/>
          <w:b/>
          <w:bCs/>
          <w:spacing w:val="5"/>
          <w:sz w:val="31"/>
          <w:szCs w:val="31"/>
        </w:rPr>
        <w:t>项目建设合理合法性判定分析</w:t>
      </w:r>
    </w:p>
    <w:p w14:paraId="0077DB68">
      <w:pPr>
        <w:pStyle w:val="2"/>
        <w:spacing w:line="406" w:lineRule="auto"/>
      </w:pPr>
    </w:p>
    <w:p w14:paraId="6BE5B5B7">
      <w:pPr>
        <w:spacing w:before="78" w:line="220" w:lineRule="auto"/>
        <w:ind w:left="7"/>
        <w:outlineLvl w:val="2"/>
        <w:rPr>
          <w:rFonts w:ascii="宋体" w:hAnsi="宋体" w:eastAsia="宋体" w:cs="宋体"/>
          <w:sz w:val="24"/>
          <w:szCs w:val="24"/>
        </w:rPr>
      </w:pPr>
      <w:r>
        <w:rPr>
          <w:rFonts w:ascii="Times New Roman" w:hAnsi="Times New Roman" w:eastAsia="Times New Roman" w:cs="Times New Roman"/>
          <w:b/>
          <w:bCs/>
          <w:spacing w:val="-3"/>
          <w:sz w:val="24"/>
          <w:szCs w:val="24"/>
        </w:rPr>
        <w:t>1.4.1</w:t>
      </w:r>
      <w:r>
        <w:rPr>
          <w:rFonts w:ascii="宋体" w:hAnsi="宋体" w:eastAsia="宋体" w:cs="宋体"/>
          <w:b/>
          <w:bCs/>
          <w:spacing w:val="-3"/>
          <w:sz w:val="24"/>
          <w:szCs w:val="24"/>
        </w:rPr>
        <w:t>与产业政策相符性分析</w:t>
      </w:r>
    </w:p>
    <w:p w14:paraId="4393FB4B">
      <w:pPr>
        <w:spacing w:before="113" w:line="348" w:lineRule="auto"/>
        <w:ind w:right="63" w:firstLine="480"/>
        <w:jc w:val="both"/>
        <w:rPr>
          <w:rFonts w:ascii="宋体" w:hAnsi="宋体" w:eastAsia="宋体" w:cs="宋体"/>
          <w:sz w:val="24"/>
          <w:szCs w:val="24"/>
        </w:rPr>
      </w:pPr>
      <w:r>
        <w:rPr>
          <w:rFonts w:ascii="宋体" w:hAnsi="宋体" w:eastAsia="宋体" w:cs="宋体"/>
          <w:spacing w:val="2"/>
          <w:sz w:val="24"/>
          <w:szCs w:val="24"/>
        </w:rPr>
        <w:t>本项目为畜禽养殖项目建设，属于畜牧业中猪饲养、其他牲畜的饲养行业，属</w:t>
      </w:r>
      <w:r>
        <w:rPr>
          <w:rFonts w:ascii="宋体" w:hAnsi="宋体" w:eastAsia="宋体" w:cs="宋体"/>
          <w:spacing w:val="9"/>
          <w:sz w:val="24"/>
          <w:szCs w:val="24"/>
        </w:rPr>
        <w:t xml:space="preserve"> </w:t>
      </w:r>
      <w:r>
        <w:rPr>
          <w:rFonts w:ascii="宋体" w:hAnsi="宋体" w:eastAsia="宋体" w:cs="宋体"/>
          <w:spacing w:val="-7"/>
          <w:sz w:val="24"/>
          <w:szCs w:val="24"/>
        </w:rPr>
        <w:t>于《国民经济行业分类》（</w:t>
      </w:r>
      <w:r>
        <w:rPr>
          <w:rFonts w:ascii="Times New Roman" w:hAnsi="Times New Roman" w:eastAsia="Times New Roman" w:cs="Times New Roman"/>
          <w:spacing w:val="-7"/>
          <w:sz w:val="24"/>
          <w:szCs w:val="24"/>
        </w:rPr>
        <w:t>GB/T4754-2017</w:t>
      </w:r>
      <w:r>
        <w:rPr>
          <w:rFonts w:ascii="宋体" w:hAnsi="宋体" w:eastAsia="宋体" w:cs="宋体"/>
          <w:spacing w:val="-7"/>
          <w:sz w:val="24"/>
          <w:szCs w:val="24"/>
        </w:rPr>
        <w:t>）中</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 xml:space="preserve">A0313 </w:t>
      </w:r>
      <w:r>
        <w:rPr>
          <w:rFonts w:ascii="宋体" w:hAnsi="宋体" w:eastAsia="宋体" w:cs="宋体"/>
          <w:spacing w:val="-7"/>
          <w:sz w:val="24"/>
          <w:szCs w:val="24"/>
        </w:rPr>
        <w:t>猪的饲养，猪只年出栏量</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15000</w:t>
      </w:r>
      <w:r>
        <w:rPr>
          <w:rFonts w:ascii="Times New Roman" w:hAnsi="Times New Roman" w:eastAsia="Times New Roman" w:cs="Times New Roman"/>
          <w:sz w:val="24"/>
          <w:szCs w:val="24"/>
        </w:rPr>
        <w:t xml:space="preserve"> </w:t>
      </w:r>
      <w:r>
        <w:rPr>
          <w:rFonts w:ascii="宋体" w:hAnsi="宋体" w:eastAsia="宋体" w:cs="宋体"/>
          <w:sz w:val="24"/>
          <w:szCs w:val="24"/>
        </w:rPr>
        <w:t>头，根据国家《产业结构调整指导目录（</w:t>
      </w:r>
      <w:r>
        <w:rPr>
          <w:rFonts w:ascii="Times New Roman" w:hAnsi="Times New Roman" w:eastAsia="Times New Roman" w:cs="Times New Roman"/>
          <w:sz w:val="24"/>
          <w:szCs w:val="24"/>
        </w:rPr>
        <w:t xml:space="preserve">2019 </w:t>
      </w:r>
      <w:r>
        <w:rPr>
          <w:rFonts w:ascii="宋体" w:hAnsi="宋体" w:eastAsia="宋体" w:cs="宋体"/>
          <w:sz w:val="24"/>
          <w:szCs w:val="24"/>
        </w:rPr>
        <w:t>年本）》（国家发展和改革委员会令</w:t>
      </w:r>
      <w:r>
        <w:rPr>
          <w:rFonts w:ascii="宋体" w:hAnsi="宋体" w:eastAsia="宋体" w:cs="宋体"/>
          <w:spacing w:val="18"/>
          <w:sz w:val="24"/>
          <w:szCs w:val="24"/>
        </w:rPr>
        <w:t xml:space="preserve"> </w:t>
      </w:r>
      <w:r>
        <w:rPr>
          <w:rFonts w:ascii="宋体" w:hAnsi="宋体" w:eastAsia="宋体" w:cs="宋体"/>
          <w:sz w:val="24"/>
          <w:szCs w:val="24"/>
        </w:rPr>
        <w:t>第</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29</w:t>
      </w:r>
      <w:r>
        <w:rPr>
          <w:rFonts w:ascii="Times New Roman" w:hAnsi="Times New Roman" w:eastAsia="Times New Roman" w:cs="Times New Roman"/>
          <w:spacing w:val="20"/>
          <w:w w:val="101"/>
          <w:sz w:val="24"/>
          <w:szCs w:val="24"/>
        </w:rPr>
        <w:t xml:space="preserve"> </w:t>
      </w:r>
      <w:r>
        <w:rPr>
          <w:rFonts w:ascii="宋体" w:hAnsi="宋体" w:eastAsia="宋体" w:cs="宋体"/>
          <w:sz w:val="24"/>
          <w:szCs w:val="24"/>
        </w:rPr>
        <w:t>号</w:t>
      </w:r>
      <w:r>
        <w:rPr>
          <w:rFonts w:ascii="宋体" w:hAnsi="宋体" w:eastAsia="宋体" w:cs="宋体"/>
          <w:spacing w:val="12"/>
          <w:sz w:val="24"/>
          <w:szCs w:val="24"/>
        </w:rPr>
        <w:t>），</w:t>
      </w:r>
      <w:r>
        <w:rPr>
          <w:rFonts w:ascii="宋体" w:hAnsi="宋体" w:eastAsia="宋体" w:cs="宋体"/>
          <w:sz w:val="24"/>
          <w:szCs w:val="24"/>
        </w:rPr>
        <w:t>属于第一类鼓励类中“一、农林业，</w:t>
      </w:r>
      <w:r>
        <w:rPr>
          <w:rFonts w:ascii="Times New Roman" w:hAnsi="Times New Roman" w:eastAsia="Times New Roman" w:cs="Times New Roman"/>
          <w:sz w:val="24"/>
          <w:szCs w:val="24"/>
        </w:rPr>
        <w:t>4</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、畜禽标准化规模养殖技术开发 与应用”。根据《市场准入负面清单（</w:t>
      </w:r>
      <w:r>
        <w:rPr>
          <w:rFonts w:ascii="Times New Roman" w:hAnsi="Times New Roman" w:eastAsia="Times New Roman" w:cs="Times New Roman"/>
          <w:sz w:val="24"/>
          <w:szCs w:val="24"/>
        </w:rPr>
        <w:t xml:space="preserve">2019 </w:t>
      </w:r>
      <w:r>
        <w:rPr>
          <w:rFonts w:ascii="宋体" w:hAnsi="宋体" w:eastAsia="宋体" w:cs="宋体"/>
          <w:sz w:val="24"/>
          <w:szCs w:val="24"/>
        </w:rPr>
        <w:t>年版）》，本项目属于许可准入类。因</w:t>
      </w:r>
      <w:r>
        <w:rPr>
          <w:rFonts w:ascii="宋体" w:hAnsi="宋体" w:eastAsia="宋体" w:cs="宋体"/>
          <w:spacing w:val="18"/>
          <w:sz w:val="24"/>
          <w:szCs w:val="24"/>
        </w:rPr>
        <w:t xml:space="preserve"> </w:t>
      </w:r>
      <w:r>
        <w:rPr>
          <w:rFonts w:ascii="宋体" w:hAnsi="宋体" w:eastAsia="宋体" w:cs="宋体"/>
          <w:spacing w:val="-1"/>
          <w:sz w:val="24"/>
          <w:szCs w:val="24"/>
        </w:rPr>
        <w:t>此，本项目符合国家的产业政策。</w:t>
      </w:r>
    </w:p>
    <w:p w14:paraId="6FE1E5B8">
      <w:pPr>
        <w:spacing w:before="176" w:line="220" w:lineRule="auto"/>
        <w:ind w:left="7"/>
        <w:outlineLvl w:val="2"/>
        <w:rPr>
          <w:rFonts w:ascii="宋体" w:hAnsi="宋体" w:eastAsia="宋体" w:cs="宋体"/>
          <w:sz w:val="24"/>
          <w:szCs w:val="24"/>
        </w:rPr>
      </w:pPr>
      <w:r>
        <w:rPr>
          <w:rFonts w:ascii="Times New Roman" w:hAnsi="Times New Roman" w:eastAsia="Times New Roman" w:cs="Times New Roman"/>
          <w:b/>
          <w:bCs/>
          <w:spacing w:val="-3"/>
          <w:sz w:val="24"/>
          <w:szCs w:val="24"/>
        </w:rPr>
        <w:t>1.4.2</w:t>
      </w:r>
      <w:r>
        <w:rPr>
          <w:rFonts w:ascii="宋体" w:hAnsi="宋体" w:eastAsia="宋体" w:cs="宋体"/>
          <w:b/>
          <w:bCs/>
          <w:spacing w:val="-3"/>
          <w:sz w:val="24"/>
          <w:szCs w:val="24"/>
        </w:rPr>
        <w:t>与地方规划相符性分析</w:t>
      </w:r>
    </w:p>
    <w:p w14:paraId="023EA34B">
      <w:pPr>
        <w:spacing w:before="165" w:line="360" w:lineRule="exact"/>
        <w:ind w:left="499"/>
        <w:rPr>
          <w:rFonts w:ascii="宋体" w:hAnsi="宋体" w:eastAsia="宋体" w:cs="宋体"/>
          <w:sz w:val="24"/>
          <w:szCs w:val="24"/>
        </w:rPr>
      </w:pPr>
      <w:r>
        <w:rPr>
          <w:rFonts w:ascii="Times New Roman" w:hAnsi="Times New Roman" w:eastAsia="Times New Roman" w:cs="Times New Roman"/>
          <w:spacing w:val="-2"/>
          <w:position w:val="2"/>
          <w:sz w:val="24"/>
          <w:szCs w:val="24"/>
        </w:rPr>
        <w:t>1</w:t>
      </w:r>
      <w:r>
        <w:rPr>
          <w:rFonts w:ascii="Times New Roman" w:hAnsi="Times New Roman" w:eastAsia="Times New Roman" w:cs="Times New Roman"/>
          <w:spacing w:val="-32"/>
          <w:position w:val="2"/>
          <w:sz w:val="24"/>
          <w:szCs w:val="24"/>
        </w:rPr>
        <w:t xml:space="preserve"> </w:t>
      </w:r>
      <w:r>
        <w:rPr>
          <w:rFonts w:ascii="宋体" w:hAnsi="宋体" w:eastAsia="宋体" w:cs="宋体"/>
          <w:spacing w:val="-2"/>
          <w:position w:val="2"/>
          <w:sz w:val="24"/>
          <w:szCs w:val="24"/>
        </w:rPr>
        <w:t>、与《广东省国民经济和社会发展</w:t>
      </w:r>
      <w:r>
        <w:rPr>
          <w:rFonts w:hint="eastAsia" w:ascii="宋体" w:hAnsi="宋体" w:eastAsia="宋体" w:cs="宋体"/>
          <w:spacing w:val="-2"/>
          <w:position w:val="2"/>
          <w:sz w:val="24"/>
          <w:szCs w:val="24"/>
          <w:lang w:eastAsia="zh-CN"/>
        </w:rPr>
        <w:t>“</w:t>
      </w:r>
      <w:r>
        <w:rPr>
          <w:rFonts w:ascii="宋体" w:hAnsi="宋体" w:eastAsia="宋体" w:cs="宋体"/>
          <w:spacing w:val="-2"/>
          <w:position w:val="2"/>
          <w:sz w:val="24"/>
          <w:szCs w:val="24"/>
        </w:rPr>
        <w:t>十三五</w:t>
      </w:r>
      <w:r>
        <w:rPr>
          <w:rFonts w:hint="eastAsia" w:ascii="宋体" w:hAnsi="宋体" w:eastAsia="宋体" w:cs="宋体"/>
          <w:spacing w:val="-2"/>
          <w:position w:val="2"/>
          <w:sz w:val="24"/>
          <w:szCs w:val="24"/>
          <w:lang w:eastAsia="zh-CN"/>
        </w:rPr>
        <w:t>”</w:t>
      </w:r>
      <w:r>
        <w:rPr>
          <w:rFonts w:ascii="宋体" w:hAnsi="宋体" w:eastAsia="宋体" w:cs="宋体"/>
          <w:spacing w:val="-2"/>
          <w:position w:val="2"/>
          <w:sz w:val="24"/>
          <w:szCs w:val="24"/>
        </w:rPr>
        <w:t>规划纲要》相符性分析</w:t>
      </w:r>
    </w:p>
    <w:p w14:paraId="2F86A4AA">
      <w:pPr>
        <w:spacing w:before="169" w:line="376" w:lineRule="auto"/>
        <w:ind w:right="65" w:firstLine="485"/>
        <w:rPr>
          <w:rFonts w:ascii="宋体" w:hAnsi="宋体" w:eastAsia="宋体" w:cs="宋体"/>
          <w:sz w:val="24"/>
          <w:szCs w:val="24"/>
        </w:rPr>
      </w:pPr>
      <w:r>
        <w:rPr>
          <w:rFonts w:ascii="宋体" w:hAnsi="宋体" w:eastAsia="宋体" w:cs="宋体"/>
          <w:spacing w:val="2"/>
          <w:sz w:val="24"/>
          <w:szCs w:val="24"/>
        </w:rPr>
        <w:t>《广东省国民经济和社会发展</w:t>
      </w:r>
      <w:r>
        <w:rPr>
          <w:rFonts w:hint="eastAsia" w:ascii="宋体" w:hAnsi="宋体" w:eastAsia="宋体" w:cs="宋体"/>
          <w:spacing w:val="2"/>
          <w:sz w:val="24"/>
          <w:szCs w:val="24"/>
          <w:lang w:eastAsia="zh-CN"/>
        </w:rPr>
        <w:t>“</w:t>
      </w:r>
      <w:r>
        <w:rPr>
          <w:rFonts w:ascii="宋体" w:hAnsi="宋体" w:eastAsia="宋体" w:cs="宋体"/>
          <w:spacing w:val="2"/>
          <w:sz w:val="24"/>
          <w:szCs w:val="24"/>
        </w:rPr>
        <w:t>十三五</w:t>
      </w:r>
      <w:r>
        <w:rPr>
          <w:rFonts w:hint="eastAsia" w:ascii="宋体" w:hAnsi="宋体" w:eastAsia="宋体" w:cs="宋体"/>
          <w:spacing w:val="2"/>
          <w:sz w:val="24"/>
          <w:szCs w:val="24"/>
          <w:lang w:eastAsia="zh-CN"/>
        </w:rPr>
        <w:t>”</w:t>
      </w:r>
      <w:r>
        <w:rPr>
          <w:rFonts w:ascii="宋体" w:hAnsi="宋体" w:eastAsia="宋体" w:cs="宋体"/>
          <w:spacing w:val="2"/>
          <w:sz w:val="24"/>
          <w:szCs w:val="24"/>
        </w:rPr>
        <w:t>规划纲要》指出“加快发展畜牧业和畜禽</w:t>
      </w:r>
      <w:r>
        <w:rPr>
          <w:rFonts w:ascii="宋体" w:hAnsi="宋体" w:eastAsia="宋体" w:cs="宋体"/>
          <w:spacing w:val="4"/>
          <w:sz w:val="24"/>
          <w:szCs w:val="24"/>
        </w:rPr>
        <w:t xml:space="preserve"> </w:t>
      </w:r>
      <w:r>
        <w:rPr>
          <w:rFonts w:ascii="宋体" w:hAnsi="宋体" w:eastAsia="宋体" w:cs="宋体"/>
          <w:spacing w:val="1"/>
          <w:sz w:val="24"/>
          <w:szCs w:val="24"/>
        </w:rPr>
        <w:t>规模化健康养殖；推进水产</w:t>
      </w:r>
      <w:r>
        <w:rPr>
          <w:rFonts w:ascii="宋体" w:hAnsi="宋体" w:eastAsia="宋体" w:cs="宋体"/>
          <w:spacing w:val="-81"/>
          <w:sz w:val="24"/>
          <w:szCs w:val="24"/>
        </w:rPr>
        <w:t xml:space="preserve"> </w:t>
      </w:r>
      <w:r>
        <w:rPr>
          <w:rFonts w:ascii="宋体" w:hAnsi="宋体" w:eastAsia="宋体" w:cs="宋体"/>
          <w:spacing w:val="1"/>
          <w:sz w:val="24"/>
          <w:szCs w:val="24"/>
        </w:rPr>
        <w:t>”、“推行绿色文明施工，重点做好施工场地围闭、地</w:t>
      </w:r>
      <w:r>
        <w:rPr>
          <w:rFonts w:ascii="宋体" w:hAnsi="宋体" w:eastAsia="宋体" w:cs="宋体"/>
          <w:sz w:val="24"/>
          <w:szCs w:val="24"/>
        </w:rPr>
        <w:t xml:space="preserve"> </w:t>
      </w:r>
      <w:r>
        <w:rPr>
          <w:rFonts w:ascii="宋体" w:hAnsi="宋体" w:eastAsia="宋体" w:cs="宋体"/>
          <w:spacing w:val="2"/>
          <w:sz w:val="24"/>
          <w:szCs w:val="24"/>
        </w:rPr>
        <w:t>面硬化绿化、裸露地表抑尘、物料堆放遮盖、进出车辆冲洗等环节扬尘管控措施，</w:t>
      </w:r>
      <w:r>
        <w:rPr>
          <w:rFonts w:ascii="宋体" w:hAnsi="宋体" w:eastAsia="宋体" w:cs="宋体"/>
          <w:spacing w:val="6"/>
          <w:sz w:val="24"/>
          <w:szCs w:val="24"/>
        </w:rPr>
        <w:t xml:space="preserve"> </w:t>
      </w:r>
      <w:r>
        <w:rPr>
          <w:rFonts w:ascii="宋体" w:hAnsi="宋体" w:eastAsia="宋体" w:cs="宋体"/>
          <w:spacing w:val="1"/>
          <w:sz w:val="24"/>
          <w:szCs w:val="24"/>
        </w:rPr>
        <w:t>各市主城区内施工工地渣土和粉状物料实现全面封闭运输。</w:t>
      </w:r>
      <w:r>
        <w:rPr>
          <w:rFonts w:ascii="宋体" w:hAnsi="宋体" w:eastAsia="宋体" w:cs="宋体"/>
          <w:spacing w:val="-78"/>
          <w:sz w:val="24"/>
          <w:szCs w:val="24"/>
        </w:rPr>
        <w:t xml:space="preserve"> </w:t>
      </w:r>
      <w:r>
        <w:rPr>
          <w:rFonts w:ascii="宋体" w:hAnsi="宋体" w:eastAsia="宋体" w:cs="宋体"/>
          <w:spacing w:val="1"/>
          <w:sz w:val="24"/>
          <w:szCs w:val="24"/>
        </w:rPr>
        <w:t>”本项目施工过程积极</w:t>
      </w:r>
      <w:r>
        <w:rPr>
          <w:rFonts w:ascii="宋体" w:hAnsi="宋体" w:eastAsia="宋体" w:cs="宋体"/>
          <w:sz w:val="24"/>
          <w:szCs w:val="24"/>
        </w:rPr>
        <w:t xml:space="preserve"> </w:t>
      </w:r>
      <w:r>
        <w:rPr>
          <w:rFonts w:ascii="宋体" w:hAnsi="宋体" w:eastAsia="宋体" w:cs="宋体"/>
          <w:spacing w:val="2"/>
          <w:sz w:val="24"/>
          <w:szCs w:val="24"/>
        </w:rPr>
        <w:t>推进绿色施工，督促施工单位落实施工现场封闭围挡、设置冲洗设施、道路硬底化</w:t>
      </w:r>
      <w:r>
        <w:rPr>
          <w:rFonts w:ascii="宋体" w:hAnsi="宋体" w:eastAsia="宋体" w:cs="宋体"/>
          <w:spacing w:val="6"/>
          <w:sz w:val="24"/>
          <w:szCs w:val="24"/>
        </w:rPr>
        <w:t xml:space="preserve"> </w:t>
      </w:r>
      <w:r>
        <w:rPr>
          <w:rFonts w:ascii="宋体" w:hAnsi="宋体" w:eastAsia="宋体" w:cs="宋体"/>
          <w:spacing w:val="2"/>
          <w:sz w:val="24"/>
          <w:szCs w:val="24"/>
        </w:rPr>
        <w:t>等扬尘防治措施，严禁敞开式作业。各城市主城区内施工工地渣土和粉状物料应逐</w:t>
      </w:r>
      <w:r>
        <w:rPr>
          <w:rFonts w:ascii="宋体" w:hAnsi="宋体" w:eastAsia="宋体" w:cs="宋体"/>
          <w:spacing w:val="6"/>
          <w:sz w:val="24"/>
          <w:szCs w:val="24"/>
        </w:rPr>
        <w:t xml:space="preserve"> </w:t>
      </w:r>
      <w:r>
        <w:rPr>
          <w:rFonts w:ascii="宋体" w:hAnsi="宋体" w:eastAsia="宋体" w:cs="宋体"/>
          <w:spacing w:val="2"/>
          <w:sz w:val="24"/>
          <w:szCs w:val="24"/>
        </w:rPr>
        <w:t>步实现封闭运输并配备卫星定位装置。增加路面洒水次数。可有效地减轻施工废气</w:t>
      </w:r>
      <w:r>
        <w:rPr>
          <w:rFonts w:ascii="宋体" w:hAnsi="宋体" w:eastAsia="宋体" w:cs="宋体"/>
          <w:spacing w:val="6"/>
          <w:sz w:val="24"/>
          <w:szCs w:val="24"/>
        </w:rPr>
        <w:t xml:space="preserve"> </w:t>
      </w:r>
      <w:r>
        <w:rPr>
          <w:rFonts w:ascii="宋体" w:hAnsi="宋体" w:eastAsia="宋体" w:cs="宋体"/>
          <w:spacing w:val="-4"/>
          <w:sz w:val="24"/>
          <w:szCs w:val="24"/>
        </w:rPr>
        <w:t>污染。</w:t>
      </w:r>
    </w:p>
    <w:p w14:paraId="6C16D706">
      <w:pPr>
        <w:spacing w:before="6" w:line="375" w:lineRule="auto"/>
        <w:ind w:firstLine="486"/>
        <w:jc w:val="both"/>
        <w:rPr>
          <w:rFonts w:ascii="宋体" w:hAnsi="宋体" w:eastAsia="宋体" w:cs="宋体"/>
          <w:sz w:val="24"/>
          <w:szCs w:val="24"/>
        </w:rPr>
      </w:pPr>
      <w:r>
        <w:rPr>
          <w:rFonts w:ascii="宋体" w:hAnsi="宋体" w:eastAsia="宋体" w:cs="宋体"/>
          <w:spacing w:val="1"/>
          <w:sz w:val="24"/>
          <w:szCs w:val="24"/>
        </w:rPr>
        <w:t>《广东省环境保护“十三五</w:t>
      </w:r>
      <w:r>
        <w:rPr>
          <w:rFonts w:ascii="宋体" w:hAnsi="宋体" w:eastAsia="宋体" w:cs="宋体"/>
          <w:spacing w:val="-82"/>
          <w:sz w:val="24"/>
          <w:szCs w:val="24"/>
        </w:rPr>
        <w:t xml:space="preserve"> </w:t>
      </w:r>
      <w:r>
        <w:rPr>
          <w:rFonts w:ascii="宋体" w:hAnsi="宋体" w:eastAsia="宋体" w:cs="宋体"/>
          <w:spacing w:val="1"/>
          <w:sz w:val="24"/>
          <w:szCs w:val="24"/>
        </w:rPr>
        <w:t>”规划》又提出“重点解决广大人民群众关注的雾</w:t>
      </w:r>
      <w:r>
        <w:rPr>
          <w:rFonts w:ascii="宋体" w:hAnsi="宋体" w:eastAsia="宋体" w:cs="宋体"/>
          <w:sz w:val="24"/>
          <w:szCs w:val="24"/>
        </w:rPr>
        <w:t xml:space="preserve"> </w:t>
      </w:r>
      <w:r>
        <w:rPr>
          <w:rFonts w:ascii="宋体" w:hAnsi="宋体" w:eastAsia="宋体" w:cs="宋体"/>
          <w:spacing w:val="-3"/>
          <w:sz w:val="24"/>
          <w:szCs w:val="24"/>
        </w:rPr>
        <w:t>霾、黑臭水体、土壤重金属污染和农村环境保护等突出问题。强化污染物来源解析，</w:t>
      </w:r>
      <w:r>
        <w:rPr>
          <w:rFonts w:ascii="宋体" w:hAnsi="宋体" w:eastAsia="宋体" w:cs="宋体"/>
          <w:spacing w:val="16"/>
          <w:sz w:val="24"/>
          <w:szCs w:val="24"/>
        </w:rPr>
        <w:t xml:space="preserve"> </w:t>
      </w:r>
      <w:r>
        <w:rPr>
          <w:rFonts w:ascii="宋体" w:hAnsi="宋体" w:eastAsia="宋体" w:cs="宋体"/>
          <w:spacing w:val="-3"/>
          <w:sz w:val="24"/>
          <w:szCs w:val="24"/>
        </w:rPr>
        <w:t>开展多污染物协同治理，提升精细化管理水平，确保环境质量持续改善。”本项目，</w:t>
      </w:r>
      <w:r>
        <w:rPr>
          <w:rFonts w:ascii="宋体" w:hAnsi="宋体" w:eastAsia="宋体" w:cs="宋体"/>
          <w:spacing w:val="16"/>
          <w:sz w:val="24"/>
          <w:szCs w:val="24"/>
        </w:rPr>
        <w:t xml:space="preserve"> </w:t>
      </w:r>
      <w:r>
        <w:rPr>
          <w:rFonts w:ascii="宋体" w:hAnsi="宋体" w:eastAsia="宋体" w:cs="宋体"/>
          <w:spacing w:val="2"/>
          <w:sz w:val="24"/>
          <w:szCs w:val="24"/>
        </w:rPr>
        <w:t>对废水进行收集集中治理，不外排。减少了水污染物的排放，一定程度上减轻了城</w:t>
      </w:r>
      <w:r>
        <w:rPr>
          <w:rFonts w:ascii="宋体" w:hAnsi="宋体" w:eastAsia="宋体" w:cs="宋体"/>
          <w:spacing w:val="7"/>
          <w:sz w:val="24"/>
          <w:szCs w:val="24"/>
        </w:rPr>
        <w:t xml:space="preserve"> </w:t>
      </w:r>
      <w:r>
        <w:rPr>
          <w:rFonts w:ascii="宋体" w:hAnsi="宋体" w:eastAsia="宋体" w:cs="宋体"/>
          <w:spacing w:val="-1"/>
          <w:sz w:val="24"/>
          <w:szCs w:val="24"/>
        </w:rPr>
        <w:t>市污水处理系统的治理压力。</w:t>
      </w:r>
    </w:p>
    <w:p w14:paraId="0AF36CF0">
      <w:pPr>
        <w:spacing w:line="219" w:lineRule="auto"/>
        <w:ind w:left="499"/>
        <w:rPr>
          <w:rFonts w:ascii="宋体" w:hAnsi="宋体" w:eastAsia="宋体" w:cs="宋体"/>
          <w:sz w:val="24"/>
          <w:szCs w:val="24"/>
        </w:rPr>
      </w:pPr>
      <w:r>
        <w:rPr>
          <w:rFonts w:ascii="宋体" w:hAnsi="宋体" w:eastAsia="宋体" w:cs="宋体"/>
          <w:spacing w:val="-2"/>
          <w:sz w:val="24"/>
          <w:szCs w:val="24"/>
        </w:rPr>
        <w:t>因此，本项目的建设符合《广东省环境保护“十三五</w:t>
      </w:r>
      <w:r>
        <w:rPr>
          <w:rFonts w:ascii="宋体" w:hAnsi="宋体" w:eastAsia="宋体" w:cs="宋体"/>
          <w:spacing w:val="-88"/>
          <w:sz w:val="24"/>
          <w:szCs w:val="24"/>
        </w:rPr>
        <w:t xml:space="preserve"> </w:t>
      </w:r>
      <w:r>
        <w:rPr>
          <w:rFonts w:ascii="宋体" w:hAnsi="宋体" w:eastAsia="宋体" w:cs="宋体"/>
          <w:spacing w:val="-2"/>
          <w:sz w:val="24"/>
          <w:szCs w:val="24"/>
        </w:rPr>
        <w:t>”规划》的要求。</w:t>
      </w:r>
    </w:p>
    <w:p w14:paraId="5C54131C">
      <w:pPr>
        <w:tabs>
          <w:tab w:val="left" w:pos="480"/>
        </w:tabs>
        <w:spacing w:before="169" w:line="350" w:lineRule="auto"/>
        <w:ind w:right="65" w:firstLine="476"/>
        <w:jc w:val="right"/>
        <w:rPr>
          <w:rFonts w:ascii="宋体" w:hAnsi="宋体" w:eastAsia="宋体" w:cs="宋体"/>
          <w:sz w:val="24"/>
          <w:szCs w:val="24"/>
        </w:rPr>
      </w:pPr>
      <w:r>
        <w:pict>
          <v:shape id="_x0000_s1026" o:spid="_x0000_s1026" o:spt="202" type="#_x0000_t202" style="position:absolute;left:0pt;margin-left:178.4pt;margin-top:82.5pt;height:16.35pt;width:97.1pt;z-index:251659264;mso-width-relative:page;mso-height-relative:page;" filled="f" stroked="f" coordsize="21600,21600">
            <v:path/>
            <v:fill on="f" focussize="0,0"/>
            <v:stroke on="f"/>
            <v:imagedata o:title=""/>
            <o:lock v:ext="edit" aspectratio="f"/>
            <v:textbox inset="0mm,0mm,0mm,0mm">
              <w:txbxContent>
                <w:p w14:paraId="1E52CCCD">
                  <w:pPr>
                    <w:spacing w:before="20" w:line="220" w:lineRule="auto"/>
                    <w:ind w:left="20"/>
                    <w:rPr>
                      <w:rFonts w:ascii="宋体" w:hAnsi="宋体" w:eastAsia="宋体" w:cs="宋体"/>
                      <w:sz w:val="24"/>
                      <w:szCs w:val="24"/>
                    </w:rPr>
                  </w:pPr>
                  <w:r>
                    <w:rPr>
                      <w:rFonts w:ascii="宋体" w:hAnsi="宋体" w:eastAsia="宋体" w:cs="宋体"/>
                      <w:spacing w:val="-3"/>
                      <w:sz w:val="24"/>
                      <w:szCs w:val="24"/>
                    </w:rPr>
                    <w:t>物，污水达标排放</w:t>
                  </w:r>
                </w:p>
              </w:txbxContent>
            </v:textbox>
          </v:shape>
        </w:pic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、与《广东省生猪生产发展总体规划和区域布局（</w:t>
      </w:r>
      <w:r>
        <w:rPr>
          <w:rFonts w:ascii="Times New Roman" w:hAnsi="Times New Roman" w:eastAsia="Times New Roman" w:cs="Times New Roman"/>
          <w:spacing w:val="-1"/>
          <w:sz w:val="24"/>
          <w:szCs w:val="24"/>
        </w:rPr>
        <w:t>2008-2020</w:t>
      </w:r>
      <w:r>
        <w:rPr>
          <w:rFonts w:ascii="宋体" w:hAnsi="宋体" w:eastAsia="宋体" w:cs="宋体"/>
          <w:spacing w:val="-1"/>
          <w:sz w:val="24"/>
          <w:szCs w:val="24"/>
        </w:rPr>
        <w:t>）》相符性分析</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z w:val="24"/>
          <w:szCs w:val="24"/>
        </w:rPr>
        <w:t>《广东省生猪生产发展总体规划和区域布局（</w:t>
      </w:r>
      <w:r>
        <w:rPr>
          <w:rFonts w:ascii="Times New Roman" w:hAnsi="Times New Roman" w:eastAsia="Times New Roman" w:cs="Times New Roman"/>
          <w:sz w:val="24"/>
          <w:szCs w:val="24"/>
        </w:rPr>
        <w:t>2008-2020</w:t>
      </w:r>
      <w:r>
        <w:rPr>
          <w:rFonts w:ascii="宋体" w:hAnsi="宋体" w:eastAsia="宋体" w:cs="宋体"/>
          <w:sz w:val="24"/>
          <w:szCs w:val="24"/>
        </w:rPr>
        <w:t>）》中提出，合理</w:t>
      </w:r>
      <w:r>
        <w:rPr>
          <w:rFonts w:ascii="宋体" w:hAnsi="宋体" w:eastAsia="宋体" w:cs="宋体"/>
          <w:spacing w:val="-1"/>
          <w:sz w:val="24"/>
          <w:szCs w:val="24"/>
        </w:rPr>
        <w:t>利用</w:t>
      </w:r>
      <w:r>
        <w:rPr>
          <w:rFonts w:ascii="宋体" w:hAnsi="宋体" w:eastAsia="宋体" w:cs="宋体"/>
          <w:sz w:val="24"/>
          <w:szCs w:val="24"/>
        </w:rPr>
        <w:t xml:space="preserve"> </w:t>
      </w:r>
      <w:r>
        <w:rPr>
          <w:rFonts w:ascii="宋体" w:hAnsi="宋体" w:eastAsia="宋体" w:cs="宋体"/>
          <w:spacing w:val="2"/>
          <w:sz w:val="24"/>
          <w:szCs w:val="24"/>
        </w:rPr>
        <w:t>土地资源，积极发展环境友好、清洁生产、可持续、监控养殖生猪产业，保护水资</w:t>
      </w:r>
      <w:r>
        <w:rPr>
          <w:rFonts w:ascii="宋体" w:hAnsi="宋体" w:eastAsia="宋体" w:cs="宋体"/>
          <w:spacing w:val="7"/>
          <w:sz w:val="24"/>
          <w:szCs w:val="24"/>
        </w:rPr>
        <w:t xml:space="preserve"> </w:t>
      </w:r>
      <w:r>
        <w:rPr>
          <w:rFonts w:ascii="宋体" w:hAnsi="宋体" w:eastAsia="宋体" w:cs="宋体"/>
          <w:spacing w:val="-1"/>
          <w:sz w:val="24"/>
          <w:szCs w:val="24"/>
        </w:rPr>
        <w:t>源与环境，综合利用生猪生产废弃                。力争使广大省</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2012 </w:t>
      </w:r>
      <w:r>
        <w:rPr>
          <w:rFonts w:ascii="宋体" w:hAnsi="宋体" w:eastAsia="宋体" w:cs="宋体"/>
          <w:spacing w:val="-1"/>
          <w:sz w:val="24"/>
          <w:szCs w:val="24"/>
        </w:rPr>
        <w:t>年生猪出</w:t>
      </w:r>
    </w:p>
    <w:p w14:paraId="6EAB087F">
      <w:pPr>
        <w:spacing w:line="236" w:lineRule="exact"/>
        <w:ind w:left="449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6</w:t>
      </w:r>
    </w:p>
    <w:p w14:paraId="0BDA5352">
      <w:pPr>
        <w:spacing w:line="236" w:lineRule="exact"/>
        <w:rPr>
          <w:rFonts w:ascii="Times New Roman" w:hAnsi="Times New Roman" w:eastAsia="Times New Roman" w:cs="Times New Roman"/>
          <w:sz w:val="18"/>
          <w:szCs w:val="18"/>
        </w:rPr>
        <w:sectPr>
          <w:footerReference r:id="rId13" w:type="default"/>
          <w:pgSz w:w="11906" w:h="16839"/>
          <w:pgMar w:top="1431" w:right="1522" w:bottom="400" w:left="1597" w:header="0" w:footer="0" w:gutter="0"/>
          <w:cols w:space="720" w:num="1"/>
        </w:sectPr>
      </w:pPr>
    </w:p>
    <w:p w14:paraId="2D4E78A6">
      <w:pPr>
        <w:spacing w:before="76" w:line="374" w:lineRule="auto"/>
        <w:ind w:left="43" w:right="99" w:hanging="1"/>
        <w:rPr>
          <w:rFonts w:ascii="宋体" w:hAnsi="宋体" w:eastAsia="宋体" w:cs="宋体"/>
          <w:sz w:val="24"/>
          <w:szCs w:val="24"/>
        </w:rPr>
      </w:pPr>
      <w:r>
        <w:rPr>
          <w:rFonts w:ascii="宋体" w:hAnsi="宋体" w:eastAsia="宋体" w:cs="宋体"/>
          <w:spacing w:val="-1"/>
          <w:sz w:val="24"/>
          <w:szCs w:val="24"/>
        </w:rPr>
        <w:t>栏达到</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4574</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万头，猪肉自给率从</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2006 </w:t>
      </w:r>
      <w:r>
        <w:rPr>
          <w:rFonts w:ascii="宋体" w:hAnsi="宋体" w:eastAsia="宋体" w:cs="宋体"/>
          <w:spacing w:val="-1"/>
          <w:sz w:val="24"/>
          <w:szCs w:val="24"/>
        </w:rPr>
        <w:t>年的</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60%</w:t>
      </w:r>
      <w:r>
        <w:rPr>
          <w:rFonts w:ascii="宋体" w:hAnsi="宋体" w:eastAsia="宋体" w:cs="宋体"/>
          <w:spacing w:val="-1"/>
          <w:sz w:val="24"/>
          <w:szCs w:val="24"/>
        </w:rPr>
        <w:t>提</w:t>
      </w:r>
      <w:r>
        <w:rPr>
          <w:rFonts w:ascii="宋体" w:hAnsi="宋体" w:eastAsia="宋体" w:cs="宋体"/>
          <w:spacing w:val="-2"/>
          <w:sz w:val="24"/>
          <w:szCs w:val="24"/>
        </w:rPr>
        <w:t>高到</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75%</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2020 </w:t>
      </w:r>
      <w:r>
        <w:rPr>
          <w:rFonts w:ascii="宋体" w:hAnsi="宋体" w:eastAsia="宋体" w:cs="宋体"/>
          <w:spacing w:val="-2"/>
          <w:sz w:val="24"/>
          <w:szCs w:val="24"/>
        </w:rPr>
        <w:t>年生猪出栏达到</w:t>
      </w:r>
      <w:r>
        <w:rPr>
          <w:rFonts w:ascii="宋体" w:hAnsi="宋体" w:eastAsia="宋体" w:cs="宋体"/>
          <w:sz w:val="24"/>
          <w:szCs w:val="24"/>
        </w:rPr>
        <w:t xml:space="preserve"> </w:t>
      </w:r>
      <w:r>
        <w:rPr>
          <w:rFonts w:ascii="Times New Roman" w:hAnsi="Times New Roman" w:eastAsia="Times New Roman" w:cs="Times New Roman"/>
          <w:spacing w:val="-2"/>
          <w:sz w:val="24"/>
          <w:szCs w:val="24"/>
        </w:rPr>
        <w:t>5245</w:t>
      </w:r>
      <w:r>
        <w:rPr>
          <w:rFonts w:ascii="Times New Roman" w:hAnsi="Times New Roman" w:eastAsia="Times New Roman" w:cs="Times New Roman"/>
          <w:spacing w:val="27"/>
          <w:w w:val="101"/>
          <w:sz w:val="24"/>
          <w:szCs w:val="24"/>
        </w:rPr>
        <w:t xml:space="preserve"> </w:t>
      </w:r>
      <w:r>
        <w:rPr>
          <w:rFonts w:ascii="宋体" w:hAnsi="宋体" w:eastAsia="宋体" w:cs="宋体"/>
          <w:spacing w:val="-2"/>
          <w:sz w:val="24"/>
          <w:szCs w:val="24"/>
        </w:rPr>
        <w:t>万头，猪肉自给率达到</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85%</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。汕尾市是广大省东部重要的生猪产业带，重点发</w:t>
      </w:r>
      <w:r>
        <w:rPr>
          <w:rFonts w:ascii="宋体" w:hAnsi="宋体" w:eastAsia="宋体" w:cs="宋体"/>
          <w:sz w:val="24"/>
          <w:szCs w:val="24"/>
        </w:rPr>
        <w:t xml:space="preserve"> </w:t>
      </w:r>
      <w:r>
        <w:rPr>
          <w:rFonts w:ascii="宋体" w:hAnsi="宋体" w:eastAsia="宋体" w:cs="宋体"/>
          <w:spacing w:val="2"/>
          <w:sz w:val="24"/>
          <w:szCs w:val="24"/>
        </w:rPr>
        <w:t>展瘦肉型猪，适度饲养本地猪和土杂猪，除满足本地市场需求外，重点面向深圳、</w:t>
      </w:r>
      <w:r>
        <w:rPr>
          <w:rFonts w:ascii="宋体" w:hAnsi="宋体" w:eastAsia="宋体" w:cs="宋体"/>
          <w:spacing w:val="6"/>
          <w:sz w:val="24"/>
          <w:szCs w:val="24"/>
        </w:rPr>
        <w:t xml:space="preserve"> </w:t>
      </w:r>
      <w:r>
        <w:rPr>
          <w:rFonts w:ascii="宋体" w:hAnsi="宋体" w:eastAsia="宋体" w:cs="宋体"/>
          <w:spacing w:val="-1"/>
          <w:sz w:val="24"/>
          <w:szCs w:val="24"/>
        </w:rPr>
        <w:t>东莞等市场及香港市场。本项目位于汕尾市海丰县，符合规划要求。</w:t>
      </w:r>
    </w:p>
    <w:p w14:paraId="1CA2FCE0">
      <w:pPr>
        <w:spacing w:before="10" w:line="359" w:lineRule="exact"/>
        <w:ind w:left="523"/>
        <w:rPr>
          <w:rFonts w:ascii="宋体" w:hAnsi="宋体" w:eastAsia="宋体" w:cs="宋体"/>
          <w:sz w:val="24"/>
          <w:szCs w:val="24"/>
        </w:rPr>
      </w:pPr>
      <w:r>
        <w:rPr>
          <w:rFonts w:ascii="Times New Roman" w:hAnsi="Times New Roman" w:eastAsia="Times New Roman" w:cs="Times New Roman"/>
          <w:spacing w:val="-1"/>
          <w:position w:val="2"/>
          <w:sz w:val="24"/>
          <w:szCs w:val="24"/>
        </w:rPr>
        <w:t>3</w:t>
      </w:r>
      <w:r>
        <w:rPr>
          <w:rFonts w:ascii="Times New Roman" w:hAnsi="Times New Roman" w:eastAsia="Times New Roman" w:cs="Times New Roman"/>
          <w:spacing w:val="-33"/>
          <w:position w:val="2"/>
          <w:sz w:val="24"/>
          <w:szCs w:val="24"/>
        </w:rPr>
        <w:t xml:space="preserve"> </w:t>
      </w:r>
      <w:r>
        <w:rPr>
          <w:rFonts w:ascii="宋体" w:hAnsi="宋体" w:eastAsia="宋体" w:cs="宋体"/>
          <w:spacing w:val="-1"/>
          <w:position w:val="2"/>
          <w:sz w:val="24"/>
          <w:szCs w:val="24"/>
        </w:rPr>
        <w:t>、与《汕尾市畜禽养殖发展规划和区域布局（</w:t>
      </w:r>
      <w:r>
        <w:rPr>
          <w:rFonts w:ascii="Times New Roman" w:hAnsi="Times New Roman" w:eastAsia="Times New Roman" w:cs="Times New Roman"/>
          <w:spacing w:val="-1"/>
          <w:position w:val="2"/>
          <w:sz w:val="24"/>
          <w:szCs w:val="24"/>
        </w:rPr>
        <w:t xml:space="preserve">2015-2020 </w:t>
      </w:r>
      <w:r>
        <w:rPr>
          <w:rFonts w:ascii="宋体" w:hAnsi="宋体" w:eastAsia="宋体" w:cs="宋体"/>
          <w:spacing w:val="-1"/>
          <w:position w:val="2"/>
          <w:sz w:val="24"/>
          <w:szCs w:val="24"/>
        </w:rPr>
        <w:t>年）》相符性分析</w:t>
      </w:r>
    </w:p>
    <w:p w14:paraId="4320BD93">
      <w:pPr>
        <w:spacing w:before="130" w:line="376" w:lineRule="auto"/>
        <w:ind w:left="42" w:right="99" w:firstLine="486"/>
        <w:rPr>
          <w:rFonts w:ascii="宋体" w:hAnsi="宋体" w:eastAsia="宋体" w:cs="宋体"/>
          <w:sz w:val="24"/>
          <w:szCs w:val="24"/>
        </w:rPr>
      </w:pPr>
      <w:r>
        <w:rPr>
          <w:rFonts w:ascii="宋体" w:hAnsi="宋体" w:eastAsia="宋体" w:cs="宋体"/>
          <w:spacing w:val="-3"/>
          <w:sz w:val="24"/>
          <w:szCs w:val="24"/>
        </w:rPr>
        <w:t>《汕尾市畜禽养殖发展规划和区域布局（</w:t>
      </w:r>
      <w:r>
        <w:rPr>
          <w:rFonts w:ascii="Times New Roman" w:hAnsi="Times New Roman" w:eastAsia="Times New Roman" w:cs="Times New Roman"/>
          <w:spacing w:val="-3"/>
          <w:sz w:val="24"/>
          <w:szCs w:val="24"/>
        </w:rPr>
        <w:t xml:space="preserve">2015-2020 </w:t>
      </w:r>
      <w:r>
        <w:rPr>
          <w:rFonts w:ascii="宋体" w:hAnsi="宋体" w:eastAsia="宋体" w:cs="宋体"/>
          <w:spacing w:val="-3"/>
          <w:sz w:val="24"/>
          <w:szCs w:val="24"/>
        </w:rPr>
        <w:t>年）》中提出“</w:t>
      </w:r>
      <w:r>
        <w:rPr>
          <w:rFonts w:ascii="Times New Roman" w:hAnsi="Times New Roman" w:eastAsia="Times New Roman" w:cs="Times New Roman"/>
          <w:spacing w:val="-3"/>
          <w:sz w:val="24"/>
          <w:szCs w:val="24"/>
        </w:rPr>
        <w:t xml:space="preserve">2020 </w:t>
      </w:r>
      <w:r>
        <w:rPr>
          <w:rFonts w:ascii="宋体" w:hAnsi="宋体" w:eastAsia="宋体" w:cs="宋体"/>
          <w:spacing w:val="-3"/>
          <w:sz w:val="24"/>
          <w:szCs w:val="24"/>
        </w:rPr>
        <w:t>年规划</w:t>
      </w:r>
      <w:r>
        <w:rPr>
          <w:rFonts w:ascii="宋体" w:hAnsi="宋体" w:eastAsia="宋体" w:cs="宋体"/>
          <w:spacing w:val="3"/>
          <w:sz w:val="24"/>
          <w:szCs w:val="24"/>
        </w:rPr>
        <w:t xml:space="preserve"> </w:t>
      </w:r>
      <w:r>
        <w:rPr>
          <w:rFonts w:ascii="宋体" w:hAnsi="宋体" w:eastAsia="宋体" w:cs="宋体"/>
          <w:spacing w:val="1"/>
          <w:sz w:val="24"/>
          <w:szCs w:val="24"/>
        </w:rPr>
        <w:t>目标调整为年出栏量</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160</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万头，重点加快发展陆丰市和海丰县的生猪</w:t>
      </w:r>
      <w:r>
        <w:rPr>
          <w:rFonts w:ascii="宋体" w:hAnsi="宋体" w:eastAsia="宋体" w:cs="宋体"/>
          <w:sz w:val="24"/>
          <w:szCs w:val="24"/>
        </w:rPr>
        <w:t xml:space="preserve">产业，兼顾陆 </w:t>
      </w:r>
      <w:r>
        <w:rPr>
          <w:rFonts w:ascii="宋体" w:hAnsi="宋体" w:eastAsia="宋体" w:cs="宋体"/>
          <w:spacing w:val="2"/>
          <w:sz w:val="24"/>
          <w:szCs w:val="24"/>
        </w:rPr>
        <w:t>河县和华侨区的生猪发展，逐步平衡市城区和红海湾开发区的生猪生产及供应，主</w:t>
      </w:r>
      <w:r>
        <w:rPr>
          <w:rFonts w:ascii="宋体" w:hAnsi="宋体" w:eastAsia="宋体" w:cs="宋体"/>
          <w:spacing w:val="7"/>
          <w:sz w:val="24"/>
          <w:szCs w:val="24"/>
        </w:rPr>
        <w:t xml:space="preserve"> </w:t>
      </w:r>
      <w:r>
        <w:rPr>
          <w:rFonts w:ascii="宋体" w:hAnsi="宋体" w:eastAsia="宋体" w:cs="宋体"/>
          <w:spacing w:val="1"/>
          <w:sz w:val="24"/>
          <w:szCs w:val="24"/>
        </w:rPr>
        <w:t>要以扶持发展大中型标准化、规模化、产业化、生态化生猪养殖场为主。</w:t>
      </w:r>
      <w:r>
        <w:rPr>
          <w:rFonts w:ascii="宋体" w:hAnsi="宋体" w:eastAsia="宋体" w:cs="宋体"/>
          <w:spacing w:val="-77"/>
          <w:sz w:val="24"/>
          <w:szCs w:val="24"/>
        </w:rPr>
        <w:t xml:space="preserve"> </w:t>
      </w:r>
      <w:r>
        <w:rPr>
          <w:rFonts w:ascii="宋体" w:hAnsi="宋体" w:eastAsia="宋体" w:cs="宋体"/>
          <w:spacing w:val="1"/>
          <w:sz w:val="24"/>
          <w:szCs w:val="24"/>
        </w:rPr>
        <w:t>”本项目</w:t>
      </w:r>
      <w:r>
        <w:rPr>
          <w:rFonts w:ascii="宋体" w:hAnsi="宋体" w:eastAsia="宋体" w:cs="宋体"/>
          <w:sz w:val="24"/>
          <w:szCs w:val="24"/>
        </w:rPr>
        <w:t xml:space="preserve"> </w:t>
      </w:r>
      <w:r>
        <w:rPr>
          <w:rFonts w:ascii="宋体" w:hAnsi="宋体" w:eastAsia="宋体" w:cs="宋体"/>
          <w:spacing w:val="2"/>
          <w:sz w:val="24"/>
          <w:szCs w:val="24"/>
        </w:rPr>
        <w:t>位于汕尾市海丰县，且属于规范化生猪养殖场，因此，本项目符合《汕尾市畜禽养</w:t>
      </w:r>
      <w:r>
        <w:rPr>
          <w:rFonts w:ascii="宋体" w:hAnsi="宋体" w:eastAsia="宋体" w:cs="宋体"/>
          <w:spacing w:val="7"/>
          <w:sz w:val="24"/>
          <w:szCs w:val="24"/>
        </w:rPr>
        <w:t xml:space="preserve"> </w:t>
      </w:r>
      <w:r>
        <w:rPr>
          <w:rFonts w:ascii="宋体" w:hAnsi="宋体" w:eastAsia="宋体" w:cs="宋体"/>
          <w:spacing w:val="-1"/>
          <w:sz w:val="24"/>
          <w:szCs w:val="24"/>
        </w:rPr>
        <w:t>殖发展规划和区域布局（</w:t>
      </w:r>
      <w:r>
        <w:rPr>
          <w:rFonts w:ascii="Times New Roman" w:hAnsi="Times New Roman" w:eastAsia="Times New Roman" w:cs="Times New Roman"/>
          <w:spacing w:val="-1"/>
          <w:sz w:val="24"/>
          <w:szCs w:val="24"/>
        </w:rPr>
        <w:t xml:space="preserve">2015-2020 </w:t>
      </w:r>
      <w:r>
        <w:rPr>
          <w:rFonts w:ascii="宋体" w:hAnsi="宋体" w:eastAsia="宋体" w:cs="宋体"/>
          <w:spacing w:val="-1"/>
          <w:sz w:val="24"/>
          <w:szCs w:val="24"/>
        </w:rPr>
        <w:t>年）》。</w:t>
      </w:r>
    </w:p>
    <w:p w14:paraId="6395DBBA">
      <w:pPr>
        <w:spacing w:line="336" w:lineRule="exact"/>
        <w:ind w:left="517"/>
        <w:rPr>
          <w:rFonts w:ascii="宋体" w:hAnsi="宋体" w:eastAsia="宋体" w:cs="宋体"/>
          <w:sz w:val="24"/>
          <w:szCs w:val="24"/>
        </w:rPr>
      </w:pPr>
      <w:r>
        <w:rPr>
          <w:rFonts w:ascii="Times New Roman" w:hAnsi="Times New Roman" w:eastAsia="Times New Roman" w:cs="Times New Roman"/>
          <w:spacing w:val="-1"/>
          <w:position w:val="3"/>
          <w:sz w:val="24"/>
          <w:szCs w:val="24"/>
        </w:rPr>
        <w:t>4</w:t>
      </w:r>
      <w:r>
        <w:rPr>
          <w:rFonts w:ascii="Times New Roman" w:hAnsi="Times New Roman" w:eastAsia="Times New Roman" w:cs="Times New Roman"/>
          <w:spacing w:val="-34"/>
          <w:position w:val="3"/>
          <w:sz w:val="24"/>
          <w:szCs w:val="24"/>
        </w:rPr>
        <w:t xml:space="preserve"> </w:t>
      </w:r>
      <w:r>
        <w:rPr>
          <w:rFonts w:ascii="宋体" w:hAnsi="宋体" w:eastAsia="宋体" w:cs="宋体"/>
          <w:spacing w:val="-1"/>
          <w:position w:val="3"/>
          <w:sz w:val="24"/>
          <w:szCs w:val="24"/>
        </w:rPr>
        <w:t>、与《海丰县畜禽养殖禁养区划定方案》（</w:t>
      </w:r>
      <w:r>
        <w:rPr>
          <w:rFonts w:ascii="宋体" w:hAnsi="宋体" w:eastAsia="宋体" w:cs="宋体"/>
          <w:spacing w:val="-2"/>
          <w:position w:val="3"/>
          <w:sz w:val="24"/>
          <w:szCs w:val="24"/>
        </w:rPr>
        <w:t>海府办函</w:t>
      </w:r>
      <w:r>
        <w:rPr>
          <w:rFonts w:ascii="Times New Roman" w:hAnsi="Times New Roman" w:eastAsia="Times New Roman" w:cs="Times New Roman"/>
          <w:spacing w:val="-2"/>
          <w:position w:val="3"/>
          <w:sz w:val="24"/>
          <w:szCs w:val="24"/>
        </w:rPr>
        <w:t>[2020]25</w:t>
      </w:r>
      <w:r>
        <w:rPr>
          <w:rFonts w:ascii="Times New Roman" w:hAnsi="Times New Roman" w:eastAsia="Times New Roman" w:cs="Times New Roman"/>
          <w:spacing w:val="16"/>
          <w:position w:val="3"/>
          <w:sz w:val="24"/>
          <w:szCs w:val="24"/>
        </w:rPr>
        <w:t xml:space="preserve"> </w:t>
      </w:r>
      <w:r>
        <w:rPr>
          <w:rFonts w:ascii="宋体" w:hAnsi="宋体" w:eastAsia="宋体" w:cs="宋体"/>
          <w:spacing w:val="-2"/>
          <w:position w:val="3"/>
          <w:sz w:val="24"/>
          <w:szCs w:val="24"/>
        </w:rPr>
        <w:t>号）相符性分析</w:t>
      </w:r>
    </w:p>
    <w:p w14:paraId="3F7A5073">
      <w:pPr>
        <w:spacing w:before="151" w:line="376" w:lineRule="auto"/>
        <w:ind w:left="42" w:firstLine="480"/>
        <w:rPr>
          <w:rFonts w:ascii="宋体" w:hAnsi="宋体" w:eastAsia="宋体" w:cs="宋体"/>
          <w:sz w:val="24"/>
          <w:szCs w:val="24"/>
        </w:rPr>
      </w:pPr>
      <w:r>
        <w:rPr>
          <w:rFonts w:ascii="宋体" w:hAnsi="宋体" w:eastAsia="宋体" w:cs="宋体"/>
          <w:spacing w:val="2"/>
          <w:sz w:val="24"/>
          <w:szCs w:val="24"/>
        </w:rPr>
        <w:t>根据《海丰县畜禽养殖禁养区划定方案》（海府办函</w:t>
      </w:r>
      <w:r>
        <w:rPr>
          <w:rFonts w:ascii="Times New Roman" w:hAnsi="Times New Roman" w:eastAsia="Times New Roman" w:cs="Times New Roman"/>
          <w:spacing w:val="2"/>
          <w:sz w:val="24"/>
          <w:szCs w:val="24"/>
        </w:rPr>
        <w:t>[2020]25</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号对禁养区的划</w:t>
      </w:r>
      <w:r>
        <w:rPr>
          <w:rFonts w:ascii="宋体" w:hAnsi="宋体" w:eastAsia="宋体" w:cs="宋体"/>
          <w:sz w:val="24"/>
          <w:szCs w:val="24"/>
        </w:rPr>
        <w:t xml:space="preserve">  </w:t>
      </w:r>
      <w:r>
        <w:rPr>
          <w:rFonts w:ascii="宋体" w:hAnsi="宋体" w:eastAsia="宋体" w:cs="宋体"/>
          <w:spacing w:val="-1"/>
          <w:sz w:val="24"/>
          <w:szCs w:val="24"/>
        </w:rPr>
        <w:t>分，“</w:t>
      </w:r>
      <w:r>
        <w:rPr>
          <w:rFonts w:ascii="宋体" w:hAnsi="宋体" w:eastAsia="宋体" w:cs="宋体"/>
          <w:spacing w:val="-92"/>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、海丰县城（含海城镇、城东镇、附城镇）、梅陇镇、梅陇农场、联安镇、</w:t>
      </w:r>
      <w:r>
        <w:rPr>
          <w:rFonts w:ascii="宋体" w:hAnsi="宋体" w:eastAsia="宋体" w:cs="宋体"/>
          <w:sz w:val="24"/>
          <w:szCs w:val="24"/>
        </w:rPr>
        <w:t xml:space="preserve"> </w:t>
      </w:r>
      <w:r>
        <w:rPr>
          <w:rFonts w:ascii="宋体" w:hAnsi="宋体" w:eastAsia="宋体" w:cs="宋体"/>
          <w:spacing w:val="-2"/>
          <w:sz w:val="24"/>
          <w:szCs w:val="24"/>
        </w:rPr>
        <w:t>陶河镇、赤坑镇、大湖镇、可塘镇、平东镇、公平镇、黄羌镇、黄羌林场等镇（场）</w:t>
      </w:r>
      <w:r>
        <w:rPr>
          <w:rFonts w:ascii="宋体" w:hAnsi="宋体" w:eastAsia="宋体" w:cs="宋体"/>
          <w:spacing w:val="14"/>
          <w:sz w:val="24"/>
          <w:szCs w:val="24"/>
        </w:rPr>
        <w:t xml:space="preserve"> </w:t>
      </w:r>
      <w:r>
        <w:rPr>
          <w:rFonts w:ascii="宋体" w:hAnsi="宋体" w:eastAsia="宋体" w:cs="宋体"/>
          <w:spacing w:val="-4"/>
          <w:sz w:val="24"/>
          <w:szCs w:val="24"/>
        </w:rPr>
        <w:t>建成区。</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、公平水库饮用水水源保护区、公平灌渠</w:t>
      </w:r>
      <w:r>
        <w:rPr>
          <w:rFonts w:ascii="Times New Roman" w:hAnsi="Times New Roman" w:eastAsia="Times New Roman" w:cs="Times New Roman"/>
          <w:spacing w:val="-4"/>
          <w:sz w:val="24"/>
          <w:szCs w:val="24"/>
        </w:rPr>
        <w:t>-</w:t>
      </w:r>
      <w:r>
        <w:rPr>
          <w:rFonts w:ascii="宋体" w:hAnsi="宋体" w:eastAsia="宋体" w:cs="宋体"/>
          <w:spacing w:val="-4"/>
          <w:sz w:val="24"/>
          <w:szCs w:val="24"/>
        </w:rPr>
        <w:t>赤沙水库饮用水水源保护区、青</w:t>
      </w:r>
      <w:r>
        <w:rPr>
          <w:rFonts w:ascii="宋体" w:hAnsi="宋体" w:eastAsia="宋体" w:cs="宋体"/>
          <w:sz w:val="24"/>
          <w:szCs w:val="24"/>
        </w:rPr>
        <w:t xml:space="preserve"> </w:t>
      </w:r>
      <w:r>
        <w:rPr>
          <w:rFonts w:ascii="宋体" w:hAnsi="宋体" w:eastAsia="宋体" w:cs="宋体"/>
          <w:spacing w:val="2"/>
          <w:sz w:val="24"/>
          <w:szCs w:val="24"/>
        </w:rPr>
        <w:t>年水库饮用水水源保护区、红花地饮用水水源保护区、石牛山水库饮用水水源保护</w:t>
      </w:r>
      <w:r>
        <w:rPr>
          <w:rFonts w:ascii="宋体" w:hAnsi="宋体" w:eastAsia="宋体" w:cs="宋体"/>
          <w:spacing w:val="3"/>
          <w:sz w:val="24"/>
          <w:szCs w:val="24"/>
        </w:rPr>
        <w:t xml:space="preserve">  </w:t>
      </w:r>
      <w:r>
        <w:rPr>
          <w:rFonts w:ascii="宋体" w:hAnsi="宋体" w:eastAsia="宋体" w:cs="宋体"/>
          <w:spacing w:val="2"/>
          <w:sz w:val="24"/>
          <w:szCs w:val="24"/>
        </w:rPr>
        <w:t>区、黄山洞水库饮用水水源保护区、南门水库饮用水水源保护区、南城水库饮用水</w:t>
      </w:r>
      <w:r>
        <w:rPr>
          <w:rFonts w:ascii="宋体" w:hAnsi="宋体" w:eastAsia="宋体" w:cs="宋体"/>
          <w:spacing w:val="3"/>
          <w:sz w:val="24"/>
          <w:szCs w:val="24"/>
        </w:rPr>
        <w:t xml:space="preserve">  </w:t>
      </w:r>
      <w:r>
        <w:rPr>
          <w:rFonts w:ascii="宋体" w:hAnsi="宋体" w:eastAsia="宋体" w:cs="宋体"/>
          <w:spacing w:val="2"/>
          <w:sz w:val="24"/>
          <w:szCs w:val="24"/>
        </w:rPr>
        <w:t>水源保护区等集中式生活饮用水水源一级保护区和二级保护区（实现粪污全量资源</w:t>
      </w:r>
      <w:r>
        <w:rPr>
          <w:rFonts w:ascii="宋体" w:hAnsi="宋体" w:eastAsia="宋体" w:cs="宋体"/>
          <w:spacing w:val="3"/>
          <w:sz w:val="24"/>
          <w:szCs w:val="24"/>
        </w:rPr>
        <w:t xml:space="preserve">  </w:t>
      </w:r>
      <w:r>
        <w:rPr>
          <w:rFonts w:ascii="宋体" w:hAnsi="宋体" w:eastAsia="宋体" w:cs="宋体"/>
          <w:spacing w:val="-2"/>
          <w:sz w:val="24"/>
          <w:szCs w:val="24"/>
        </w:rPr>
        <w:t>化不排放污染物的养殖场除外）范围内区域。</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、海丰鸟类省级自然保护区（包括公</w:t>
      </w:r>
      <w:r>
        <w:rPr>
          <w:rFonts w:ascii="宋体" w:hAnsi="宋体" w:eastAsia="宋体" w:cs="宋体"/>
          <w:sz w:val="24"/>
          <w:szCs w:val="24"/>
        </w:rPr>
        <w:t xml:space="preserve"> </w:t>
      </w:r>
      <w:r>
        <w:rPr>
          <w:rFonts w:ascii="宋体" w:hAnsi="宋体" w:eastAsia="宋体" w:cs="宋体"/>
          <w:spacing w:val="2"/>
          <w:sz w:val="24"/>
          <w:szCs w:val="24"/>
        </w:rPr>
        <w:t>平分区、联安围分区和大湖分区）、莲花山县级自然保护区、学堂坑县级自然保护</w:t>
      </w:r>
      <w:r>
        <w:rPr>
          <w:rFonts w:ascii="宋体" w:hAnsi="宋体" w:eastAsia="宋体" w:cs="宋体"/>
          <w:spacing w:val="3"/>
          <w:sz w:val="24"/>
          <w:szCs w:val="24"/>
        </w:rPr>
        <w:t xml:space="preserve">  </w:t>
      </w:r>
      <w:r>
        <w:rPr>
          <w:rFonts w:ascii="宋体" w:hAnsi="宋体" w:eastAsia="宋体" w:cs="宋体"/>
          <w:spacing w:val="-1"/>
          <w:sz w:val="24"/>
          <w:szCs w:val="24"/>
        </w:rPr>
        <w:t>区核心区及缓冲区范围。</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、境内黄江河、东溪河主干流及其一</w:t>
      </w:r>
      <w:r>
        <w:rPr>
          <w:rFonts w:ascii="宋体" w:hAnsi="宋体" w:eastAsia="宋体" w:cs="宋体"/>
          <w:spacing w:val="-2"/>
          <w:sz w:val="24"/>
          <w:szCs w:val="24"/>
        </w:rPr>
        <w:t>级支流两岸外延</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500</w:t>
      </w:r>
      <w:r>
        <w:rPr>
          <w:rFonts w:ascii="Times New Roman" w:hAnsi="Times New Roman" w:eastAsia="Times New Roman" w:cs="Times New Roman"/>
          <w:sz w:val="24"/>
          <w:szCs w:val="24"/>
        </w:rPr>
        <w:t xml:space="preserve">   </w:t>
      </w:r>
      <w:r>
        <w:rPr>
          <w:rFonts w:ascii="宋体" w:hAnsi="宋体" w:eastAsia="宋体" w:cs="宋体"/>
          <w:spacing w:val="-2"/>
          <w:sz w:val="24"/>
          <w:szCs w:val="24"/>
        </w:rPr>
        <w:t>米的陆域范围。</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、国家法律、法规规定的其它禁养区域。</w:t>
      </w:r>
      <w:r>
        <w:rPr>
          <w:rFonts w:ascii="宋体" w:hAnsi="宋体" w:eastAsia="宋体" w:cs="宋体"/>
          <w:spacing w:val="-89"/>
          <w:sz w:val="24"/>
          <w:szCs w:val="24"/>
        </w:rPr>
        <w:t xml:space="preserve"> </w:t>
      </w:r>
      <w:r>
        <w:rPr>
          <w:rFonts w:ascii="宋体" w:hAnsi="宋体" w:eastAsia="宋体" w:cs="宋体"/>
          <w:spacing w:val="-2"/>
          <w:sz w:val="24"/>
          <w:szCs w:val="24"/>
        </w:rPr>
        <w:t>”具体分析见下表。</w:t>
      </w:r>
    </w:p>
    <w:p w14:paraId="4F0ACCEE">
      <w:pPr>
        <w:spacing w:before="55" w:line="221" w:lineRule="auto"/>
        <w:ind w:left="468"/>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31"/>
          <w:sz w:val="20"/>
          <w:szCs w:val="20"/>
        </w:rPr>
        <w:t xml:space="preserve"> </w:t>
      </w:r>
      <w:r>
        <w:rPr>
          <w:rFonts w:ascii="Times New Roman" w:hAnsi="Times New Roman" w:eastAsia="Times New Roman" w:cs="Times New Roman"/>
          <w:b/>
          <w:bCs/>
          <w:spacing w:val="7"/>
          <w:sz w:val="20"/>
          <w:szCs w:val="20"/>
        </w:rPr>
        <w:t xml:space="preserve">1.4-1 </w:t>
      </w:r>
      <w:r>
        <w:rPr>
          <w:rFonts w:ascii="宋体" w:hAnsi="宋体" w:eastAsia="宋体" w:cs="宋体"/>
          <w:b/>
          <w:bCs/>
          <w:spacing w:val="7"/>
          <w:sz w:val="20"/>
          <w:szCs w:val="20"/>
        </w:rPr>
        <w:t>与《海丰县畜禽养殖禁养区划定方案》（海府办函</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pacing w:val="6"/>
          <w:sz w:val="20"/>
          <w:szCs w:val="20"/>
        </w:rPr>
        <w:t xml:space="preserve">2020]25 </w:t>
      </w:r>
      <w:r>
        <w:rPr>
          <w:rFonts w:ascii="宋体" w:hAnsi="宋体" w:eastAsia="宋体" w:cs="宋体"/>
          <w:b/>
          <w:bCs/>
          <w:spacing w:val="6"/>
          <w:sz w:val="20"/>
          <w:szCs w:val="20"/>
        </w:rPr>
        <w:t>号）的相符性分析</w:t>
      </w:r>
    </w:p>
    <w:p w14:paraId="15F91506">
      <w:pPr>
        <w:spacing w:line="109" w:lineRule="exact"/>
      </w:pPr>
    </w:p>
    <w:tbl>
      <w:tblPr>
        <w:tblStyle w:val="5"/>
        <w:tblW w:w="87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7"/>
        <w:gridCol w:w="5140"/>
        <w:gridCol w:w="2426"/>
        <w:gridCol w:w="797"/>
      </w:tblGrid>
      <w:tr w14:paraId="61675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427" w:type="dxa"/>
            <w:textDirection w:val="tbRlV"/>
            <w:vAlign w:val="top"/>
          </w:tcPr>
          <w:p w14:paraId="26B2C388">
            <w:pPr>
              <w:pStyle w:val="6"/>
              <w:spacing w:before="107" w:line="218" w:lineRule="auto"/>
              <w:ind w:left="64"/>
            </w:pPr>
            <w:r>
              <w:rPr>
                <w:b/>
                <w:bCs/>
                <w:spacing w:val="7"/>
              </w:rPr>
              <w:t>序</w:t>
            </w:r>
            <w:r>
              <w:rPr>
                <w:spacing w:val="16"/>
              </w:rPr>
              <w:t xml:space="preserve"> </w:t>
            </w:r>
            <w:r>
              <w:rPr>
                <w:b/>
                <w:bCs/>
                <w:spacing w:val="7"/>
              </w:rPr>
              <w:t>号</w:t>
            </w:r>
          </w:p>
        </w:tc>
        <w:tc>
          <w:tcPr>
            <w:tcW w:w="5140" w:type="dxa"/>
            <w:vAlign w:val="top"/>
          </w:tcPr>
          <w:p w14:paraId="7DE473E7">
            <w:pPr>
              <w:pStyle w:val="6"/>
              <w:spacing w:before="227" w:line="230" w:lineRule="auto"/>
              <w:ind w:left="2154"/>
            </w:pPr>
            <w:r>
              <w:rPr>
                <w:b/>
                <w:bCs/>
                <w:spacing w:val="6"/>
              </w:rPr>
              <w:t>规范要求</w:t>
            </w:r>
          </w:p>
        </w:tc>
        <w:tc>
          <w:tcPr>
            <w:tcW w:w="2426" w:type="dxa"/>
            <w:vAlign w:val="top"/>
          </w:tcPr>
          <w:p w14:paraId="0A6B876C">
            <w:pPr>
              <w:pStyle w:val="6"/>
              <w:spacing w:before="227" w:line="228" w:lineRule="auto"/>
              <w:ind w:left="800"/>
            </w:pPr>
            <w:r>
              <w:rPr>
                <w:b/>
                <w:bCs/>
                <w:spacing w:val="6"/>
              </w:rPr>
              <w:t>选址条件</w:t>
            </w:r>
          </w:p>
        </w:tc>
        <w:tc>
          <w:tcPr>
            <w:tcW w:w="797" w:type="dxa"/>
            <w:vAlign w:val="top"/>
          </w:tcPr>
          <w:p w14:paraId="4C1D2973">
            <w:pPr>
              <w:pStyle w:val="6"/>
              <w:spacing w:before="65" w:line="270" w:lineRule="auto"/>
              <w:ind w:left="196" w:right="80" w:hanging="106"/>
            </w:pPr>
            <w:r>
              <w:rPr>
                <w:b/>
                <w:bCs/>
                <w:spacing w:val="5"/>
              </w:rPr>
              <w:t>符合性</w:t>
            </w:r>
            <w:r>
              <w:t xml:space="preserve"> </w:t>
            </w:r>
            <w:r>
              <w:rPr>
                <w:b/>
                <w:bCs/>
                <w:spacing w:val="2"/>
              </w:rPr>
              <w:t>分析</w:t>
            </w:r>
          </w:p>
        </w:tc>
      </w:tr>
      <w:tr w14:paraId="50E26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427" w:type="dxa"/>
            <w:vAlign w:val="top"/>
          </w:tcPr>
          <w:p w14:paraId="48AC05B4">
            <w:pPr>
              <w:spacing w:line="295" w:lineRule="auto"/>
              <w:rPr>
                <w:rFonts w:ascii="Arial"/>
                <w:sz w:val="21"/>
              </w:rPr>
            </w:pPr>
          </w:p>
          <w:p w14:paraId="3E1AD80B">
            <w:pPr>
              <w:spacing w:before="57" w:line="275" w:lineRule="exact"/>
              <w:ind w:left="18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5140" w:type="dxa"/>
            <w:vAlign w:val="top"/>
          </w:tcPr>
          <w:p w14:paraId="4C7FDEAB">
            <w:pPr>
              <w:pStyle w:val="6"/>
              <w:spacing w:before="60" w:line="280" w:lineRule="auto"/>
              <w:ind w:left="31" w:right="73"/>
            </w:pPr>
            <w:r>
              <w:rPr>
                <w:spacing w:val="9"/>
              </w:rPr>
              <w:t>海丰县城（含海城镇、城东镇、附城镇）、梅陇镇、梅</w:t>
            </w:r>
            <w:r>
              <w:rPr>
                <w:spacing w:val="13"/>
              </w:rPr>
              <w:t xml:space="preserve"> </w:t>
            </w:r>
            <w:r>
              <w:rPr>
                <w:spacing w:val="9"/>
              </w:rPr>
              <w:t>陇农场、联安镇、陶河镇、赤坑镇、大湖镇、可塘镇、</w:t>
            </w:r>
            <w:r>
              <w:rPr>
                <w:spacing w:val="13"/>
              </w:rPr>
              <w:t xml:space="preserve"> </w:t>
            </w:r>
            <w:r>
              <w:rPr>
                <w:spacing w:val="9"/>
              </w:rPr>
              <w:t>平东镇、公平镇、黄羌镇、黄羌林场等镇（场）建成区</w:t>
            </w:r>
          </w:p>
        </w:tc>
        <w:tc>
          <w:tcPr>
            <w:tcW w:w="2426" w:type="dxa"/>
            <w:vAlign w:val="top"/>
          </w:tcPr>
          <w:p w14:paraId="1410D2D1">
            <w:pPr>
              <w:pStyle w:val="6"/>
              <w:spacing w:before="61" w:line="228" w:lineRule="auto"/>
              <w:ind w:left="64"/>
            </w:pPr>
            <w:r>
              <w:rPr>
                <w:spacing w:val="9"/>
              </w:rPr>
              <w:t>本项目位于海丰县公平镇</w:t>
            </w:r>
          </w:p>
          <w:p w14:paraId="1CEF1DCB">
            <w:pPr>
              <w:pStyle w:val="6"/>
              <w:spacing w:before="77" w:line="228" w:lineRule="auto"/>
              <w:ind w:left="65"/>
            </w:pPr>
            <w:r>
              <w:rPr>
                <w:spacing w:val="9"/>
              </w:rPr>
              <w:t>龙岗美月姑少山坡地不属</w:t>
            </w:r>
          </w:p>
          <w:p w14:paraId="1FBA2145">
            <w:pPr>
              <w:pStyle w:val="6"/>
              <w:spacing w:before="79" w:line="228" w:lineRule="auto"/>
              <w:ind w:left="487"/>
            </w:pPr>
            <w:r>
              <w:rPr>
                <w:spacing w:val="8"/>
              </w:rPr>
              <w:t>于海城镇建成区</w:t>
            </w:r>
          </w:p>
        </w:tc>
        <w:tc>
          <w:tcPr>
            <w:tcW w:w="797" w:type="dxa"/>
            <w:vAlign w:val="top"/>
          </w:tcPr>
          <w:p w14:paraId="775C5275">
            <w:pPr>
              <w:spacing w:line="318" w:lineRule="auto"/>
              <w:rPr>
                <w:rFonts w:ascii="Arial"/>
                <w:sz w:val="21"/>
              </w:rPr>
            </w:pPr>
          </w:p>
          <w:p w14:paraId="46A8C5F0">
            <w:pPr>
              <w:pStyle w:val="6"/>
              <w:spacing w:before="65" w:line="228" w:lineRule="auto"/>
              <w:ind w:left="195"/>
            </w:pPr>
            <w:r>
              <w:rPr>
                <w:spacing w:val="3"/>
              </w:rPr>
              <w:t>符合</w:t>
            </w:r>
          </w:p>
        </w:tc>
      </w:tr>
      <w:tr w14:paraId="2524F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427" w:type="dxa"/>
            <w:vAlign w:val="top"/>
          </w:tcPr>
          <w:p w14:paraId="0AAE4874">
            <w:pPr>
              <w:spacing w:before="32" w:line="274" w:lineRule="exact"/>
              <w:ind w:left="16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5140" w:type="dxa"/>
            <w:vAlign w:val="top"/>
          </w:tcPr>
          <w:p w14:paraId="06712C7D">
            <w:pPr>
              <w:pStyle w:val="6"/>
              <w:spacing w:before="63" w:line="228" w:lineRule="auto"/>
              <w:ind w:left="38"/>
            </w:pPr>
            <w:r>
              <w:rPr>
                <w:spacing w:val="8"/>
              </w:rPr>
              <w:t>公平水库饮用水水源保护区、公平灌渠</w:t>
            </w:r>
            <w:r>
              <w:rPr>
                <w:rFonts w:ascii="Times New Roman" w:hAnsi="Times New Roman" w:eastAsia="Times New Roman" w:cs="Times New Roman"/>
                <w:spacing w:val="8"/>
              </w:rPr>
              <w:t>-</w:t>
            </w:r>
            <w:r>
              <w:rPr>
                <w:spacing w:val="8"/>
              </w:rPr>
              <w:t>赤沙水库饮用水</w:t>
            </w:r>
          </w:p>
        </w:tc>
        <w:tc>
          <w:tcPr>
            <w:tcW w:w="2426" w:type="dxa"/>
            <w:vAlign w:val="top"/>
          </w:tcPr>
          <w:p w14:paraId="6B9F65CB">
            <w:pPr>
              <w:pStyle w:val="6"/>
              <w:spacing w:before="62" w:line="228" w:lineRule="auto"/>
              <w:ind w:left="64"/>
            </w:pPr>
            <w:r>
              <w:rPr>
                <w:spacing w:val="9"/>
              </w:rPr>
              <w:t>本项目不位于以上饮用水</w:t>
            </w:r>
          </w:p>
        </w:tc>
        <w:tc>
          <w:tcPr>
            <w:tcW w:w="797" w:type="dxa"/>
            <w:vAlign w:val="top"/>
          </w:tcPr>
          <w:p w14:paraId="1B7FFB7F">
            <w:pPr>
              <w:pStyle w:val="6"/>
              <w:spacing w:before="63" w:line="228" w:lineRule="auto"/>
              <w:ind w:left="195"/>
            </w:pPr>
            <w:r>
              <w:rPr>
                <w:spacing w:val="3"/>
              </w:rPr>
              <w:t>符合</w:t>
            </w:r>
          </w:p>
        </w:tc>
      </w:tr>
    </w:tbl>
    <w:p w14:paraId="7E9F2375">
      <w:pPr>
        <w:pStyle w:val="2"/>
      </w:pPr>
    </w:p>
    <w:p w14:paraId="1E82A616">
      <w:pPr>
        <w:sectPr>
          <w:footerReference r:id="rId14" w:type="default"/>
          <w:pgSz w:w="11906" w:h="16839"/>
          <w:pgMar w:top="1431" w:right="1486" w:bottom="1425" w:left="1555" w:header="0" w:footer="1265" w:gutter="0"/>
          <w:cols w:space="720" w:num="1"/>
        </w:sectPr>
      </w:pPr>
    </w:p>
    <w:tbl>
      <w:tblPr>
        <w:tblStyle w:val="5"/>
        <w:tblW w:w="87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7"/>
        <w:gridCol w:w="5140"/>
        <w:gridCol w:w="2426"/>
        <w:gridCol w:w="797"/>
      </w:tblGrid>
      <w:tr w14:paraId="335A6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427" w:type="dxa"/>
            <w:textDirection w:val="tbRlV"/>
            <w:vAlign w:val="top"/>
          </w:tcPr>
          <w:p w14:paraId="51978828">
            <w:pPr>
              <w:pStyle w:val="6"/>
              <w:spacing w:before="107" w:line="218" w:lineRule="auto"/>
              <w:ind w:left="64"/>
            </w:pPr>
            <w:r>
              <w:rPr>
                <w:b/>
                <w:bCs/>
                <w:spacing w:val="7"/>
              </w:rPr>
              <w:t>序</w:t>
            </w:r>
            <w:r>
              <w:rPr>
                <w:spacing w:val="16"/>
              </w:rPr>
              <w:t xml:space="preserve"> </w:t>
            </w:r>
            <w:r>
              <w:rPr>
                <w:b/>
                <w:bCs/>
                <w:spacing w:val="7"/>
              </w:rPr>
              <w:t>号</w:t>
            </w:r>
          </w:p>
        </w:tc>
        <w:tc>
          <w:tcPr>
            <w:tcW w:w="5140" w:type="dxa"/>
            <w:vAlign w:val="top"/>
          </w:tcPr>
          <w:p w14:paraId="71FC476F">
            <w:pPr>
              <w:pStyle w:val="6"/>
              <w:spacing w:before="227" w:line="230" w:lineRule="auto"/>
              <w:ind w:left="2154"/>
            </w:pPr>
            <w:r>
              <w:rPr>
                <w:b/>
                <w:bCs/>
                <w:spacing w:val="6"/>
              </w:rPr>
              <w:t>规范要求</w:t>
            </w:r>
          </w:p>
        </w:tc>
        <w:tc>
          <w:tcPr>
            <w:tcW w:w="2426" w:type="dxa"/>
            <w:vAlign w:val="top"/>
          </w:tcPr>
          <w:p w14:paraId="721EFBFF">
            <w:pPr>
              <w:pStyle w:val="6"/>
              <w:spacing w:before="227" w:line="228" w:lineRule="auto"/>
              <w:ind w:left="800"/>
            </w:pPr>
            <w:r>
              <w:rPr>
                <w:b/>
                <w:bCs/>
                <w:spacing w:val="6"/>
              </w:rPr>
              <w:t>选址条件</w:t>
            </w:r>
          </w:p>
        </w:tc>
        <w:tc>
          <w:tcPr>
            <w:tcW w:w="797" w:type="dxa"/>
            <w:vAlign w:val="top"/>
          </w:tcPr>
          <w:p w14:paraId="0ECAA740">
            <w:pPr>
              <w:pStyle w:val="6"/>
              <w:spacing w:before="63" w:line="271" w:lineRule="auto"/>
              <w:ind w:left="196" w:right="80" w:hanging="106"/>
            </w:pPr>
            <w:r>
              <w:rPr>
                <w:b/>
                <w:bCs/>
                <w:spacing w:val="5"/>
              </w:rPr>
              <w:t>符合性</w:t>
            </w:r>
            <w:r>
              <w:t xml:space="preserve"> </w:t>
            </w:r>
            <w:r>
              <w:rPr>
                <w:b/>
                <w:bCs/>
                <w:spacing w:val="2"/>
              </w:rPr>
              <w:t>分析</w:t>
            </w:r>
          </w:p>
        </w:tc>
      </w:tr>
      <w:tr w14:paraId="74952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9" w:hRule="atLeast"/>
        </w:trPr>
        <w:tc>
          <w:tcPr>
            <w:tcW w:w="427" w:type="dxa"/>
            <w:vAlign w:val="top"/>
          </w:tcPr>
          <w:p w14:paraId="2288E544">
            <w:pPr>
              <w:rPr>
                <w:rFonts w:ascii="Arial"/>
                <w:sz w:val="21"/>
              </w:rPr>
            </w:pPr>
          </w:p>
        </w:tc>
        <w:tc>
          <w:tcPr>
            <w:tcW w:w="5140" w:type="dxa"/>
            <w:vAlign w:val="top"/>
          </w:tcPr>
          <w:p w14:paraId="434A34CC">
            <w:pPr>
              <w:pStyle w:val="6"/>
              <w:spacing w:before="57" w:line="291" w:lineRule="auto"/>
              <w:ind w:left="31" w:right="73"/>
              <w:jc w:val="both"/>
            </w:pPr>
            <w:r>
              <w:rPr>
                <w:spacing w:val="9"/>
              </w:rPr>
              <w:t>源保护区、青年水库饮用水水源保护区、红花地饮用水</w:t>
            </w:r>
            <w:r>
              <w:rPr>
                <w:spacing w:val="13"/>
              </w:rPr>
              <w:t xml:space="preserve"> </w:t>
            </w:r>
            <w:r>
              <w:rPr>
                <w:spacing w:val="9"/>
              </w:rPr>
              <w:t>水源保护区、石牛山水库饮用水水源保护区、黄山洞水</w:t>
            </w:r>
            <w:r>
              <w:rPr>
                <w:spacing w:val="12"/>
              </w:rPr>
              <w:t xml:space="preserve"> </w:t>
            </w:r>
            <w:r>
              <w:rPr>
                <w:spacing w:val="9"/>
              </w:rPr>
              <w:t>库饮用水水源保护区、南门水库饮用水水源保护区、南</w:t>
            </w:r>
            <w:r>
              <w:rPr>
                <w:spacing w:val="12"/>
              </w:rPr>
              <w:t xml:space="preserve"> </w:t>
            </w:r>
            <w:r>
              <w:rPr>
                <w:spacing w:val="9"/>
              </w:rPr>
              <w:t>城水库饮用水水源保护区等集中式生活饮用水水源一级</w:t>
            </w:r>
            <w:r>
              <w:rPr>
                <w:spacing w:val="12"/>
              </w:rPr>
              <w:t xml:space="preserve"> </w:t>
            </w:r>
            <w:r>
              <w:rPr>
                <w:spacing w:val="9"/>
              </w:rPr>
              <w:t>保护区和二级保护区（实现粪污全量资源化不排放污染</w:t>
            </w:r>
            <w:r>
              <w:rPr>
                <w:spacing w:val="12"/>
              </w:rPr>
              <w:t xml:space="preserve"> </w:t>
            </w:r>
            <w:r>
              <w:rPr>
                <w:spacing w:val="9"/>
              </w:rPr>
              <w:t>物的养殖场除外）范围内区域</w:t>
            </w:r>
          </w:p>
        </w:tc>
        <w:tc>
          <w:tcPr>
            <w:tcW w:w="2426" w:type="dxa"/>
            <w:vAlign w:val="top"/>
          </w:tcPr>
          <w:p w14:paraId="11DF04C7">
            <w:pPr>
              <w:pStyle w:val="6"/>
              <w:spacing w:before="60" w:line="228" w:lineRule="auto"/>
              <w:ind w:left="66"/>
            </w:pPr>
            <w:r>
              <w:rPr>
                <w:spacing w:val="8"/>
              </w:rPr>
              <w:t>水源保护区内，且本项目</w:t>
            </w:r>
          </w:p>
          <w:p w14:paraId="52AC83C6">
            <w:pPr>
              <w:pStyle w:val="6"/>
              <w:spacing w:before="77" w:line="228" w:lineRule="auto"/>
              <w:ind w:left="64"/>
            </w:pPr>
            <w:r>
              <w:rPr>
                <w:spacing w:val="9"/>
              </w:rPr>
              <w:t>事项粪污全量资源化不排</w:t>
            </w:r>
          </w:p>
          <w:p w14:paraId="02ED6720">
            <w:pPr>
              <w:pStyle w:val="6"/>
              <w:spacing w:before="79" w:line="229" w:lineRule="auto"/>
              <w:ind w:left="800"/>
            </w:pPr>
            <w:r>
              <w:rPr>
                <w:spacing w:val="7"/>
              </w:rPr>
              <w:t>放污染物</w:t>
            </w:r>
          </w:p>
        </w:tc>
        <w:tc>
          <w:tcPr>
            <w:tcW w:w="797" w:type="dxa"/>
            <w:vAlign w:val="top"/>
          </w:tcPr>
          <w:p w14:paraId="2B0C0C13">
            <w:pPr>
              <w:rPr>
                <w:rFonts w:ascii="Arial"/>
                <w:sz w:val="21"/>
              </w:rPr>
            </w:pPr>
          </w:p>
        </w:tc>
      </w:tr>
      <w:tr w14:paraId="2E22D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427" w:type="dxa"/>
            <w:vAlign w:val="top"/>
          </w:tcPr>
          <w:p w14:paraId="763AB344">
            <w:pPr>
              <w:spacing w:line="298" w:lineRule="auto"/>
              <w:rPr>
                <w:rFonts w:ascii="Arial"/>
                <w:sz w:val="21"/>
              </w:rPr>
            </w:pPr>
          </w:p>
          <w:p w14:paraId="43118105">
            <w:pPr>
              <w:spacing w:before="57" w:line="275" w:lineRule="exact"/>
              <w:ind w:left="1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5140" w:type="dxa"/>
            <w:vAlign w:val="top"/>
          </w:tcPr>
          <w:p w14:paraId="3002AA07">
            <w:pPr>
              <w:pStyle w:val="6"/>
              <w:spacing w:before="61" w:line="280" w:lineRule="auto"/>
              <w:ind w:left="32" w:right="73" w:hanging="1"/>
              <w:jc w:val="both"/>
            </w:pPr>
            <w:r>
              <w:rPr>
                <w:spacing w:val="9"/>
              </w:rPr>
              <w:t>海丰鸟类省级自然保护区（包括公平分区、联安围分区</w:t>
            </w:r>
            <w:r>
              <w:rPr>
                <w:spacing w:val="13"/>
              </w:rPr>
              <w:t xml:space="preserve"> </w:t>
            </w:r>
            <w:r>
              <w:rPr>
                <w:spacing w:val="9"/>
              </w:rPr>
              <w:t>和大湖分区）、莲花山县级自然保护区、学堂坑县级自</w:t>
            </w:r>
            <w:r>
              <w:rPr>
                <w:spacing w:val="11"/>
              </w:rPr>
              <w:t xml:space="preserve"> </w:t>
            </w:r>
            <w:r>
              <w:rPr>
                <w:spacing w:val="9"/>
              </w:rPr>
              <w:t>然保护区核心区及缓冲区范围</w:t>
            </w:r>
          </w:p>
        </w:tc>
        <w:tc>
          <w:tcPr>
            <w:tcW w:w="2426" w:type="dxa"/>
            <w:vAlign w:val="top"/>
          </w:tcPr>
          <w:p w14:paraId="4EA03D2A">
            <w:pPr>
              <w:pStyle w:val="6"/>
              <w:spacing w:before="226" w:line="300" w:lineRule="auto"/>
              <w:ind w:left="588" w:right="56" w:hanging="524"/>
            </w:pPr>
            <w:r>
              <w:rPr>
                <w:spacing w:val="9"/>
              </w:rPr>
              <w:t>本项目位置不属于以上各</w:t>
            </w:r>
            <w:r>
              <w:t xml:space="preserve"> </w:t>
            </w:r>
            <w:r>
              <w:rPr>
                <w:spacing w:val="8"/>
              </w:rPr>
              <w:t>类自然保护区</w:t>
            </w:r>
          </w:p>
        </w:tc>
        <w:tc>
          <w:tcPr>
            <w:tcW w:w="797" w:type="dxa"/>
            <w:vAlign w:val="top"/>
          </w:tcPr>
          <w:p w14:paraId="27100F93">
            <w:pPr>
              <w:spacing w:line="321" w:lineRule="auto"/>
              <w:rPr>
                <w:rFonts w:ascii="Arial"/>
                <w:sz w:val="21"/>
              </w:rPr>
            </w:pPr>
          </w:p>
          <w:p w14:paraId="4A83AF10">
            <w:pPr>
              <w:pStyle w:val="6"/>
              <w:spacing w:before="65" w:line="228" w:lineRule="auto"/>
              <w:ind w:left="195"/>
            </w:pPr>
            <w:r>
              <w:rPr>
                <w:spacing w:val="3"/>
              </w:rPr>
              <w:t>符合</w:t>
            </w:r>
          </w:p>
        </w:tc>
      </w:tr>
      <w:tr w14:paraId="7B6F4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27" w:type="dxa"/>
            <w:vAlign w:val="top"/>
          </w:tcPr>
          <w:p w14:paraId="7BDD5F7C">
            <w:pPr>
              <w:spacing w:before="193" w:line="275"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5140" w:type="dxa"/>
            <w:vAlign w:val="top"/>
          </w:tcPr>
          <w:p w14:paraId="632E220B">
            <w:pPr>
              <w:pStyle w:val="6"/>
              <w:spacing w:before="30" w:line="284" w:lineRule="auto"/>
              <w:ind w:left="32" w:right="175"/>
            </w:pPr>
            <w:r>
              <w:rPr>
                <w:spacing w:val="9"/>
              </w:rPr>
              <w:t>境内黄江河、东溪河主干流及其一级支流两岸外延</w:t>
            </w:r>
            <w:r>
              <w:rPr>
                <w:rFonts w:ascii="Times New Roman" w:hAnsi="Times New Roman" w:eastAsia="Times New Roman" w:cs="Times New Roman"/>
                <w:spacing w:val="9"/>
              </w:rPr>
              <w:t>500</w:t>
            </w:r>
            <w:r>
              <w:rPr>
                <w:rFonts w:ascii="Times New Roman" w:hAnsi="Times New Roman" w:eastAsia="Times New Roman" w:cs="Times New Roman"/>
              </w:rPr>
              <w:t xml:space="preserve"> </w:t>
            </w:r>
            <w:r>
              <w:rPr>
                <w:spacing w:val="8"/>
              </w:rPr>
              <w:t>米的陆域范围</w:t>
            </w:r>
          </w:p>
        </w:tc>
        <w:tc>
          <w:tcPr>
            <w:tcW w:w="2426" w:type="dxa"/>
            <w:vAlign w:val="top"/>
          </w:tcPr>
          <w:p w14:paraId="0D0A12A0">
            <w:pPr>
              <w:pStyle w:val="6"/>
              <w:spacing w:before="224" w:line="228" w:lineRule="auto"/>
              <w:ind w:left="276"/>
            </w:pPr>
            <w:r>
              <w:rPr>
                <w:spacing w:val="8"/>
              </w:rPr>
              <w:t>本项目不属于该区域</w:t>
            </w:r>
          </w:p>
        </w:tc>
        <w:tc>
          <w:tcPr>
            <w:tcW w:w="797" w:type="dxa"/>
            <w:vAlign w:val="top"/>
          </w:tcPr>
          <w:p w14:paraId="7B4FAA0B">
            <w:pPr>
              <w:pStyle w:val="6"/>
              <w:spacing w:before="225" w:line="228" w:lineRule="auto"/>
              <w:ind w:left="195"/>
            </w:pPr>
            <w:r>
              <w:rPr>
                <w:spacing w:val="3"/>
              </w:rPr>
              <w:t>符合</w:t>
            </w:r>
          </w:p>
        </w:tc>
      </w:tr>
      <w:tr w14:paraId="390B9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427" w:type="dxa"/>
            <w:vAlign w:val="top"/>
          </w:tcPr>
          <w:p w14:paraId="5AC993B3">
            <w:pPr>
              <w:spacing w:before="101" w:line="192" w:lineRule="auto"/>
              <w:ind w:left="16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140" w:type="dxa"/>
            <w:vAlign w:val="top"/>
          </w:tcPr>
          <w:p w14:paraId="6F968BD2">
            <w:pPr>
              <w:pStyle w:val="6"/>
              <w:spacing w:before="63" w:line="228" w:lineRule="auto"/>
              <w:ind w:left="52"/>
            </w:pPr>
            <w:r>
              <w:rPr>
                <w:spacing w:val="7"/>
              </w:rPr>
              <w:t>国家法律、法规规定的其它禁养区域。</w:t>
            </w:r>
          </w:p>
        </w:tc>
        <w:tc>
          <w:tcPr>
            <w:tcW w:w="2426" w:type="dxa"/>
            <w:vAlign w:val="top"/>
          </w:tcPr>
          <w:p w14:paraId="4143573E">
            <w:pPr>
              <w:pStyle w:val="6"/>
              <w:spacing w:before="62" w:line="228" w:lineRule="auto"/>
              <w:ind w:left="276"/>
            </w:pPr>
            <w:r>
              <w:rPr>
                <w:spacing w:val="8"/>
              </w:rPr>
              <w:t>本项目不属于该区域</w:t>
            </w:r>
          </w:p>
        </w:tc>
        <w:tc>
          <w:tcPr>
            <w:tcW w:w="797" w:type="dxa"/>
            <w:vAlign w:val="top"/>
          </w:tcPr>
          <w:p w14:paraId="66E98046">
            <w:pPr>
              <w:pStyle w:val="6"/>
              <w:spacing w:before="63" w:line="228" w:lineRule="auto"/>
              <w:ind w:left="195"/>
            </w:pPr>
            <w:r>
              <w:rPr>
                <w:spacing w:val="3"/>
              </w:rPr>
              <w:t>符合</w:t>
            </w:r>
          </w:p>
        </w:tc>
      </w:tr>
    </w:tbl>
    <w:p w14:paraId="33419F4E">
      <w:pPr>
        <w:spacing w:before="125" w:line="220" w:lineRule="auto"/>
        <w:ind w:left="525"/>
        <w:rPr>
          <w:rFonts w:ascii="宋体" w:hAnsi="宋体" w:eastAsia="宋体" w:cs="宋体"/>
          <w:sz w:val="24"/>
          <w:szCs w:val="24"/>
        </w:rPr>
      </w:pPr>
      <w:r>
        <w:rPr>
          <w:rFonts w:ascii="Times New Roman" w:hAnsi="Times New Roman" w:eastAsia="Times New Roman" w:cs="Times New Roman"/>
          <w:spacing w:val="-2"/>
          <w:sz w:val="24"/>
          <w:szCs w:val="24"/>
        </w:rPr>
        <w:t>5</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、与海丰县生猪生生产发展总体规划相符性分析</w:t>
      </w:r>
    </w:p>
    <w:p w14:paraId="6948AAD6">
      <w:pPr>
        <w:spacing w:before="165" w:line="374" w:lineRule="auto"/>
        <w:ind w:left="42" w:right="34" w:firstLine="486"/>
        <w:rPr>
          <w:rFonts w:ascii="宋体" w:hAnsi="宋体" w:eastAsia="宋体" w:cs="宋体"/>
          <w:sz w:val="24"/>
          <w:szCs w:val="24"/>
        </w:rPr>
      </w:pPr>
      <w:r>
        <w:rPr>
          <w:rFonts w:ascii="宋体" w:hAnsi="宋体" w:eastAsia="宋体" w:cs="宋体"/>
          <w:spacing w:val="-1"/>
          <w:sz w:val="24"/>
          <w:szCs w:val="24"/>
        </w:rPr>
        <w:t>《关于印发〈海丰县生猪生产发展规划和区域布局（</w:t>
      </w:r>
      <w:r>
        <w:rPr>
          <w:rFonts w:ascii="Times New Roman" w:hAnsi="Times New Roman" w:eastAsia="Times New Roman" w:cs="Times New Roman"/>
          <w:spacing w:val="-1"/>
          <w:sz w:val="24"/>
          <w:szCs w:val="24"/>
        </w:rPr>
        <w:t xml:space="preserve">2009-2020 </w:t>
      </w:r>
      <w:r>
        <w:rPr>
          <w:rFonts w:ascii="宋体" w:hAnsi="宋体" w:eastAsia="宋体" w:cs="宋体"/>
          <w:spacing w:val="-1"/>
          <w:sz w:val="24"/>
          <w:szCs w:val="24"/>
        </w:rPr>
        <w:t>年）〉的通知》</w:t>
      </w:r>
      <w:r>
        <w:rPr>
          <w:rFonts w:ascii="宋体" w:hAnsi="宋体" w:eastAsia="宋体" w:cs="宋体"/>
          <w:spacing w:val="8"/>
          <w:sz w:val="24"/>
          <w:szCs w:val="24"/>
        </w:rPr>
        <w:t xml:space="preserve"> </w:t>
      </w:r>
      <w:r>
        <w:rPr>
          <w:rFonts w:ascii="宋体" w:hAnsi="宋体" w:eastAsia="宋体" w:cs="宋体"/>
          <w:spacing w:val="-2"/>
          <w:sz w:val="24"/>
          <w:szCs w:val="24"/>
        </w:rPr>
        <w:t>海牧医〔</w:t>
      </w:r>
      <w:r>
        <w:rPr>
          <w:rFonts w:ascii="Times New Roman" w:hAnsi="Times New Roman" w:eastAsia="Times New Roman" w:cs="Times New Roman"/>
          <w:spacing w:val="-2"/>
          <w:sz w:val="24"/>
          <w:szCs w:val="24"/>
        </w:rPr>
        <w:t>2009</w:t>
      </w:r>
      <w:r>
        <w:rPr>
          <w:rFonts w:ascii="宋体" w:hAnsi="宋体" w:eastAsia="宋体" w:cs="宋体"/>
          <w:spacing w:val="-2"/>
          <w:sz w:val="24"/>
          <w:szCs w:val="24"/>
        </w:rPr>
        <w:t>〕</w:t>
      </w:r>
      <w:r>
        <w:rPr>
          <w:rFonts w:ascii="Times New Roman" w:hAnsi="Times New Roman" w:eastAsia="Times New Roman" w:cs="Times New Roman"/>
          <w:spacing w:val="-2"/>
          <w:sz w:val="24"/>
          <w:szCs w:val="24"/>
        </w:rPr>
        <w:t>28</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号文件的有关规定：</w:t>
      </w:r>
    </w:p>
    <w:p w14:paraId="1323B99A">
      <w:pPr>
        <w:spacing w:before="7" w:line="359" w:lineRule="exact"/>
        <w:jc w:val="right"/>
        <w:rPr>
          <w:rFonts w:ascii="宋体" w:hAnsi="宋体" w:eastAsia="宋体" w:cs="宋体"/>
          <w:sz w:val="24"/>
          <w:szCs w:val="24"/>
        </w:rPr>
      </w:pPr>
      <w:r>
        <w:rPr>
          <w:rFonts w:ascii="宋体" w:hAnsi="宋体" w:eastAsia="宋体" w:cs="宋体"/>
          <w:spacing w:val="-3"/>
          <w:position w:val="2"/>
          <w:sz w:val="24"/>
          <w:szCs w:val="24"/>
        </w:rPr>
        <w:t>“根据现有的生猪规模养殖分布和环境情况，海丰县主要规划</w:t>
      </w:r>
      <w:r>
        <w:rPr>
          <w:rFonts w:ascii="宋体" w:hAnsi="宋体" w:eastAsia="宋体" w:cs="宋体"/>
          <w:spacing w:val="-41"/>
          <w:position w:val="2"/>
          <w:sz w:val="24"/>
          <w:szCs w:val="24"/>
        </w:rPr>
        <w:t xml:space="preserve"> </w:t>
      </w:r>
      <w:r>
        <w:rPr>
          <w:rFonts w:ascii="Times New Roman" w:hAnsi="Times New Roman" w:eastAsia="Times New Roman" w:cs="Times New Roman"/>
          <w:spacing w:val="-3"/>
          <w:position w:val="2"/>
          <w:sz w:val="24"/>
          <w:szCs w:val="24"/>
        </w:rPr>
        <w:t xml:space="preserve">4 </w:t>
      </w:r>
      <w:r>
        <w:rPr>
          <w:rFonts w:ascii="宋体" w:hAnsi="宋体" w:eastAsia="宋体" w:cs="宋体"/>
          <w:spacing w:val="-3"/>
          <w:position w:val="2"/>
          <w:sz w:val="24"/>
          <w:szCs w:val="24"/>
        </w:rPr>
        <w:t>个生猪养殖区：</w:t>
      </w:r>
    </w:p>
    <w:p w14:paraId="0968747A">
      <w:pPr>
        <w:spacing w:before="130" w:line="326" w:lineRule="auto"/>
        <w:ind w:left="42" w:right="70"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）赤石－鹅埠生猪养殖区。该养殖区以赤石骏丰养猪场为龙头，带动周围生</w:t>
      </w:r>
      <w:r>
        <w:rPr>
          <w:rFonts w:ascii="宋体" w:hAnsi="宋体" w:eastAsia="宋体" w:cs="宋体"/>
          <w:spacing w:val="16"/>
          <w:sz w:val="24"/>
          <w:szCs w:val="24"/>
        </w:rPr>
        <w:t xml:space="preserve"> </w:t>
      </w:r>
      <w:r>
        <w:rPr>
          <w:rFonts w:ascii="宋体" w:hAnsi="宋体" w:eastAsia="宋体" w:cs="宋体"/>
          <w:spacing w:val="2"/>
          <w:sz w:val="24"/>
          <w:szCs w:val="24"/>
        </w:rPr>
        <w:t>猪养殖业的发展，该区域预计最大生猪年出栏</w:t>
      </w:r>
      <w:r>
        <w:rPr>
          <w:rFonts w:ascii="宋体" w:hAnsi="宋体" w:eastAsia="宋体" w:cs="宋体"/>
          <w:spacing w:val="1"/>
          <w:sz w:val="24"/>
          <w:szCs w:val="24"/>
        </w:rPr>
        <w:t>量可达</w:t>
      </w:r>
      <w:r>
        <w:rPr>
          <w:rFonts w:ascii="Times New Roman" w:hAnsi="Times New Roman" w:eastAsia="Times New Roman" w:cs="Times New Roman"/>
          <w:spacing w:val="1"/>
          <w:sz w:val="24"/>
          <w:szCs w:val="24"/>
        </w:rPr>
        <w:t xml:space="preserve">25 </w:t>
      </w:r>
      <w:r>
        <w:rPr>
          <w:rFonts w:ascii="宋体" w:hAnsi="宋体" w:eastAsia="宋体" w:cs="宋体"/>
          <w:spacing w:val="1"/>
          <w:sz w:val="24"/>
          <w:szCs w:val="24"/>
        </w:rPr>
        <w:t>万头。</w:t>
      </w:r>
    </w:p>
    <w:p w14:paraId="17EDFD84">
      <w:pPr>
        <w:spacing w:before="129" w:line="327" w:lineRule="auto"/>
        <w:ind w:left="42" w:right="70"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）附城－联安－梅陇生猪养殖区。该区以海丰县食品绿色养殖基地、新兴现</w:t>
      </w:r>
      <w:r>
        <w:rPr>
          <w:rFonts w:ascii="宋体" w:hAnsi="宋体" w:eastAsia="宋体" w:cs="宋体"/>
          <w:spacing w:val="16"/>
          <w:sz w:val="24"/>
          <w:szCs w:val="24"/>
        </w:rPr>
        <w:t xml:space="preserve"> </w:t>
      </w:r>
      <w:r>
        <w:rPr>
          <w:rFonts w:ascii="宋体" w:hAnsi="宋体" w:eastAsia="宋体" w:cs="宋体"/>
          <w:spacing w:val="-2"/>
          <w:sz w:val="24"/>
          <w:szCs w:val="24"/>
        </w:rPr>
        <w:t>代农业种养有限公司、祥丰养猪场等为基地，预计最大生猪年出栏量可达</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万头。</w:t>
      </w:r>
    </w:p>
    <w:p w14:paraId="0D002C80">
      <w:pPr>
        <w:spacing w:before="129" w:line="326" w:lineRule="auto"/>
        <w:ind w:left="50" w:right="78" w:firstLine="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）城东－公平生猪养殖区。该区以城东裕农养猪场、城东林茂科技种养场、</w:t>
      </w:r>
      <w:r>
        <w:rPr>
          <w:rFonts w:ascii="宋体" w:hAnsi="宋体" w:eastAsia="宋体" w:cs="宋体"/>
          <w:spacing w:val="8"/>
          <w:sz w:val="24"/>
          <w:szCs w:val="24"/>
        </w:rPr>
        <w:t xml:space="preserve"> </w:t>
      </w:r>
      <w:r>
        <w:rPr>
          <w:rFonts w:ascii="宋体" w:hAnsi="宋体" w:eastAsia="宋体" w:cs="宋体"/>
          <w:spacing w:val="-1"/>
          <w:sz w:val="24"/>
          <w:szCs w:val="24"/>
        </w:rPr>
        <w:t>公平丰泉种养场、公平紫微星养猪场为基础，预计最大生猪出栏量可达</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w:t>
      </w:r>
      <w:r>
        <w:rPr>
          <w:rFonts w:ascii="宋体" w:hAnsi="宋体" w:eastAsia="宋体" w:cs="宋体"/>
          <w:spacing w:val="-2"/>
          <w:sz w:val="24"/>
          <w:szCs w:val="24"/>
        </w:rPr>
        <w:t>头。</w:t>
      </w:r>
    </w:p>
    <w:p w14:paraId="256DDEBA">
      <w:pPr>
        <w:spacing w:before="129" w:line="327" w:lineRule="auto"/>
        <w:ind w:left="43" w:right="67"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）可塘－赤坑生猪养殖区。该区以赤坑</w:t>
      </w:r>
      <w:r>
        <w:rPr>
          <w:rFonts w:ascii="宋体" w:hAnsi="宋体" w:eastAsia="宋体" w:cs="宋体"/>
          <w:spacing w:val="-2"/>
          <w:sz w:val="24"/>
          <w:szCs w:val="24"/>
        </w:rPr>
        <w:t>港城种猪场、洪天养猪场、可塘生猪</w:t>
      </w:r>
      <w:r>
        <w:rPr>
          <w:rFonts w:ascii="宋体" w:hAnsi="宋体" w:eastAsia="宋体" w:cs="宋体"/>
          <w:sz w:val="24"/>
          <w:szCs w:val="24"/>
        </w:rPr>
        <w:t xml:space="preserve"> </w:t>
      </w:r>
      <w:r>
        <w:rPr>
          <w:rFonts w:ascii="宋体" w:hAnsi="宋体" w:eastAsia="宋体" w:cs="宋体"/>
          <w:spacing w:val="4"/>
          <w:sz w:val="24"/>
          <w:szCs w:val="24"/>
        </w:rPr>
        <w:t>养殖场、嘉兴农庄养殖场等为基础，预计最大生猪年出栏量可达</w:t>
      </w:r>
      <w:r>
        <w:rPr>
          <w:rFonts w:ascii="Times New Roman" w:hAnsi="Times New Roman" w:eastAsia="Times New Roman" w:cs="Times New Roman"/>
          <w:spacing w:val="4"/>
          <w:sz w:val="24"/>
          <w:szCs w:val="24"/>
        </w:rPr>
        <w:t xml:space="preserve">25 </w:t>
      </w:r>
      <w:r>
        <w:rPr>
          <w:rFonts w:ascii="宋体" w:hAnsi="宋体" w:eastAsia="宋体" w:cs="宋体"/>
          <w:spacing w:val="4"/>
          <w:sz w:val="24"/>
          <w:szCs w:val="24"/>
        </w:rPr>
        <w:t>万</w:t>
      </w:r>
      <w:r>
        <w:rPr>
          <w:rFonts w:ascii="宋体" w:hAnsi="宋体" w:eastAsia="宋体" w:cs="宋体"/>
          <w:spacing w:val="3"/>
          <w:sz w:val="24"/>
          <w:szCs w:val="24"/>
        </w:rPr>
        <w:t>头。</w:t>
      </w:r>
      <w:r>
        <w:rPr>
          <w:rFonts w:ascii="宋体" w:hAnsi="宋体" w:eastAsia="宋体" w:cs="宋体"/>
          <w:spacing w:val="-89"/>
          <w:sz w:val="24"/>
          <w:szCs w:val="24"/>
        </w:rPr>
        <w:t xml:space="preserve"> </w:t>
      </w:r>
      <w:r>
        <w:rPr>
          <w:rFonts w:ascii="宋体" w:hAnsi="宋体" w:eastAsia="宋体" w:cs="宋体"/>
          <w:spacing w:val="3"/>
          <w:sz w:val="24"/>
          <w:szCs w:val="24"/>
        </w:rPr>
        <w:t>”</w:t>
      </w:r>
    </w:p>
    <w:p w14:paraId="5757817A">
      <w:pPr>
        <w:spacing w:before="165" w:line="361" w:lineRule="auto"/>
        <w:ind w:left="44" w:right="70" w:firstLine="479"/>
        <w:jc w:val="both"/>
        <w:rPr>
          <w:rFonts w:ascii="宋体" w:hAnsi="宋体" w:eastAsia="宋体" w:cs="宋体"/>
          <w:sz w:val="24"/>
          <w:szCs w:val="24"/>
        </w:rPr>
      </w:pPr>
      <w:r>
        <w:rPr>
          <w:rFonts w:ascii="宋体" w:hAnsi="宋体" w:eastAsia="宋体" w:cs="宋体"/>
          <w:spacing w:val="2"/>
          <w:sz w:val="24"/>
          <w:szCs w:val="24"/>
        </w:rPr>
        <w:t>本项目选址位于海丰县公平镇龙岗美月姑少山坡地，属于城东－公平生猪养殖</w:t>
      </w:r>
      <w:r>
        <w:rPr>
          <w:rFonts w:ascii="宋体" w:hAnsi="宋体" w:eastAsia="宋体" w:cs="宋体"/>
          <w:spacing w:val="9"/>
          <w:sz w:val="24"/>
          <w:szCs w:val="24"/>
        </w:rPr>
        <w:t xml:space="preserve"> </w:t>
      </w:r>
      <w:r>
        <w:rPr>
          <w:rFonts w:ascii="宋体" w:hAnsi="宋体" w:eastAsia="宋体" w:cs="宋体"/>
          <w:spacing w:val="1"/>
          <w:sz w:val="24"/>
          <w:szCs w:val="24"/>
        </w:rPr>
        <w:t>区内，年上市肉猪约</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15000</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头，项目的建设符合海丰县生</w:t>
      </w:r>
      <w:r>
        <w:rPr>
          <w:rFonts w:ascii="宋体" w:hAnsi="宋体" w:eastAsia="宋体" w:cs="宋体"/>
          <w:sz w:val="24"/>
          <w:szCs w:val="24"/>
        </w:rPr>
        <w:t xml:space="preserve">猪生产发展总体规划的要 </w:t>
      </w:r>
      <w:r>
        <w:rPr>
          <w:rFonts w:ascii="宋体" w:hAnsi="宋体" w:eastAsia="宋体" w:cs="宋体"/>
          <w:spacing w:val="-6"/>
          <w:sz w:val="24"/>
          <w:szCs w:val="24"/>
        </w:rPr>
        <w:t>求。</w:t>
      </w:r>
    </w:p>
    <w:p w14:paraId="6896467A">
      <w:pPr>
        <w:spacing w:before="57" w:line="220" w:lineRule="auto"/>
        <w:ind w:left="49"/>
        <w:outlineLvl w:val="2"/>
        <w:rPr>
          <w:rFonts w:ascii="宋体" w:hAnsi="宋体" w:eastAsia="宋体" w:cs="宋体"/>
          <w:sz w:val="24"/>
          <w:szCs w:val="24"/>
        </w:rPr>
      </w:pPr>
      <w:r>
        <w:rPr>
          <w:rFonts w:ascii="Times New Roman" w:hAnsi="Times New Roman" w:eastAsia="Times New Roman" w:cs="Times New Roman"/>
          <w:b/>
          <w:bCs/>
          <w:spacing w:val="-3"/>
          <w:sz w:val="24"/>
          <w:szCs w:val="24"/>
        </w:rPr>
        <w:t>1.4.3</w:t>
      </w:r>
      <w:r>
        <w:rPr>
          <w:rFonts w:ascii="宋体" w:hAnsi="宋体" w:eastAsia="宋体" w:cs="宋体"/>
          <w:b/>
          <w:bCs/>
          <w:spacing w:val="-3"/>
          <w:sz w:val="24"/>
          <w:szCs w:val="24"/>
        </w:rPr>
        <w:t>与环保规划相符性分析</w:t>
      </w:r>
    </w:p>
    <w:p w14:paraId="1A29DC5E">
      <w:pPr>
        <w:spacing w:before="169" w:line="360" w:lineRule="exact"/>
        <w:jc w:val="right"/>
        <w:rPr>
          <w:rFonts w:ascii="宋体" w:hAnsi="宋体" w:eastAsia="宋体" w:cs="宋体"/>
          <w:sz w:val="24"/>
          <w:szCs w:val="24"/>
        </w:rPr>
      </w:pPr>
      <w:r>
        <w:rPr>
          <w:rFonts w:ascii="Times New Roman" w:hAnsi="Times New Roman" w:eastAsia="Times New Roman" w:cs="Times New Roman"/>
          <w:spacing w:val="-2"/>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2"/>
          <w:position w:val="2"/>
          <w:sz w:val="24"/>
          <w:szCs w:val="24"/>
        </w:rPr>
        <w:t>、与《国务院关于印发土壤污染防治行动计划的</w:t>
      </w:r>
      <w:r>
        <w:rPr>
          <w:rFonts w:ascii="宋体" w:hAnsi="宋体" w:eastAsia="宋体" w:cs="宋体"/>
          <w:spacing w:val="-3"/>
          <w:position w:val="2"/>
          <w:sz w:val="24"/>
          <w:szCs w:val="24"/>
        </w:rPr>
        <w:t>通知》（国发〔</w:t>
      </w:r>
      <w:r>
        <w:rPr>
          <w:rFonts w:ascii="Times New Roman" w:hAnsi="Times New Roman" w:eastAsia="Times New Roman" w:cs="Times New Roman"/>
          <w:spacing w:val="-3"/>
          <w:position w:val="2"/>
          <w:sz w:val="24"/>
          <w:szCs w:val="24"/>
        </w:rPr>
        <w:t>2016</w:t>
      </w: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31</w:t>
      </w:r>
      <w:r>
        <w:rPr>
          <w:rFonts w:ascii="Times New Roman" w:hAnsi="Times New Roman" w:eastAsia="Times New Roman" w:cs="Times New Roman"/>
          <w:spacing w:val="16"/>
          <w:position w:val="2"/>
          <w:sz w:val="24"/>
          <w:szCs w:val="24"/>
        </w:rPr>
        <w:t xml:space="preserve"> </w:t>
      </w:r>
      <w:r>
        <w:rPr>
          <w:rFonts w:ascii="宋体" w:hAnsi="宋体" w:eastAsia="宋体" w:cs="宋体"/>
          <w:spacing w:val="-3"/>
          <w:position w:val="2"/>
          <w:sz w:val="24"/>
          <w:szCs w:val="24"/>
        </w:rPr>
        <w:t>号）</w:t>
      </w:r>
    </w:p>
    <w:p w14:paraId="1666C716">
      <w:pPr>
        <w:spacing w:before="165" w:line="220" w:lineRule="auto"/>
        <w:ind w:left="42"/>
        <w:rPr>
          <w:rFonts w:ascii="宋体" w:hAnsi="宋体" w:eastAsia="宋体" w:cs="宋体"/>
          <w:sz w:val="24"/>
          <w:szCs w:val="24"/>
        </w:rPr>
      </w:pPr>
      <w:r>
        <w:rPr>
          <w:rFonts w:ascii="宋体" w:hAnsi="宋体" w:eastAsia="宋体" w:cs="宋体"/>
          <w:spacing w:val="-3"/>
          <w:sz w:val="24"/>
          <w:szCs w:val="24"/>
        </w:rPr>
        <w:t>相符分析</w:t>
      </w:r>
    </w:p>
    <w:p w14:paraId="4736625A">
      <w:pPr>
        <w:spacing w:before="201" w:line="219" w:lineRule="auto"/>
        <w:ind w:left="523"/>
        <w:rPr>
          <w:rFonts w:ascii="宋体" w:hAnsi="宋体" w:eastAsia="宋体" w:cs="宋体"/>
          <w:sz w:val="24"/>
          <w:szCs w:val="24"/>
        </w:rPr>
      </w:pPr>
      <w:r>
        <w:rPr>
          <w:rFonts w:ascii="宋体" w:hAnsi="宋体" w:eastAsia="宋体" w:cs="宋体"/>
          <w:spacing w:val="2"/>
          <w:sz w:val="24"/>
          <w:szCs w:val="24"/>
        </w:rPr>
        <w:t>土壤是经济社会可持续发展的物质基础，关系人民群众身体健康，关系美丽中</w:t>
      </w:r>
    </w:p>
    <w:p w14:paraId="40AF8E1A">
      <w:pPr>
        <w:spacing w:line="219" w:lineRule="auto"/>
        <w:rPr>
          <w:rFonts w:ascii="宋体" w:hAnsi="宋体" w:eastAsia="宋体" w:cs="宋体"/>
          <w:sz w:val="24"/>
          <w:szCs w:val="24"/>
        </w:rPr>
        <w:sectPr>
          <w:footerReference r:id="rId15" w:type="default"/>
          <w:pgSz w:w="11906" w:h="16839"/>
          <w:pgMar w:top="1418" w:right="1518" w:bottom="1485" w:left="1555" w:header="0" w:footer="1249" w:gutter="0"/>
          <w:cols w:space="720" w:num="1"/>
        </w:sectPr>
      </w:pPr>
    </w:p>
    <w:p w14:paraId="1D8AF55D">
      <w:pPr>
        <w:spacing w:before="111" w:line="376" w:lineRule="auto"/>
        <w:ind w:left="12" w:right="235" w:firstLine="24"/>
        <w:jc w:val="both"/>
        <w:rPr>
          <w:rFonts w:ascii="宋体" w:hAnsi="宋体" w:eastAsia="宋体" w:cs="宋体"/>
          <w:sz w:val="24"/>
          <w:szCs w:val="24"/>
        </w:rPr>
      </w:pPr>
      <w:r>
        <w:rPr>
          <w:rFonts w:ascii="宋体" w:hAnsi="宋体" w:eastAsia="宋体" w:cs="宋体"/>
          <w:spacing w:val="1"/>
          <w:sz w:val="24"/>
          <w:szCs w:val="24"/>
        </w:rPr>
        <w:t>国建设，保护好土壤环境是推进生态文明建设和维护国家生态安全的重要内容。当</w:t>
      </w:r>
      <w:r>
        <w:rPr>
          <w:rFonts w:ascii="宋体" w:hAnsi="宋体" w:eastAsia="宋体" w:cs="宋体"/>
          <w:spacing w:val="18"/>
          <w:sz w:val="24"/>
          <w:szCs w:val="24"/>
        </w:rPr>
        <w:t xml:space="preserve"> </w:t>
      </w:r>
      <w:r>
        <w:rPr>
          <w:rFonts w:ascii="宋体" w:hAnsi="宋体" w:eastAsia="宋体" w:cs="宋体"/>
          <w:spacing w:val="2"/>
          <w:sz w:val="24"/>
          <w:szCs w:val="24"/>
        </w:rPr>
        <w:t>前，我国土壤环境总体状况堪忧，部分地区污染较为严重，已成为全面建成小康社</w:t>
      </w:r>
      <w:r>
        <w:rPr>
          <w:rFonts w:ascii="宋体" w:hAnsi="宋体" w:eastAsia="宋体" w:cs="宋体"/>
          <w:spacing w:val="7"/>
          <w:sz w:val="24"/>
          <w:szCs w:val="24"/>
        </w:rPr>
        <w:t xml:space="preserve"> </w:t>
      </w:r>
      <w:r>
        <w:rPr>
          <w:rFonts w:ascii="宋体" w:hAnsi="宋体" w:eastAsia="宋体" w:cs="宋体"/>
          <w:spacing w:val="2"/>
          <w:sz w:val="24"/>
          <w:szCs w:val="24"/>
        </w:rPr>
        <w:t>会的突出短板之一。为切实加强土壤污染防治，逐步改善土壤环境质量，制定本行</w:t>
      </w:r>
      <w:r>
        <w:rPr>
          <w:rFonts w:ascii="宋体" w:hAnsi="宋体" w:eastAsia="宋体" w:cs="宋体"/>
          <w:spacing w:val="7"/>
          <w:sz w:val="24"/>
          <w:szCs w:val="24"/>
        </w:rPr>
        <w:t xml:space="preserve"> </w:t>
      </w:r>
      <w:r>
        <w:rPr>
          <w:rFonts w:ascii="宋体" w:hAnsi="宋体" w:eastAsia="宋体" w:cs="宋体"/>
          <w:spacing w:val="-3"/>
          <w:sz w:val="24"/>
          <w:szCs w:val="24"/>
        </w:rPr>
        <w:t>动计划。</w:t>
      </w:r>
    </w:p>
    <w:p w14:paraId="7966B772">
      <w:pPr>
        <w:spacing w:line="220" w:lineRule="auto"/>
        <w:ind w:left="495"/>
        <w:rPr>
          <w:rFonts w:ascii="宋体" w:hAnsi="宋体" w:eastAsia="宋体" w:cs="宋体"/>
          <w:sz w:val="24"/>
          <w:szCs w:val="24"/>
        </w:rPr>
      </w:pPr>
      <w:r>
        <w:rPr>
          <w:rFonts w:ascii="宋体" w:hAnsi="宋体" w:eastAsia="宋体" w:cs="宋体"/>
          <w:spacing w:val="-1"/>
          <w:sz w:val="24"/>
          <w:szCs w:val="24"/>
        </w:rPr>
        <w:t>六、加强污染源监管，做好土壤污染预防工作</w:t>
      </w:r>
    </w:p>
    <w:p w14:paraId="088C4B8F">
      <w:pPr>
        <w:spacing w:before="201" w:line="373" w:lineRule="auto"/>
        <w:ind w:left="13" w:right="231" w:firstLine="491"/>
        <w:jc w:val="both"/>
        <w:rPr>
          <w:rFonts w:ascii="宋体" w:hAnsi="宋体" w:eastAsia="宋体" w:cs="宋体"/>
          <w:sz w:val="24"/>
          <w:szCs w:val="24"/>
        </w:rPr>
      </w:pPr>
      <w:r>
        <w:rPr>
          <w:rFonts w:ascii="宋体" w:hAnsi="宋体" w:eastAsia="宋体" w:cs="宋体"/>
          <w:spacing w:val="1"/>
          <w:sz w:val="24"/>
          <w:szCs w:val="24"/>
        </w:rPr>
        <w:t>（十九）控制农业污染。</w:t>
      </w:r>
      <w:r>
        <w:rPr>
          <w:rFonts w:ascii="宋体" w:hAnsi="宋体" w:eastAsia="宋体" w:cs="宋体"/>
          <w:spacing w:val="-88"/>
          <w:sz w:val="24"/>
          <w:szCs w:val="24"/>
        </w:rPr>
        <w:t xml:space="preserve"> </w:t>
      </w:r>
      <w:r>
        <w:rPr>
          <w:rFonts w:ascii="宋体" w:hAnsi="宋体" w:eastAsia="宋体" w:cs="宋体"/>
          <w:spacing w:val="1"/>
          <w:sz w:val="24"/>
          <w:szCs w:val="24"/>
        </w:rPr>
        <w:t>……强化畜禽养殖污染防治。严格规范兽药、饲料添</w:t>
      </w:r>
      <w:r>
        <w:rPr>
          <w:rFonts w:ascii="宋体" w:hAnsi="宋体" w:eastAsia="宋体" w:cs="宋体"/>
          <w:sz w:val="24"/>
          <w:szCs w:val="24"/>
        </w:rPr>
        <w:t xml:space="preserve"> </w:t>
      </w:r>
      <w:r>
        <w:rPr>
          <w:rFonts w:ascii="宋体" w:hAnsi="宋体" w:eastAsia="宋体" w:cs="宋体"/>
          <w:spacing w:val="2"/>
          <w:sz w:val="24"/>
          <w:szCs w:val="24"/>
        </w:rPr>
        <w:t>加剂的生产和使用，防止过量使用，促进源头减量。加强畜禽粪便综合利用，在部</w:t>
      </w:r>
      <w:r>
        <w:rPr>
          <w:rFonts w:ascii="宋体" w:hAnsi="宋体" w:eastAsia="宋体" w:cs="宋体"/>
          <w:spacing w:val="6"/>
          <w:sz w:val="24"/>
          <w:szCs w:val="24"/>
        </w:rPr>
        <w:t xml:space="preserve"> </w:t>
      </w:r>
      <w:r>
        <w:rPr>
          <w:rFonts w:ascii="宋体" w:hAnsi="宋体" w:eastAsia="宋体" w:cs="宋体"/>
          <w:spacing w:val="2"/>
          <w:sz w:val="24"/>
          <w:szCs w:val="24"/>
        </w:rPr>
        <w:t>分生猪大县开展种养业有机结合、循环发展试点。鼓励支持畜禽粪便处理利用设施</w:t>
      </w:r>
      <w:r>
        <w:rPr>
          <w:rFonts w:ascii="宋体" w:hAnsi="宋体" w:eastAsia="宋体" w:cs="宋体"/>
          <w:spacing w:val="6"/>
          <w:sz w:val="24"/>
          <w:szCs w:val="24"/>
        </w:rPr>
        <w:t xml:space="preserve"> </w:t>
      </w:r>
      <w:r>
        <w:rPr>
          <w:rFonts w:ascii="宋体" w:hAnsi="宋体" w:eastAsia="宋体" w:cs="宋体"/>
          <w:spacing w:val="-4"/>
          <w:sz w:val="24"/>
          <w:szCs w:val="24"/>
        </w:rPr>
        <w:t xml:space="preserve">建设，到 </w:t>
      </w:r>
      <w:r>
        <w:rPr>
          <w:rFonts w:ascii="Times New Roman" w:hAnsi="Times New Roman" w:eastAsia="Times New Roman" w:cs="Times New Roman"/>
          <w:spacing w:val="-4"/>
          <w:sz w:val="24"/>
          <w:szCs w:val="24"/>
        </w:rPr>
        <w:t xml:space="preserve">2020 </w:t>
      </w:r>
      <w:r>
        <w:rPr>
          <w:rFonts w:ascii="宋体" w:hAnsi="宋体" w:eastAsia="宋体" w:cs="宋体"/>
          <w:spacing w:val="-4"/>
          <w:sz w:val="24"/>
          <w:szCs w:val="24"/>
        </w:rPr>
        <w:t>年，规模化养殖场、养殖小区配套建设废弃物处</w:t>
      </w:r>
      <w:r>
        <w:rPr>
          <w:rFonts w:ascii="宋体" w:hAnsi="宋体" w:eastAsia="宋体" w:cs="宋体"/>
          <w:spacing w:val="-5"/>
          <w:sz w:val="24"/>
          <w:szCs w:val="24"/>
        </w:rPr>
        <w:t xml:space="preserve">理设施比例达到 </w:t>
      </w:r>
      <w:r>
        <w:rPr>
          <w:rFonts w:ascii="Times New Roman" w:hAnsi="Times New Roman" w:eastAsia="Times New Roman" w:cs="Times New Roman"/>
          <w:spacing w:val="-5"/>
          <w:sz w:val="24"/>
          <w:szCs w:val="24"/>
        </w:rPr>
        <w:t>75%</w:t>
      </w:r>
      <w:r>
        <w:rPr>
          <w:rFonts w:ascii="Times New Roman" w:hAnsi="Times New Roman" w:eastAsia="Times New Roman" w:cs="Times New Roman"/>
          <w:sz w:val="24"/>
          <w:szCs w:val="24"/>
        </w:rPr>
        <w:t xml:space="preserve"> </w:t>
      </w:r>
      <w:r>
        <w:rPr>
          <w:rFonts w:ascii="宋体" w:hAnsi="宋体" w:eastAsia="宋体" w:cs="宋体"/>
          <w:spacing w:val="-4"/>
          <w:sz w:val="24"/>
          <w:szCs w:val="24"/>
        </w:rPr>
        <w:t>以上。</w:t>
      </w:r>
    </w:p>
    <w:p w14:paraId="12A24A6E">
      <w:pPr>
        <w:spacing w:before="22" w:line="376" w:lineRule="auto"/>
        <w:ind w:left="15" w:right="235" w:firstLine="479"/>
        <w:rPr>
          <w:rFonts w:ascii="宋体" w:hAnsi="宋体" w:eastAsia="宋体" w:cs="宋体"/>
          <w:sz w:val="24"/>
          <w:szCs w:val="24"/>
        </w:rPr>
      </w:pPr>
      <w:r>
        <w:rPr>
          <w:rFonts w:ascii="宋体" w:hAnsi="宋体" w:eastAsia="宋体" w:cs="宋体"/>
          <w:spacing w:val="2"/>
          <w:sz w:val="24"/>
          <w:szCs w:val="24"/>
        </w:rPr>
        <w:t>本项目设置有机肥发酵车间，猪场产生的粪便、尿液、猪舍冲洗冲洗水、员工</w:t>
      </w:r>
      <w:r>
        <w:rPr>
          <w:rFonts w:ascii="宋体" w:hAnsi="宋体" w:eastAsia="宋体" w:cs="宋体"/>
          <w:spacing w:val="9"/>
          <w:sz w:val="24"/>
          <w:szCs w:val="24"/>
        </w:rPr>
        <w:t xml:space="preserve"> </w:t>
      </w:r>
      <w:r>
        <w:rPr>
          <w:rFonts w:ascii="宋体" w:hAnsi="宋体" w:eastAsia="宋体" w:cs="宋体"/>
          <w:spacing w:val="-1"/>
          <w:sz w:val="24"/>
          <w:szCs w:val="24"/>
        </w:rPr>
        <w:t>生活污水经发酵制作成有机肥半成品，畜禽粪污资源化利用率非常高。</w:t>
      </w:r>
    </w:p>
    <w:p w14:paraId="7B4C8555">
      <w:pPr>
        <w:spacing w:line="362" w:lineRule="auto"/>
        <w:ind w:left="45" w:right="235" w:firstLine="466"/>
        <w:rPr>
          <w:rFonts w:ascii="宋体" w:hAnsi="宋体" w:eastAsia="宋体" w:cs="宋体"/>
          <w:sz w:val="24"/>
          <w:szCs w:val="24"/>
        </w:rPr>
      </w:pPr>
      <w:r>
        <w:rPr>
          <w:rFonts w:ascii="宋体" w:hAnsi="宋体" w:eastAsia="宋体" w:cs="宋体"/>
          <w:spacing w:val="2"/>
          <w:sz w:val="24"/>
          <w:szCs w:val="24"/>
        </w:rPr>
        <w:t>因此，项目建设符合《国务院关于印发土壤污染防治行动</w:t>
      </w:r>
      <w:r>
        <w:rPr>
          <w:rFonts w:ascii="宋体" w:hAnsi="宋体" w:eastAsia="宋体" w:cs="宋体"/>
          <w:spacing w:val="1"/>
          <w:sz w:val="24"/>
          <w:szCs w:val="24"/>
        </w:rPr>
        <w:t>计划的通知》（国发</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2016</w:t>
      </w:r>
      <w:r>
        <w:rPr>
          <w:rFonts w:ascii="宋体" w:hAnsi="宋体" w:eastAsia="宋体" w:cs="宋体"/>
          <w:spacing w:val="-3"/>
          <w:sz w:val="24"/>
          <w:szCs w:val="24"/>
        </w:rPr>
        <w:t>〕</w:t>
      </w:r>
      <w:r>
        <w:rPr>
          <w:rFonts w:ascii="Times New Roman" w:hAnsi="Times New Roman" w:eastAsia="Times New Roman" w:cs="Times New Roman"/>
          <w:spacing w:val="-3"/>
          <w:sz w:val="24"/>
          <w:szCs w:val="24"/>
        </w:rPr>
        <w:t>31</w:t>
      </w:r>
      <w:r>
        <w:rPr>
          <w:rFonts w:ascii="Times New Roman" w:hAnsi="Times New Roman" w:eastAsia="Times New Roman" w:cs="Times New Roman"/>
          <w:spacing w:val="20"/>
          <w:sz w:val="24"/>
          <w:szCs w:val="24"/>
        </w:rPr>
        <w:t xml:space="preserve"> </w:t>
      </w:r>
      <w:r>
        <w:rPr>
          <w:rFonts w:ascii="宋体" w:hAnsi="宋体" w:eastAsia="宋体" w:cs="宋体"/>
          <w:spacing w:val="-3"/>
          <w:sz w:val="24"/>
          <w:szCs w:val="24"/>
        </w:rPr>
        <w:t>号）中的污染防治措施要求。</w:t>
      </w:r>
    </w:p>
    <w:p w14:paraId="2BA6FDCB">
      <w:pPr>
        <w:spacing w:line="360" w:lineRule="exact"/>
        <w:ind w:left="489"/>
        <w:rPr>
          <w:rFonts w:ascii="宋体" w:hAnsi="宋体" w:eastAsia="宋体" w:cs="宋体"/>
          <w:sz w:val="24"/>
          <w:szCs w:val="24"/>
        </w:rPr>
      </w:pPr>
      <w:r>
        <w:rPr>
          <w:rFonts w:ascii="Times New Roman" w:hAnsi="Times New Roman" w:eastAsia="Times New Roman" w:cs="Times New Roman"/>
          <w:spacing w:val="-1"/>
          <w:position w:val="2"/>
          <w:sz w:val="24"/>
          <w:szCs w:val="24"/>
        </w:rPr>
        <w:t>2</w:t>
      </w:r>
      <w:r>
        <w:rPr>
          <w:rFonts w:ascii="Times New Roman" w:hAnsi="Times New Roman" w:eastAsia="Times New Roman" w:cs="Times New Roman"/>
          <w:spacing w:val="-33"/>
          <w:position w:val="2"/>
          <w:sz w:val="24"/>
          <w:szCs w:val="24"/>
        </w:rPr>
        <w:t xml:space="preserve"> </w:t>
      </w:r>
      <w:r>
        <w:rPr>
          <w:rFonts w:ascii="宋体" w:hAnsi="宋体" w:eastAsia="宋体" w:cs="宋体"/>
          <w:spacing w:val="-1"/>
          <w:position w:val="2"/>
          <w:sz w:val="24"/>
          <w:szCs w:val="24"/>
        </w:rPr>
        <w:t>、与《广东省环境保护规划纲要（</w:t>
      </w:r>
      <w:r>
        <w:rPr>
          <w:rFonts w:ascii="Times New Roman" w:hAnsi="Times New Roman" w:eastAsia="Times New Roman" w:cs="Times New Roman"/>
          <w:spacing w:val="-1"/>
          <w:position w:val="2"/>
          <w:sz w:val="24"/>
          <w:szCs w:val="24"/>
        </w:rPr>
        <w:t xml:space="preserve">2006-2020 </w:t>
      </w:r>
      <w:r>
        <w:rPr>
          <w:rFonts w:ascii="宋体" w:hAnsi="宋体" w:eastAsia="宋体" w:cs="宋体"/>
          <w:spacing w:val="-1"/>
          <w:position w:val="2"/>
          <w:sz w:val="24"/>
          <w:szCs w:val="24"/>
        </w:rPr>
        <w:t>年）》相符性分析</w:t>
      </w:r>
    </w:p>
    <w:p w14:paraId="5C0380B3">
      <w:pPr>
        <w:spacing w:before="39" w:line="366" w:lineRule="auto"/>
        <w:ind w:left="13" w:right="232" w:firstLine="485"/>
        <w:rPr>
          <w:rFonts w:ascii="宋体" w:hAnsi="宋体" w:eastAsia="宋体" w:cs="宋体"/>
          <w:sz w:val="24"/>
          <w:szCs w:val="24"/>
        </w:rPr>
      </w:pPr>
      <w:r>
        <w:rPr>
          <w:rFonts w:ascii="宋体" w:hAnsi="宋体" w:eastAsia="宋体" w:cs="宋体"/>
          <w:spacing w:val="-2"/>
          <w:sz w:val="24"/>
          <w:szCs w:val="24"/>
        </w:rPr>
        <w:t>《广东省环境保护规划纲要（</w:t>
      </w:r>
      <w:r>
        <w:rPr>
          <w:rFonts w:ascii="Times New Roman" w:hAnsi="Times New Roman" w:eastAsia="Times New Roman" w:cs="Times New Roman"/>
          <w:spacing w:val="-2"/>
          <w:sz w:val="24"/>
          <w:szCs w:val="24"/>
        </w:rPr>
        <w:t xml:space="preserve">2006-2020 </w:t>
      </w:r>
      <w:r>
        <w:rPr>
          <w:rFonts w:ascii="宋体" w:hAnsi="宋体" w:eastAsia="宋体" w:cs="宋体"/>
          <w:spacing w:val="-2"/>
          <w:sz w:val="24"/>
          <w:szCs w:val="24"/>
        </w:rPr>
        <w:t>年）》提出加强畜禽养殖业环境管理的</w:t>
      </w:r>
      <w:r>
        <w:rPr>
          <w:rFonts w:ascii="宋体" w:hAnsi="宋体" w:eastAsia="宋体" w:cs="宋体"/>
          <w:spacing w:val="14"/>
          <w:sz w:val="24"/>
          <w:szCs w:val="24"/>
        </w:rPr>
        <w:t xml:space="preserve"> </w:t>
      </w:r>
      <w:r>
        <w:rPr>
          <w:rFonts w:ascii="宋体" w:hAnsi="宋体" w:eastAsia="宋体" w:cs="宋体"/>
          <w:spacing w:val="2"/>
          <w:sz w:val="24"/>
          <w:szCs w:val="24"/>
        </w:rPr>
        <w:t>要求：“搬迁或关闭位于水源保护区、城市和城镇居民区等人口集中地区的畜禽养</w:t>
      </w:r>
      <w:r>
        <w:rPr>
          <w:rFonts w:ascii="宋体" w:hAnsi="宋体" w:eastAsia="宋体" w:cs="宋体"/>
          <w:spacing w:val="6"/>
          <w:sz w:val="24"/>
          <w:szCs w:val="24"/>
        </w:rPr>
        <w:t xml:space="preserve"> </w:t>
      </w:r>
      <w:r>
        <w:rPr>
          <w:rFonts w:ascii="宋体" w:hAnsi="宋体" w:eastAsia="宋体" w:cs="宋体"/>
          <w:spacing w:val="2"/>
          <w:sz w:val="24"/>
          <w:szCs w:val="24"/>
        </w:rPr>
        <w:t>殖场。适度控制养殖规模，原则上珠江三角洲河网区不得新建、扩建畜禽养殖场，</w:t>
      </w:r>
      <w:r>
        <w:rPr>
          <w:rFonts w:ascii="宋体" w:hAnsi="宋体" w:eastAsia="宋体" w:cs="宋体"/>
          <w:spacing w:val="8"/>
          <w:sz w:val="24"/>
          <w:szCs w:val="24"/>
        </w:rPr>
        <w:t xml:space="preserve"> </w:t>
      </w:r>
      <w:r>
        <w:rPr>
          <w:rFonts w:ascii="宋体" w:hAnsi="宋体" w:eastAsia="宋体" w:cs="宋体"/>
          <w:spacing w:val="2"/>
          <w:sz w:val="24"/>
          <w:szCs w:val="24"/>
        </w:rPr>
        <w:t>引导畜禽养殖业向消纳土地相对充足的山区转移，走生态养殖道路，减少畜禽废水</w:t>
      </w:r>
      <w:r>
        <w:rPr>
          <w:rFonts w:ascii="宋体" w:hAnsi="宋体" w:eastAsia="宋体" w:cs="宋体"/>
          <w:spacing w:val="6"/>
          <w:sz w:val="24"/>
          <w:szCs w:val="24"/>
        </w:rPr>
        <w:t xml:space="preserve"> </w:t>
      </w:r>
      <w:r>
        <w:rPr>
          <w:rFonts w:ascii="宋体" w:hAnsi="宋体" w:eastAsia="宋体" w:cs="宋体"/>
          <w:spacing w:val="2"/>
          <w:sz w:val="24"/>
          <w:szCs w:val="24"/>
        </w:rPr>
        <w:t>直接向环境水体排放。县级以上人民政府应根据环境保护的需要划定畜禽禁养区，</w:t>
      </w:r>
      <w:r>
        <w:rPr>
          <w:rFonts w:ascii="宋体" w:hAnsi="宋体" w:eastAsia="宋体" w:cs="宋体"/>
          <w:spacing w:val="8"/>
          <w:sz w:val="24"/>
          <w:szCs w:val="24"/>
        </w:rPr>
        <w:t xml:space="preserve"> </w:t>
      </w:r>
      <w:r>
        <w:rPr>
          <w:rFonts w:ascii="宋体" w:hAnsi="宋体" w:eastAsia="宋体" w:cs="宋体"/>
          <w:spacing w:val="1"/>
          <w:sz w:val="24"/>
          <w:szCs w:val="24"/>
        </w:rPr>
        <w:t>严禁在畜禽禁养区内从事畜禽养殖业。</w:t>
      </w:r>
      <w:r>
        <w:rPr>
          <w:rFonts w:ascii="宋体" w:hAnsi="宋体" w:eastAsia="宋体" w:cs="宋体"/>
          <w:spacing w:val="-78"/>
          <w:sz w:val="24"/>
          <w:szCs w:val="24"/>
        </w:rPr>
        <w:t xml:space="preserve"> </w:t>
      </w:r>
      <w:r>
        <w:rPr>
          <w:rFonts w:ascii="宋体" w:hAnsi="宋体" w:eastAsia="宋体" w:cs="宋体"/>
          <w:spacing w:val="1"/>
          <w:sz w:val="24"/>
          <w:szCs w:val="24"/>
        </w:rPr>
        <w:t>”并提出通过粪便资源化利用，沼气池建设</w:t>
      </w:r>
      <w:r>
        <w:rPr>
          <w:rFonts w:ascii="宋体" w:hAnsi="宋体" w:eastAsia="宋体" w:cs="宋体"/>
          <w:sz w:val="24"/>
          <w:szCs w:val="24"/>
        </w:rPr>
        <w:t xml:space="preserve"> </w:t>
      </w:r>
      <w:r>
        <w:rPr>
          <w:rFonts w:ascii="宋体" w:hAnsi="宋体" w:eastAsia="宋体" w:cs="宋体"/>
          <w:spacing w:val="1"/>
          <w:sz w:val="24"/>
          <w:szCs w:val="24"/>
        </w:rPr>
        <w:t>等方式“提高畜禽养殖业清洁生产水平及废弃物资源化利用水平</w:t>
      </w:r>
      <w:r>
        <w:rPr>
          <w:rFonts w:ascii="宋体" w:hAnsi="宋体" w:eastAsia="宋体" w:cs="宋体"/>
          <w:spacing w:val="-81"/>
          <w:sz w:val="24"/>
          <w:szCs w:val="24"/>
        </w:rPr>
        <w:t xml:space="preserve"> </w:t>
      </w:r>
      <w:r>
        <w:rPr>
          <w:rFonts w:ascii="宋体" w:hAnsi="宋体" w:eastAsia="宋体" w:cs="宋体"/>
          <w:spacing w:val="1"/>
          <w:sz w:val="24"/>
          <w:szCs w:val="24"/>
        </w:rPr>
        <w:t>”。本项目不属于</w:t>
      </w:r>
      <w:r>
        <w:rPr>
          <w:rFonts w:ascii="宋体" w:hAnsi="宋体" w:eastAsia="宋体" w:cs="宋体"/>
          <w:sz w:val="24"/>
          <w:szCs w:val="24"/>
        </w:rPr>
        <w:t xml:space="preserve"> 珠江三角洲河网区，不在水源保护区、人口密集区、畜禽禁养区内</w:t>
      </w:r>
      <w:r>
        <w:rPr>
          <w:rFonts w:ascii="Times New Roman" w:hAnsi="Times New Roman" w:eastAsia="Times New Roman" w:cs="Times New Roman"/>
          <w:sz w:val="24"/>
          <w:szCs w:val="24"/>
        </w:rPr>
        <w:t>,</w:t>
      </w:r>
      <w:r>
        <w:rPr>
          <w:rFonts w:ascii="宋体" w:hAnsi="宋体" w:eastAsia="宋体" w:cs="宋体"/>
          <w:sz w:val="24"/>
          <w:szCs w:val="24"/>
        </w:rPr>
        <w:t>并通过粪污发酵</w:t>
      </w:r>
      <w:r>
        <w:rPr>
          <w:rFonts w:ascii="宋体" w:hAnsi="宋体" w:eastAsia="宋体" w:cs="宋体"/>
          <w:spacing w:val="18"/>
          <w:sz w:val="24"/>
          <w:szCs w:val="24"/>
        </w:rPr>
        <w:t xml:space="preserve"> </w:t>
      </w:r>
      <w:r>
        <w:rPr>
          <w:rFonts w:ascii="宋体" w:hAnsi="宋体" w:eastAsia="宋体" w:cs="宋体"/>
          <w:spacing w:val="2"/>
          <w:sz w:val="24"/>
          <w:szCs w:val="24"/>
        </w:rPr>
        <w:t>制作肥料工程的建设提高了废物资源化利用水平，因此本项目的建设符合《广东省</w:t>
      </w:r>
      <w:r>
        <w:rPr>
          <w:rFonts w:ascii="宋体" w:hAnsi="宋体" w:eastAsia="宋体" w:cs="宋体"/>
          <w:spacing w:val="6"/>
          <w:sz w:val="24"/>
          <w:szCs w:val="24"/>
        </w:rPr>
        <w:t xml:space="preserve"> </w:t>
      </w:r>
      <w:r>
        <w:rPr>
          <w:rFonts w:ascii="宋体" w:hAnsi="宋体" w:eastAsia="宋体" w:cs="宋体"/>
          <w:spacing w:val="-1"/>
          <w:sz w:val="24"/>
          <w:szCs w:val="24"/>
        </w:rPr>
        <w:t>环境保护规划纲要（</w:t>
      </w:r>
      <w:r>
        <w:rPr>
          <w:rFonts w:ascii="Times New Roman" w:hAnsi="Times New Roman" w:eastAsia="Times New Roman" w:cs="Times New Roman"/>
          <w:spacing w:val="-1"/>
          <w:sz w:val="24"/>
          <w:szCs w:val="24"/>
        </w:rPr>
        <w:t xml:space="preserve">2006-2020 </w:t>
      </w:r>
      <w:r>
        <w:rPr>
          <w:rFonts w:ascii="宋体" w:hAnsi="宋体" w:eastAsia="宋体" w:cs="宋体"/>
          <w:spacing w:val="-1"/>
          <w:sz w:val="24"/>
          <w:szCs w:val="24"/>
        </w:rPr>
        <w:t>年）》。</w:t>
      </w:r>
    </w:p>
    <w:p w14:paraId="445049FD">
      <w:pPr>
        <w:spacing w:line="360" w:lineRule="exact"/>
        <w:ind w:left="494"/>
        <w:rPr>
          <w:rFonts w:ascii="宋体" w:hAnsi="宋体" w:eastAsia="宋体" w:cs="宋体"/>
          <w:sz w:val="24"/>
          <w:szCs w:val="24"/>
        </w:rPr>
      </w:pPr>
      <w:r>
        <w:rPr>
          <w:rFonts w:ascii="Times New Roman" w:hAnsi="Times New Roman" w:eastAsia="Times New Roman" w:cs="Times New Roman"/>
          <w:spacing w:val="-1"/>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1"/>
          <w:position w:val="2"/>
          <w:sz w:val="24"/>
          <w:szCs w:val="24"/>
        </w:rPr>
        <w:t>、与《汕尾市环境保护规划纲要（</w:t>
      </w:r>
      <w:r>
        <w:rPr>
          <w:rFonts w:ascii="Times New Roman" w:hAnsi="Times New Roman" w:eastAsia="Times New Roman" w:cs="Times New Roman"/>
          <w:spacing w:val="-1"/>
          <w:position w:val="2"/>
          <w:sz w:val="24"/>
          <w:szCs w:val="24"/>
        </w:rPr>
        <w:t>2008-2020</w:t>
      </w:r>
      <w:r>
        <w:rPr>
          <w:rFonts w:ascii="宋体" w:hAnsi="宋体" w:eastAsia="宋体" w:cs="宋体"/>
          <w:spacing w:val="-1"/>
          <w:position w:val="2"/>
          <w:sz w:val="24"/>
          <w:szCs w:val="24"/>
        </w:rPr>
        <w:t>）</w:t>
      </w:r>
      <w:r>
        <w:rPr>
          <w:rFonts w:ascii="宋体" w:hAnsi="宋体" w:eastAsia="宋体" w:cs="宋体"/>
          <w:spacing w:val="-2"/>
          <w:position w:val="2"/>
          <w:sz w:val="24"/>
          <w:szCs w:val="24"/>
        </w:rPr>
        <w:t>》相符性分析</w:t>
      </w:r>
    </w:p>
    <w:p w14:paraId="762B83FC">
      <w:pPr>
        <w:spacing w:before="128" w:line="345" w:lineRule="auto"/>
        <w:ind w:firstLine="499"/>
        <w:rPr>
          <w:rFonts w:ascii="宋体" w:hAnsi="宋体" w:eastAsia="宋体" w:cs="宋体"/>
          <w:sz w:val="24"/>
          <w:szCs w:val="24"/>
        </w:rPr>
      </w:pPr>
      <w:r>
        <w:rPr>
          <w:rFonts w:ascii="宋体" w:hAnsi="宋体" w:eastAsia="宋体" w:cs="宋体"/>
          <w:sz w:val="24"/>
          <w:szCs w:val="24"/>
        </w:rPr>
        <w:t>《汕尾市环境保护规划纲要（</w:t>
      </w:r>
      <w:r>
        <w:rPr>
          <w:rFonts w:ascii="Times New Roman" w:hAnsi="Times New Roman" w:eastAsia="Times New Roman" w:cs="Times New Roman"/>
          <w:sz w:val="24"/>
          <w:szCs w:val="24"/>
        </w:rPr>
        <w:t>2008-2020</w:t>
      </w:r>
      <w:r>
        <w:rPr>
          <w:rFonts w:ascii="宋体" w:hAnsi="宋体" w:eastAsia="宋体" w:cs="宋体"/>
          <w:sz w:val="24"/>
          <w:szCs w:val="24"/>
        </w:rPr>
        <w:t>）》中指出“一些规模化</w:t>
      </w:r>
      <w:r>
        <w:rPr>
          <w:rFonts w:ascii="宋体" w:hAnsi="宋体" w:eastAsia="宋体" w:cs="宋体"/>
          <w:spacing w:val="-1"/>
          <w:sz w:val="24"/>
          <w:szCs w:val="24"/>
        </w:rPr>
        <w:t>畜禽养殖场缺</w:t>
      </w:r>
      <w:r>
        <w:rPr>
          <w:rFonts w:ascii="宋体" w:hAnsi="宋体" w:eastAsia="宋体" w:cs="宋体"/>
          <w:sz w:val="24"/>
          <w:szCs w:val="24"/>
        </w:rPr>
        <w:t xml:space="preserve">   </w:t>
      </w:r>
      <w:r>
        <w:rPr>
          <w:rFonts w:ascii="宋体" w:hAnsi="宋体" w:eastAsia="宋体" w:cs="宋体"/>
          <w:spacing w:val="2"/>
          <w:sz w:val="24"/>
          <w:szCs w:val="24"/>
        </w:rPr>
        <w:t>乏有效的畜禽粪便处理设施，规模化养殖或专业化养殖带来的污染问题渐趋突出。”</w:t>
      </w:r>
      <w:r>
        <w:rPr>
          <w:rFonts w:ascii="宋体" w:hAnsi="宋体" w:eastAsia="宋体" w:cs="宋体"/>
          <w:spacing w:val="13"/>
          <w:sz w:val="24"/>
          <w:szCs w:val="24"/>
        </w:rPr>
        <w:t xml:space="preserve"> </w:t>
      </w:r>
      <w:r>
        <w:rPr>
          <w:rFonts w:ascii="宋体" w:hAnsi="宋体" w:eastAsia="宋体" w:cs="宋体"/>
          <w:spacing w:val="2"/>
          <w:sz w:val="24"/>
          <w:szCs w:val="24"/>
        </w:rPr>
        <w:t>“农村环境污染主要表现为畜禽养殖污染、农药、化肥污染和农村生活污染以及工</w:t>
      </w:r>
    </w:p>
    <w:p w14:paraId="79A368F0">
      <w:pPr>
        <w:spacing w:line="345" w:lineRule="auto"/>
        <w:rPr>
          <w:rFonts w:ascii="宋体" w:hAnsi="宋体" w:eastAsia="宋体" w:cs="宋体"/>
          <w:sz w:val="24"/>
          <w:szCs w:val="24"/>
        </w:rPr>
        <w:sectPr>
          <w:footerReference r:id="rId16" w:type="default"/>
          <w:pgSz w:w="11906" w:h="16839"/>
          <w:pgMar w:top="1431" w:right="1353" w:bottom="1485" w:left="1584" w:header="0" w:footer="1249" w:gutter="0"/>
          <w:cols w:space="720" w:num="1"/>
        </w:sectPr>
      </w:pPr>
    </w:p>
    <w:p w14:paraId="60AB7AF7">
      <w:pPr>
        <w:spacing w:before="112" w:line="369" w:lineRule="auto"/>
        <w:jc w:val="both"/>
        <w:rPr>
          <w:rFonts w:ascii="宋体" w:hAnsi="宋体" w:eastAsia="宋体" w:cs="宋体"/>
          <w:sz w:val="24"/>
          <w:szCs w:val="24"/>
        </w:rPr>
      </w:pPr>
      <w:r>
        <w:rPr>
          <w:rFonts w:ascii="宋体" w:hAnsi="宋体" w:eastAsia="宋体" w:cs="宋体"/>
          <w:spacing w:val="2"/>
          <w:sz w:val="24"/>
          <w:szCs w:val="24"/>
        </w:rPr>
        <w:t>业污染，其中农业畜禽养殖、生活垃圾以及不合理使用农药、化肥是目前造成我市</w:t>
      </w:r>
      <w:r>
        <w:rPr>
          <w:rFonts w:ascii="宋体" w:hAnsi="宋体" w:eastAsia="宋体" w:cs="宋体"/>
          <w:spacing w:val="7"/>
          <w:sz w:val="24"/>
          <w:szCs w:val="24"/>
        </w:rPr>
        <w:t xml:space="preserve"> </w:t>
      </w:r>
      <w:r>
        <w:rPr>
          <w:rFonts w:ascii="宋体" w:hAnsi="宋体" w:eastAsia="宋体" w:cs="宋体"/>
          <w:spacing w:val="1"/>
          <w:sz w:val="24"/>
          <w:szCs w:val="24"/>
        </w:rPr>
        <w:t>农村环境日益恶化的主要原因。</w:t>
      </w:r>
      <w:r>
        <w:rPr>
          <w:rFonts w:ascii="宋体" w:hAnsi="宋体" w:eastAsia="宋体" w:cs="宋体"/>
          <w:spacing w:val="-80"/>
          <w:sz w:val="24"/>
          <w:szCs w:val="24"/>
        </w:rPr>
        <w:t xml:space="preserve"> </w:t>
      </w:r>
      <w:r>
        <w:rPr>
          <w:rFonts w:ascii="宋体" w:hAnsi="宋体" w:eastAsia="宋体" w:cs="宋体"/>
          <w:spacing w:val="1"/>
          <w:sz w:val="24"/>
          <w:szCs w:val="24"/>
        </w:rPr>
        <w:t>”本项目针对粪污设有异位发酵床的处理设施，尿</w:t>
      </w:r>
      <w:r>
        <w:rPr>
          <w:rFonts w:ascii="宋体" w:hAnsi="宋体" w:eastAsia="宋体" w:cs="宋体"/>
          <w:sz w:val="24"/>
          <w:szCs w:val="24"/>
        </w:rPr>
        <w:t xml:space="preserve"> </w:t>
      </w:r>
      <w:r>
        <w:rPr>
          <w:rFonts w:ascii="宋体" w:hAnsi="宋体" w:eastAsia="宋体" w:cs="宋体"/>
          <w:spacing w:val="-2"/>
          <w:sz w:val="24"/>
          <w:szCs w:val="24"/>
        </w:rPr>
        <w:t>液、粪便、猪舍冲洗水、员工生活污水经处理后，成为有机肥半成品外</w:t>
      </w:r>
      <w:r>
        <w:rPr>
          <w:rFonts w:ascii="宋体" w:hAnsi="宋体" w:eastAsia="宋体" w:cs="宋体"/>
          <w:spacing w:val="-3"/>
          <w:sz w:val="24"/>
          <w:szCs w:val="24"/>
        </w:rPr>
        <w:t>售，不外排。</w:t>
      </w:r>
      <w:r>
        <w:rPr>
          <w:rFonts w:ascii="宋体" w:hAnsi="宋体" w:eastAsia="宋体" w:cs="宋体"/>
          <w:sz w:val="24"/>
          <w:szCs w:val="24"/>
        </w:rPr>
        <w:t xml:space="preserve"> </w:t>
      </w:r>
      <w:r>
        <w:rPr>
          <w:rFonts w:ascii="宋体" w:hAnsi="宋体" w:eastAsia="宋体" w:cs="宋体"/>
          <w:spacing w:val="-9"/>
          <w:sz w:val="24"/>
          <w:szCs w:val="24"/>
        </w:rPr>
        <w:t>对环境影响较小，因此，本项目建设符合《汕尾市环境保护规划纲要</w:t>
      </w:r>
      <w:r>
        <w:rPr>
          <w:rFonts w:ascii="宋体" w:hAnsi="宋体" w:eastAsia="宋体" w:cs="宋体"/>
          <w:spacing w:val="-10"/>
          <w:sz w:val="24"/>
          <w:szCs w:val="24"/>
        </w:rPr>
        <w:t>（</w:t>
      </w:r>
      <w:r>
        <w:rPr>
          <w:rFonts w:ascii="Times New Roman" w:hAnsi="Times New Roman" w:eastAsia="Times New Roman" w:cs="Times New Roman"/>
          <w:spacing w:val="-10"/>
          <w:sz w:val="24"/>
          <w:szCs w:val="24"/>
        </w:rPr>
        <w:t>2008-2020</w:t>
      </w:r>
      <w:r>
        <w:rPr>
          <w:rFonts w:ascii="宋体" w:hAnsi="宋体" w:eastAsia="宋体" w:cs="宋体"/>
          <w:spacing w:val="-10"/>
          <w:sz w:val="24"/>
          <w:szCs w:val="24"/>
        </w:rPr>
        <w:t>）》。</w:t>
      </w:r>
    </w:p>
    <w:p w14:paraId="7F983616">
      <w:pPr>
        <w:spacing w:line="360" w:lineRule="exact"/>
        <w:ind w:left="475"/>
        <w:rPr>
          <w:rFonts w:ascii="宋体" w:hAnsi="宋体" w:eastAsia="宋体" w:cs="宋体"/>
          <w:sz w:val="24"/>
          <w:szCs w:val="24"/>
        </w:rPr>
      </w:pPr>
      <w:r>
        <w:rPr>
          <w:rFonts w:ascii="Times New Roman" w:hAnsi="Times New Roman" w:eastAsia="Times New Roman" w:cs="Times New Roman"/>
          <w:spacing w:val="-1"/>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1"/>
          <w:position w:val="2"/>
          <w:sz w:val="24"/>
          <w:szCs w:val="24"/>
        </w:rPr>
        <w:t>、与《海丰县环境保护规划（</w:t>
      </w:r>
      <w:r>
        <w:rPr>
          <w:rFonts w:ascii="Times New Roman" w:hAnsi="Times New Roman" w:eastAsia="Times New Roman" w:cs="Times New Roman"/>
          <w:spacing w:val="-1"/>
          <w:position w:val="2"/>
          <w:sz w:val="24"/>
          <w:szCs w:val="24"/>
        </w:rPr>
        <w:t xml:space="preserve">2008-2020 </w:t>
      </w:r>
      <w:r>
        <w:rPr>
          <w:rFonts w:ascii="宋体" w:hAnsi="宋体" w:eastAsia="宋体" w:cs="宋体"/>
          <w:spacing w:val="-1"/>
          <w:position w:val="2"/>
          <w:sz w:val="24"/>
          <w:szCs w:val="24"/>
        </w:rPr>
        <w:t>年）》相符性分析</w:t>
      </w:r>
    </w:p>
    <w:p w14:paraId="1EA516C6">
      <w:pPr>
        <w:spacing w:before="129" w:line="380" w:lineRule="auto"/>
        <w:ind w:right="17" w:firstLine="480"/>
        <w:rPr>
          <w:rFonts w:ascii="宋体" w:hAnsi="宋体" w:eastAsia="宋体" w:cs="宋体"/>
          <w:sz w:val="24"/>
          <w:szCs w:val="24"/>
        </w:rPr>
      </w:pPr>
      <w:r>
        <w:rPr>
          <w:rFonts w:ascii="宋体" w:hAnsi="宋体" w:eastAsia="宋体" w:cs="宋体"/>
          <w:spacing w:val="-6"/>
          <w:sz w:val="24"/>
          <w:szCs w:val="24"/>
        </w:rPr>
        <w:t>根据《海丰县环境保护规划（</w:t>
      </w:r>
      <w:r>
        <w:rPr>
          <w:rFonts w:ascii="Times New Roman" w:hAnsi="Times New Roman" w:eastAsia="Times New Roman" w:cs="Times New Roman"/>
          <w:spacing w:val="-6"/>
          <w:sz w:val="24"/>
          <w:szCs w:val="24"/>
        </w:rPr>
        <w:t xml:space="preserve">2008-2020 </w:t>
      </w:r>
      <w:r>
        <w:rPr>
          <w:rFonts w:ascii="宋体" w:hAnsi="宋体" w:eastAsia="宋体" w:cs="宋体"/>
          <w:spacing w:val="-6"/>
          <w:sz w:val="24"/>
          <w:szCs w:val="24"/>
        </w:rPr>
        <w:t>年）》，从海丰县的实际发展需求出发，</w:t>
      </w:r>
      <w:r>
        <w:rPr>
          <w:rFonts w:ascii="宋体" w:hAnsi="宋体" w:eastAsia="宋体" w:cs="宋体"/>
          <w:spacing w:val="7"/>
          <w:sz w:val="24"/>
          <w:szCs w:val="24"/>
        </w:rPr>
        <w:t xml:space="preserve"> </w:t>
      </w:r>
      <w:r>
        <w:rPr>
          <w:rFonts w:ascii="宋体" w:hAnsi="宋体" w:eastAsia="宋体" w:cs="宋体"/>
          <w:spacing w:val="2"/>
          <w:sz w:val="24"/>
          <w:szCs w:val="24"/>
        </w:rPr>
        <w:t>在综合考虑生态功能区划、水环境功能区划、大气环境功能区划及资源禀赋、环境</w:t>
      </w:r>
      <w:r>
        <w:rPr>
          <w:rFonts w:ascii="宋体" w:hAnsi="宋体" w:eastAsia="宋体" w:cs="宋体"/>
          <w:spacing w:val="7"/>
          <w:sz w:val="24"/>
          <w:szCs w:val="24"/>
        </w:rPr>
        <w:t xml:space="preserve"> </w:t>
      </w:r>
      <w:r>
        <w:rPr>
          <w:rFonts w:ascii="宋体" w:hAnsi="宋体" w:eastAsia="宋体" w:cs="宋体"/>
          <w:spacing w:val="2"/>
          <w:sz w:val="24"/>
          <w:szCs w:val="24"/>
        </w:rPr>
        <w:t>容量、生态状况、人口数量以及区域发展规划和产业政策得知，海丰县生态生态控</w:t>
      </w:r>
      <w:r>
        <w:rPr>
          <w:rFonts w:ascii="宋体" w:hAnsi="宋体" w:eastAsia="宋体" w:cs="宋体"/>
          <w:spacing w:val="7"/>
          <w:sz w:val="24"/>
          <w:szCs w:val="24"/>
        </w:rPr>
        <w:t xml:space="preserve"> </w:t>
      </w:r>
      <w:r>
        <w:rPr>
          <w:rFonts w:ascii="宋体" w:hAnsi="宋体" w:eastAsia="宋体" w:cs="宋体"/>
          <w:spacing w:val="2"/>
          <w:sz w:val="24"/>
          <w:szCs w:val="24"/>
        </w:rPr>
        <w:t>制分区中的有限开发区，可进行适度开发利用，在该区域第一产业的主导产业为优</w:t>
      </w:r>
      <w:r>
        <w:rPr>
          <w:rFonts w:ascii="宋体" w:hAnsi="宋体" w:eastAsia="宋体" w:cs="宋体"/>
          <w:spacing w:val="7"/>
          <w:sz w:val="24"/>
          <w:szCs w:val="24"/>
        </w:rPr>
        <w:t xml:space="preserve"> </w:t>
      </w:r>
      <w:r>
        <w:rPr>
          <w:rFonts w:ascii="宋体" w:hAnsi="宋体" w:eastAsia="宋体" w:cs="宋体"/>
          <w:spacing w:val="-3"/>
          <w:sz w:val="24"/>
          <w:szCs w:val="24"/>
        </w:rPr>
        <w:t>质高效的农业种植业及高附加值的农产品加工业为主，推进农业的产业化和生态化，</w:t>
      </w:r>
      <w:r>
        <w:rPr>
          <w:rFonts w:ascii="宋体" w:hAnsi="宋体" w:eastAsia="宋体" w:cs="宋体"/>
          <w:spacing w:val="13"/>
          <w:sz w:val="24"/>
          <w:szCs w:val="24"/>
        </w:rPr>
        <w:t xml:space="preserve"> </w:t>
      </w:r>
      <w:r>
        <w:rPr>
          <w:rFonts w:ascii="宋体" w:hAnsi="宋体" w:eastAsia="宋体" w:cs="宋体"/>
          <w:spacing w:val="2"/>
          <w:sz w:val="24"/>
          <w:szCs w:val="24"/>
        </w:rPr>
        <w:t>加强各镇设施农业示范基地建设，重点发展水果、茶叶、蔬菜、药材生产基地建设</w:t>
      </w:r>
      <w:r>
        <w:rPr>
          <w:rFonts w:ascii="宋体" w:hAnsi="宋体" w:eastAsia="宋体" w:cs="宋体"/>
          <w:spacing w:val="7"/>
          <w:sz w:val="24"/>
          <w:szCs w:val="24"/>
        </w:rPr>
        <w:t xml:space="preserve"> </w:t>
      </w:r>
      <w:r>
        <w:rPr>
          <w:rFonts w:ascii="宋体" w:hAnsi="宋体" w:eastAsia="宋体" w:cs="宋体"/>
          <w:spacing w:val="-1"/>
          <w:sz w:val="24"/>
          <w:szCs w:val="24"/>
        </w:rPr>
        <w:t>等，发展特色农业、林业和畜牧业加工企业。</w:t>
      </w:r>
    </w:p>
    <w:p w14:paraId="0B1890EB">
      <w:pPr>
        <w:spacing w:before="4" w:line="380" w:lineRule="auto"/>
        <w:ind w:right="45" w:firstLine="480"/>
        <w:jc w:val="both"/>
        <w:rPr>
          <w:rFonts w:ascii="宋体" w:hAnsi="宋体" w:eastAsia="宋体" w:cs="宋体"/>
          <w:sz w:val="24"/>
          <w:szCs w:val="24"/>
        </w:rPr>
      </w:pPr>
      <w:r>
        <w:rPr>
          <w:rFonts w:ascii="宋体" w:hAnsi="宋体" w:eastAsia="宋体" w:cs="宋体"/>
          <w:spacing w:val="2"/>
          <w:sz w:val="24"/>
          <w:szCs w:val="24"/>
        </w:rPr>
        <w:t>本项目位于有限开发区内，项目实施畜禽养殖污染的生态化治理，养殖场产生</w:t>
      </w:r>
      <w:r>
        <w:rPr>
          <w:rFonts w:ascii="宋体" w:hAnsi="宋体" w:eastAsia="宋体" w:cs="宋体"/>
          <w:spacing w:val="9"/>
          <w:sz w:val="24"/>
          <w:szCs w:val="24"/>
        </w:rPr>
        <w:t xml:space="preserve"> </w:t>
      </w:r>
      <w:r>
        <w:rPr>
          <w:rFonts w:ascii="宋体" w:hAnsi="宋体" w:eastAsia="宋体" w:cs="宋体"/>
          <w:spacing w:val="2"/>
          <w:sz w:val="24"/>
          <w:szCs w:val="24"/>
        </w:rPr>
        <w:t>的粪污通过发酵制作有机肥半成品，外售给肥料生产企业进一步加工成有机肥用于</w:t>
      </w:r>
      <w:r>
        <w:rPr>
          <w:rFonts w:ascii="宋体" w:hAnsi="宋体" w:eastAsia="宋体" w:cs="宋体"/>
          <w:spacing w:val="6"/>
          <w:sz w:val="24"/>
          <w:szCs w:val="24"/>
        </w:rPr>
        <w:t xml:space="preserve"> </w:t>
      </w:r>
      <w:r>
        <w:rPr>
          <w:rFonts w:ascii="宋体" w:hAnsi="宋体" w:eastAsia="宋体" w:cs="宋体"/>
          <w:spacing w:val="-1"/>
          <w:sz w:val="24"/>
          <w:szCs w:val="24"/>
        </w:rPr>
        <w:t>农作物，实现能流物流的良性循环，符合《海丰县环境保护规划（</w:t>
      </w:r>
      <w:r>
        <w:rPr>
          <w:rFonts w:ascii="Times New Roman" w:hAnsi="Times New Roman" w:eastAsia="Times New Roman" w:cs="Times New Roman"/>
          <w:spacing w:val="-1"/>
          <w:sz w:val="24"/>
          <w:szCs w:val="24"/>
        </w:rPr>
        <w:t xml:space="preserve">2008-2020 </w:t>
      </w:r>
      <w:r>
        <w:rPr>
          <w:rFonts w:ascii="宋体" w:hAnsi="宋体" w:eastAsia="宋体" w:cs="宋体"/>
          <w:spacing w:val="-1"/>
          <w:sz w:val="24"/>
          <w:szCs w:val="24"/>
        </w:rPr>
        <w:t>年）》</w:t>
      </w:r>
      <w:r>
        <w:rPr>
          <w:rFonts w:ascii="宋体" w:hAnsi="宋体" w:eastAsia="宋体" w:cs="宋体"/>
          <w:spacing w:val="16"/>
          <w:sz w:val="24"/>
          <w:szCs w:val="24"/>
        </w:rPr>
        <w:t xml:space="preserve"> </w:t>
      </w:r>
      <w:r>
        <w:rPr>
          <w:rFonts w:ascii="宋体" w:hAnsi="宋体" w:eastAsia="宋体" w:cs="宋体"/>
          <w:spacing w:val="-2"/>
          <w:sz w:val="24"/>
          <w:szCs w:val="24"/>
        </w:rPr>
        <w:t>的相关要求。见海丰县生态控制分区图</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1.4-1</w:t>
      </w:r>
      <w:r>
        <w:rPr>
          <w:rFonts w:ascii="宋体" w:hAnsi="宋体" w:eastAsia="宋体" w:cs="宋体"/>
          <w:spacing w:val="-2"/>
          <w:sz w:val="24"/>
          <w:szCs w:val="24"/>
        </w:rPr>
        <w:t>。</w:t>
      </w:r>
    </w:p>
    <w:p w14:paraId="5E12E10B">
      <w:pPr>
        <w:spacing w:line="380" w:lineRule="auto"/>
        <w:rPr>
          <w:rFonts w:ascii="宋体" w:hAnsi="宋体" w:eastAsia="宋体" w:cs="宋体"/>
          <w:sz w:val="24"/>
          <w:szCs w:val="24"/>
        </w:rPr>
        <w:sectPr>
          <w:footerReference r:id="rId17" w:type="default"/>
          <w:pgSz w:w="11906" w:h="16839"/>
          <w:pgMar w:top="1431" w:right="1507" w:bottom="1485" w:left="1597" w:header="0" w:footer="1249" w:gutter="0"/>
          <w:cols w:space="720" w:num="1"/>
        </w:sectPr>
      </w:pPr>
    </w:p>
    <w:p w14:paraId="081B34BB">
      <w:pPr>
        <w:spacing w:line="7730" w:lineRule="exact"/>
      </w:pPr>
      <w:r>
        <w:rPr>
          <w:position w:val="-154"/>
        </w:rPr>
        <w:drawing>
          <wp:inline distT="0" distB="0" distL="0" distR="0">
            <wp:extent cx="6182360" cy="49085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96"/>
                    <a:stretch>
                      <a:fillRect/>
                    </a:stretch>
                  </pic:blipFill>
                  <pic:spPr>
                    <a:xfrm>
                      <a:off x="0" y="0"/>
                      <a:ext cx="6182867" cy="4908803"/>
                    </a:xfrm>
                    <a:prstGeom prst="rect">
                      <a:avLst/>
                    </a:prstGeom>
                  </pic:spPr>
                </pic:pic>
              </a:graphicData>
            </a:graphic>
          </wp:inline>
        </w:drawing>
      </w:r>
    </w:p>
    <w:p w14:paraId="0029980F">
      <w:pPr>
        <w:spacing w:before="173" w:line="221" w:lineRule="auto"/>
        <w:ind w:left="3308"/>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37"/>
          <w:sz w:val="24"/>
          <w:szCs w:val="24"/>
        </w:rPr>
        <w:t xml:space="preserve"> </w:t>
      </w:r>
      <w:r>
        <w:rPr>
          <w:rFonts w:ascii="Times New Roman" w:hAnsi="Times New Roman" w:eastAsia="Times New Roman" w:cs="Times New Roman"/>
          <w:b/>
          <w:bCs/>
          <w:spacing w:val="-4"/>
          <w:sz w:val="24"/>
          <w:szCs w:val="24"/>
        </w:rPr>
        <w:t xml:space="preserve">1.4-1    </w:t>
      </w:r>
      <w:r>
        <w:rPr>
          <w:rFonts w:ascii="宋体" w:hAnsi="宋体" w:eastAsia="宋体" w:cs="宋体"/>
          <w:b/>
          <w:bCs/>
          <w:spacing w:val="-4"/>
          <w:sz w:val="24"/>
          <w:szCs w:val="24"/>
        </w:rPr>
        <w:t>海丰县生态控制分区</w:t>
      </w:r>
    </w:p>
    <w:p w14:paraId="43603723">
      <w:pPr>
        <w:spacing w:line="221" w:lineRule="auto"/>
        <w:rPr>
          <w:rFonts w:ascii="宋体" w:hAnsi="宋体" w:eastAsia="宋体" w:cs="宋体"/>
          <w:sz w:val="24"/>
          <w:szCs w:val="24"/>
        </w:rPr>
        <w:sectPr>
          <w:footerReference r:id="rId18" w:type="default"/>
          <w:pgSz w:w="11906" w:h="16839"/>
          <w:pgMar w:top="763" w:right="1091" w:bottom="1485" w:left="1077" w:header="0" w:footer="1249" w:gutter="0"/>
          <w:cols w:space="720" w:num="1"/>
        </w:sectPr>
      </w:pPr>
    </w:p>
    <w:p w14:paraId="4DAB5CB1">
      <w:pPr>
        <w:spacing w:before="110" w:line="221" w:lineRule="auto"/>
        <w:ind w:left="7"/>
        <w:outlineLvl w:val="2"/>
        <w:rPr>
          <w:rFonts w:ascii="宋体" w:hAnsi="宋体" w:eastAsia="宋体" w:cs="宋体"/>
          <w:sz w:val="24"/>
          <w:szCs w:val="24"/>
        </w:rPr>
      </w:pPr>
      <w:r>
        <w:rPr>
          <w:rFonts w:ascii="Times New Roman" w:hAnsi="Times New Roman" w:eastAsia="Times New Roman" w:cs="Times New Roman"/>
          <w:b/>
          <w:bCs/>
          <w:spacing w:val="-3"/>
          <w:sz w:val="24"/>
          <w:szCs w:val="24"/>
        </w:rPr>
        <w:t>1.4.4</w:t>
      </w:r>
      <w:r>
        <w:rPr>
          <w:rFonts w:ascii="宋体" w:hAnsi="宋体" w:eastAsia="宋体" w:cs="宋体"/>
          <w:b/>
          <w:bCs/>
          <w:spacing w:val="-3"/>
          <w:sz w:val="24"/>
          <w:szCs w:val="24"/>
        </w:rPr>
        <w:t>项目选址合理合法性分析</w:t>
      </w:r>
    </w:p>
    <w:p w14:paraId="281DAD0B">
      <w:pPr>
        <w:spacing w:before="167" w:line="360" w:lineRule="exact"/>
        <w:ind w:left="499"/>
        <w:rPr>
          <w:rFonts w:ascii="宋体" w:hAnsi="宋体" w:eastAsia="宋体" w:cs="宋体"/>
          <w:sz w:val="24"/>
          <w:szCs w:val="24"/>
        </w:rPr>
      </w:pPr>
      <w:r>
        <w:rPr>
          <w:rFonts w:ascii="Times New Roman" w:hAnsi="Times New Roman" w:eastAsia="Times New Roman" w:cs="Times New Roman"/>
          <w:spacing w:val="-2"/>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2"/>
          <w:position w:val="2"/>
          <w:sz w:val="24"/>
          <w:szCs w:val="24"/>
        </w:rPr>
        <w:t>、与《海丰县县城土地利用总体规划（</w:t>
      </w:r>
      <w:r>
        <w:rPr>
          <w:rFonts w:ascii="Times New Roman" w:hAnsi="Times New Roman" w:eastAsia="Times New Roman" w:cs="Times New Roman"/>
          <w:spacing w:val="-2"/>
          <w:position w:val="2"/>
          <w:sz w:val="24"/>
          <w:szCs w:val="24"/>
        </w:rPr>
        <w:t>201</w:t>
      </w:r>
      <w:r>
        <w:rPr>
          <w:rFonts w:ascii="Times New Roman" w:hAnsi="Times New Roman" w:eastAsia="Times New Roman" w:cs="Times New Roman"/>
          <w:spacing w:val="-3"/>
          <w:position w:val="2"/>
          <w:sz w:val="24"/>
          <w:szCs w:val="24"/>
        </w:rPr>
        <w:t>1-2030</w:t>
      </w:r>
      <w:r>
        <w:rPr>
          <w:rFonts w:ascii="宋体" w:hAnsi="宋体" w:eastAsia="宋体" w:cs="宋体"/>
          <w:spacing w:val="-3"/>
          <w:position w:val="2"/>
          <w:sz w:val="24"/>
          <w:szCs w:val="24"/>
        </w:rPr>
        <w:t>）》</w:t>
      </w:r>
    </w:p>
    <w:p w14:paraId="65628873">
      <w:pPr>
        <w:spacing w:before="129" w:line="376" w:lineRule="auto"/>
        <w:ind w:right="10" w:firstLine="480"/>
        <w:rPr>
          <w:rFonts w:ascii="宋体" w:hAnsi="宋体" w:eastAsia="宋体" w:cs="宋体"/>
          <w:sz w:val="24"/>
          <w:szCs w:val="24"/>
        </w:rPr>
      </w:pPr>
      <w:r>
        <w:rPr>
          <w:rFonts w:ascii="宋体" w:hAnsi="宋体" w:eastAsia="宋体" w:cs="宋体"/>
          <w:sz w:val="24"/>
          <w:szCs w:val="24"/>
        </w:rPr>
        <w:t>根据《海丰县县城土地利用总体规划（</w:t>
      </w:r>
      <w:r>
        <w:rPr>
          <w:rFonts w:ascii="Times New Roman" w:hAnsi="Times New Roman" w:eastAsia="Times New Roman" w:cs="Times New Roman"/>
          <w:sz w:val="24"/>
          <w:szCs w:val="24"/>
        </w:rPr>
        <w:t>2011-2030</w:t>
      </w:r>
      <w:r>
        <w:rPr>
          <w:rFonts w:ascii="宋体" w:hAnsi="宋体" w:eastAsia="宋体" w:cs="宋体"/>
          <w:sz w:val="24"/>
          <w:szCs w:val="24"/>
        </w:rPr>
        <w:t>）》知，海丰县基本农田</w:t>
      </w:r>
      <w:r>
        <w:rPr>
          <w:rFonts w:ascii="宋体" w:hAnsi="宋体" w:eastAsia="宋体" w:cs="宋体"/>
          <w:spacing w:val="-1"/>
          <w:sz w:val="24"/>
          <w:szCs w:val="24"/>
        </w:rPr>
        <w:t>保护</w:t>
      </w:r>
      <w:r>
        <w:rPr>
          <w:rFonts w:ascii="宋体" w:hAnsi="宋体" w:eastAsia="宋体" w:cs="宋体"/>
          <w:sz w:val="24"/>
          <w:szCs w:val="24"/>
        </w:rPr>
        <w:t xml:space="preserve"> </w:t>
      </w:r>
      <w:r>
        <w:rPr>
          <w:rFonts w:ascii="宋体" w:hAnsi="宋体" w:eastAsia="宋体" w:cs="宋体"/>
          <w:spacing w:val="2"/>
          <w:sz w:val="24"/>
          <w:szCs w:val="24"/>
        </w:rPr>
        <w:t>区主要分布在梅陇镇、赤坑镇、平东镇、公平镇、可塘镇和黄羌镇等镇。全县划定</w:t>
      </w:r>
      <w:r>
        <w:rPr>
          <w:rFonts w:ascii="宋体" w:hAnsi="宋体" w:eastAsia="宋体" w:cs="宋体"/>
          <w:spacing w:val="6"/>
          <w:sz w:val="24"/>
          <w:szCs w:val="24"/>
        </w:rPr>
        <w:t xml:space="preserve"> </w:t>
      </w:r>
      <w:r>
        <w:rPr>
          <w:rFonts w:ascii="宋体" w:hAnsi="宋体" w:eastAsia="宋体" w:cs="宋体"/>
          <w:spacing w:val="-1"/>
          <w:sz w:val="24"/>
          <w:szCs w:val="24"/>
        </w:rPr>
        <w:t>城镇村建设用地区面积为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10716</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公顷，占</w:t>
      </w:r>
      <w:r>
        <w:rPr>
          <w:rFonts w:ascii="宋体" w:hAnsi="宋体" w:eastAsia="宋体" w:cs="宋体"/>
          <w:spacing w:val="-2"/>
          <w:sz w:val="24"/>
          <w:szCs w:val="24"/>
        </w:rPr>
        <w:t>土地总面积的</w:t>
      </w:r>
      <w:r>
        <w:rPr>
          <w:rFonts w:ascii="Times New Roman" w:hAnsi="Times New Roman" w:eastAsia="Times New Roman" w:cs="Times New Roman"/>
          <w:spacing w:val="-2"/>
          <w:sz w:val="24"/>
          <w:szCs w:val="24"/>
        </w:rPr>
        <w:t>6.01%</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，主要分布在城东镇、</w:t>
      </w:r>
      <w:r>
        <w:rPr>
          <w:rFonts w:ascii="宋体" w:hAnsi="宋体" w:eastAsia="宋体" w:cs="宋体"/>
          <w:sz w:val="24"/>
          <w:szCs w:val="24"/>
        </w:rPr>
        <w:t xml:space="preserve"> </w:t>
      </w:r>
      <w:r>
        <w:rPr>
          <w:rFonts w:ascii="宋体" w:hAnsi="宋体" w:eastAsia="宋体" w:cs="宋体"/>
          <w:spacing w:val="2"/>
          <w:sz w:val="24"/>
          <w:szCs w:val="24"/>
        </w:rPr>
        <w:t>附城镇、海城镇、梅陇镇和公平镇等。本项目位于海丰县公平镇，项目所在地不属</w:t>
      </w:r>
      <w:r>
        <w:rPr>
          <w:rFonts w:ascii="宋体" w:hAnsi="宋体" w:eastAsia="宋体" w:cs="宋体"/>
          <w:spacing w:val="6"/>
          <w:sz w:val="24"/>
          <w:szCs w:val="24"/>
        </w:rPr>
        <w:t xml:space="preserve"> </w:t>
      </w:r>
      <w:r>
        <w:rPr>
          <w:rFonts w:ascii="宋体" w:hAnsi="宋体" w:eastAsia="宋体" w:cs="宋体"/>
          <w:spacing w:val="1"/>
          <w:sz w:val="24"/>
          <w:szCs w:val="24"/>
        </w:rPr>
        <w:t>于基本农田保护区，符合《海丰县县城土地利用总体规划（</w:t>
      </w:r>
      <w:r>
        <w:rPr>
          <w:rFonts w:ascii="Times New Roman" w:hAnsi="Times New Roman" w:eastAsia="Times New Roman" w:cs="Times New Roman"/>
          <w:spacing w:val="1"/>
          <w:sz w:val="24"/>
          <w:szCs w:val="24"/>
        </w:rPr>
        <w:t>2011-</w:t>
      </w:r>
      <w:r>
        <w:rPr>
          <w:rFonts w:ascii="Times New Roman" w:hAnsi="Times New Roman" w:eastAsia="Times New Roman" w:cs="Times New Roman"/>
          <w:sz w:val="24"/>
          <w:szCs w:val="24"/>
        </w:rPr>
        <w:t>2030</w:t>
      </w:r>
      <w:r>
        <w:rPr>
          <w:rFonts w:ascii="宋体" w:hAnsi="宋体" w:eastAsia="宋体" w:cs="宋体"/>
          <w:sz w:val="24"/>
          <w:szCs w:val="24"/>
        </w:rPr>
        <w:t xml:space="preserve">）》的要求。 </w:t>
      </w:r>
      <w:r>
        <w:rPr>
          <w:rFonts w:ascii="宋体" w:hAnsi="宋体" w:eastAsia="宋体" w:cs="宋体"/>
          <w:spacing w:val="-2"/>
          <w:sz w:val="24"/>
          <w:szCs w:val="24"/>
        </w:rPr>
        <w:t>见海丰县县城土地利用总体规划图</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1.4-2</w:t>
      </w:r>
      <w:r>
        <w:rPr>
          <w:rFonts w:ascii="宋体" w:hAnsi="宋体" w:eastAsia="宋体" w:cs="宋体"/>
          <w:spacing w:val="-2"/>
          <w:sz w:val="24"/>
          <w:szCs w:val="24"/>
        </w:rPr>
        <w:t>。</w:t>
      </w:r>
    </w:p>
    <w:p w14:paraId="655F76A7">
      <w:pPr>
        <w:spacing w:line="336" w:lineRule="exact"/>
        <w:ind w:left="476"/>
        <w:rPr>
          <w:rFonts w:ascii="宋体" w:hAnsi="宋体" w:eastAsia="宋体" w:cs="宋体"/>
          <w:sz w:val="24"/>
          <w:szCs w:val="24"/>
        </w:rPr>
      </w:pPr>
      <w:r>
        <w:rPr>
          <w:rFonts w:ascii="Times New Roman" w:hAnsi="Times New Roman" w:eastAsia="Times New Roman" w:cs="Times New Roman"/>
          <w:spacing w:val="-2"/>
          <w:position w:val="3"/>
          <w:sz w:val="24"/>
          <w:szCs w:val="24"/>
        </w:rPr>
        <w:t>2</w:t>
      </w:r>
      <w:r>
        <w:rPr>
          <w:rFonts w:ascii="Times New Roman" w:hAnsi="Times New Roman" w:eastAsia="Times New Roman" w:cs="Times New Roman"/>
          <w:spacing w:val="-33"/>
          <w:position w:val="3"/>
          <w:sz w:val="24"/>
          <w:szCs w:val="24"/>
        </w:rPr>
        <w:t xml:space="preserve"> </w:t>
      </w:r>
      <w:r>
        <w:rPr>
          <w:rFonts w:ascii="宋体" w:hAnsi="宋体" w:eastAsia="宋体" w:cs="宋体"/>
          <w:spacing w:val="-2"/>
          <w:position w:val="3"/>
          <w:sz w:val="24"/>
          <w:szCs w:val="24"/>
        </w:rPr>
        <w:t>、与《关于印发</w:t>
      </w:r>
      <w:r>
        <w:rPr>
          <w:rFonts w:ascii="Times New Roman" w:hAnsi="Times New Roman" w:eastAsia="Times New Roman" w:cs="Times New Roman"/>
          <w:spacing w:val="-2"/>
          <w:position w:val="3"/>
          <w:sz w:val="24"/>
          <w:szCs w:val="24"/>
        </w:rPr>
        <w:t>&lt;</w:t>
      </w:r>
      <w:r>
        <w:rPr>
          <w:rFonts w:ascii="宋体" w:hAnsi="宋体" w:eastAsia="宋体" w:cs="宋体"/>
          <w:spacing w:val="-2"/>
          <w:position w:val="3"/>
          <w:sz w:val="24"/>
          <w:szCs w:val="24"/>
        </w:rPr>
        <w:t>生态保护红线划定指南</w:t>
      </w:r>
      <w:r>
        <w:rPr>
          <w:rFonts w:ascii="Times New Roman" w:hAnsi="Times New Roman" w:eastAsia="Times New Roman" w:cs="Times New Roman"/>
          <w:spacing w:val="-2"/>
          <w:position w:val="3"/>
          <w:sz w:val="24"/>
          <w:szCs w:val="24"/>
        </w:rPr>
        <w:t>&gt;</w:t>
      </w:r>
      <w:r>
        <w:rPr>
          <w:rFonts w:ascii="Times New Roman" w:hAnsi="Times New Roman" w:eastAsia="Times New Roman" w:cs="Times New Roman"/>
          <w:spacing w:val="-32"/>
          <w:position w:val="3"/>
          <w:sz w:val="24"/>
          <w:szCs w:val="24"/>
        </w:rPr>
        <w:t xml:space="preserve"> </w:t>
      </w:r>
      <w:r>
        <w:rPr>
          <w:rFonts w:ascii="宋体" w:hAnsi="宋体" w:eastAsia="宋体" w:cs="宋体"/>
          <w:spacing w:val="-2"/>
          <w:position w:val="3"/>
          <w:sz w:val="24"/>
          <w:szCs w:val="24"/>
        </w:rPr>
        <w:t>的通知》（环办生态</w:t>
      </w:r>
      <w:r>
        <w:rPr>
          <w:rFonts w:ascii="Times New Roman" w:hAnsi="Times New Roman" w:eastAsia="Times New Roman" w:cs="Times New Roman"/>
          <w:spacing w:val="-2"/>
          <w:position w:val="3"/>
          <w:sz w:val="24"/>
          <w:szCs w:val="24"/>
        </w:rPr>
        <w:t>[2017]48</w:t>
      </w:r>
      <w:r>
        <w:rPr>
          <w:rFonts w:ascii="Times New Roman" w:hAnsi="Times New Roman" w:eastAsia="Times New Roman" w:cs="Times New Roman"/>
          <w:spacing w:val="15"/>
          <w:w w:val="101"/>
          <w:position w:val="3"/>
          <w:sz w:val="24"/>
          <w:szCs w:val="24"/>
        </w:rPr>
        <w:t xml:space="preserve"> </w:t>
      </w:r>
      <w:r>
        <w:rPr>
          <w:rFonts w:ascii="宋体" w:hAnsi="宋体" w:eastAsia="宋体" w:cs="宋体"/>
          <w:spacing w:val="-2"/>
          <w:position w:val="3"/>
          <w:sz w:val="24"/>
          <w:szCs w:val="24"/>
        </w:rPr>
        <w:t>号）</w:t>
      </w:r>
    </w:p>
    <w:p w14:paraId="13A1384A">
      <w:pPr>
        <w:spacing w:before="153" w:line="381" w:lineRule="auto"/>
        <w:ind w:firstLine="480"/>
        <w:rPr>
          <w:rFonts w:ascii="宋体" w:hAnsi="宋体" w:eastAsia="宋体" w:cs="宋体"/>
          <w:sz w:val="24"/>
          <w:szCs w:val="24"/>
        </w:rPr>
      </w:pPr>
      <w:r>
        <w:rPr>
          <w:rFonts w:ascii="宋体" w:hAnsi="宋体" w:eastAsia="宋体" w:cs="宋体"/>
          <w:sz w:val="24"/>
          <w:szCs w:val="24"/>
        </w:rPr>
        <w:t>根据《关于印发</w:t>
      </w:r>
      <w:r>
        <w:rPr>
          <w:rFonts w:ascii="Times New Roman" w:hAnsi="Times New Roman" w:eastAsia="Times New Roman" w:cs="Times New Roman"/>
          <w:sz w:val="24"/>
          <w:szCs w:val="24"/>
        </w:rPr>
        <w:t>&lt;</w:t>
      </w:r>
      <w:r>
        <w:rPr>
          <w:rFonts w:ascii="宋体" w:hAnsi="宋体" w:eastAsia="宋体" w:cs="宋体"/>
          <w:sz w:val="24"/>
          <w:szCs w:val="24"/>
        </w:rPr>
        <w:t>生态保护红线划定指南</w:t>
      </w:r>
      <w:r>
        <w:rPr>
          <w:rFonts w:ascii="Times New Roman" w:hAnsi="Times New Roman" w:eastAsia="Times New Roman" w:cs="Times New Roman"/>
          <w:sz w:val="24"/>
          <w:szCs w:val="24"/>
        </w:rPr>
        <w:t>&gt;</w:t>
      </w:r>
      <w:r>
        <w:rPr>
          <w:rFonts w:ascii="Times New Roman" w:hAnsi="Times New Roman" w:eastAsia="Times New Roman" w:cs="Times New Roman"/>
          <w:spacing w:val="-26"/>
          <w:sz w:val="24"/>
          <w:szCs w:val="24"/>
        </w:rPr>
        <w:t xml:space="preserve"> </w:t>
      </w:r>
      <w:r>
        <w:rPr>
          <w:rFonts w:ascii="宋体" w:hAnsi="宋体" w:eastAsia="宋体" w:cs="宋体"/>
          <w:sz w:val="24"/>
          <w:szCs w:val="24"/>
        </w:rPr>
        <w:t>的通知》（环办生态</w:t>
      </w:r>
      <w:r>
        <w:rPr>
          <w:rFonts w:ascii="Times New Roman" w:hAnsi="Times New Roman" w:eastAsia="Times New Roman" w:cs="Times New Roman"/>
          <w:sz w:val="24"/>
          <w:szCs w:val="24"/>
        </w:rPr>
        <w:t>[2017]48</w:t>
      </w:r>
      <w:r>
        <w:rPr>
          <w:rFonts w:ascii="Times New Roman" w:hAnsi="Times New Roman" w:eastAsia="Times New Roman" w:cs="Times New Roman"/>
          <w:spacing w:val="18"/>
          <w:sz w:val="24"/>
          <w:szCs w:val="24"/>
        </w:rPr>
        <w:t xml:space="preserve"> </w:t>
      </w:r>
      <w:r>
        <w:rPr>
          <w:rFonts w:ascii="宋体" w:hAnsi="宋体" w:eastAsia="宋体" w:cs="宋体"/>
          <w:sz w:val="24"/>
          <w:szCs w:val="24"/>
        </w:rPr>
        <w:t>号</w:t>
      </w:r>
      <w:r>
        <w:rPr>
          <w:rFonts w:ascii="宋体" w:hAnsi="宋体" w:eastAsia="宋体" w:cs="宋体"/>
          <w:spacing w:val="22"/>
          <w:sz w:val="24"/>
          <w:szCs w:val="24"/>
        </w:rPr>
        <w:t>），</w:t>
      </w:r>
      <w:r>
        <w:rPr>
          <w:rFonts w:ascii="宋体" w:hAnsi="宋体" w:eastAsia="宋体" w:cs="宋体"/>
          <w:sz w:val="24"/>
          <w:szCs w:val="24"/>
        </w:rPr>
        <w:t xml:space="preserve"> </w:t>
      </w:r>
      <w:r>
        <w:rPr>
          <w:rFonts w:ascii="宋体" w:hAnsi="宋体" w:eastAsia="宋体" w:cs="宋体"/>
          <w:spacing w:val="3"/>
          <w:sz w:val="24"/>
          <w:szCs w:val="24"/>
        </w:rPr>
        <w:t>该发文中将生态空间范围内具有特殊重要生态功能、必须强制性严格保护的</w:t>
      </w:r>
      <w:r>
        <w:rPr>
          <w:rFonts w:ascii="宋体" w:hAnsi="宋体" w:eastAsia="宋体" w:cs="宋体"/>
          <w:spacing w:val="2"/>
          <w:sz w:val="24"/>
          <w:szCs w:val="24"/>
        </w:rPr>
        <w:t>区域，</w:t>
      </w:r>
      <w:r>
        <w:rPr>
          <w:rFonts w:ascii="宋体" w:hAnsi="宋体" w:eastAsia="宋体" w:cs="宋体"/>
          <w:sz w:val="24"/>
          <w:szCs w:val="24"/>
        </w:rPr>
        <w:t xml:space="preserve"> </w:t>
      </w:r>
      <w:r>
        <w:rPr>
          <w:rFonts w:ascii="宋体" w:hAnsi="宋体" w:eastAsia="宋体" w:cs="宋体"/>
          <w:spacing w:val="2"/>
          <w:sz w:val="24"/>
          <w:szCs w:val="24"/>
        </w:rPr>
        <w:t>是保障和维护国家生态安全的底线和生命线，通常包括具有重要水源涵养、生物多</w:t>
      </w:r>
      <w:r>
        <w:rPr>
          <w:rFonts w:ascii="宋体" w:hAnsi="宋体" w:eastAsia="宋体" w:cs="宋体"/>
          <w:spacing w:val="7"/>
          <w:sz w:val="24"/>
          <w:szCs w:val="24"/>
        </w:rPr>
        <w:t xml:space="preserve"> </w:t>
      </w:r>
      <w:r>
        <w:rPr>
          <w:rFonts w:ascii="宋体" w:hAnsi="宋体" w:eastAsia="宋体" w:cs="宋体"/>
          <w:spacing w:val="2"/>
          <w:sz w:val="24"/>
          <w:szCs w:val="24"/>
        </w:rPr>
        <w:t>样性维护、水土保持、防风固沙、海岸生态稳定等功能的生态功能重要区域，以及</w:t>
      </w:r>
      <w:r>
        <w:rPr>
          <w:rFonts w:ascii="宋体" w:hAnsi="宋体" w:eastAsia="宋体" w:cs="宋体"/>
          <w:spacing w:val="7"/>
          <w:sz w:val="24"/>
          <w:szCs w:val="24"/>
        </w:rPr>
        <w:t xml:space="preserve"> </w:t>
      </w:r>
      <w:r>
        <w:rPr>
          <w:rFonts w:ascii="宋体" w:hAnsi="宋体" w:eastAsia="宋体" w:cs="宋体"/>
          <w:spacing w:val="-2"/>
          <w:sz w:val="24"/>
          <w:szCs w:val="24"/>
        </w:rPr>
        <w:t>水土流失、土地沙化、石漠化、盐渍化等生态环境敏感脆弱区域划为生</w:t>
      </w:r>
      <w:r>
        <w:rPr>
          <w:rFonts w:ascii="宋体" w:hAnsi="宋体" w:eastAsia="宋体" w:cs="宋体"/>
          <w:spacing w:val="-3"/>
          <w:sz w:val="24"/>
          <w:szCs w:val="24"/>
        </w:rPr>
        <w:t>态保护红线。</w:t>
      </w:r>
    </w:p>
    <w:p w14:paraId="3271F695">
      <w:pPr>
        <w:spacing w:before="4" w:line="362" w:lineRule="auto"/>
        <w:ind w:left="1" w:right="81" w:firstLine="480"/>
        <w:rPr>
          <w:rFonts w:ascii="宋体" w:hAnsi="宋体" w:eastAsia="宋体" w:cs="宋体"/>
          <w:sz w:val="24"/>
          <w:szCs w:val="24"/>
        </w:rPr>
      </w:pPr>
      <w:r>
        <w:rPr>
          <w:rFonts w:ascii="宋体" w:hAnsi="宋体" w:eastAsia="宋体" w:cs="宋体"/>
          <w:spacing w:val="2"/>
          <w:sz w:val="24"/>
          <w:szCs w:val="24"/>
        </w:rPr>
        <w:t>本项目所在区域不属于以上提及的区域，因此，本项目符合《关于加强资源环</w:t>
      </w:r>
      <w:r>
        <w:rPr>
          <w:rFonts w:ascii="宋体" w:hAnsi="宋体" w:eastAsia="宋体" w:cs="宋体"/>
          <w:spacing w:val="9"/>
          <w:sz w:val="24"/>
          <w:szCs w:val="24"/>
        </w:rPr>
        <w:t xml:space="preserve"> </w:t>
      </w:r>
      <w:r>
        <w:rPr>
          <w:rFonts w:ascii="宋体" w:hAnsi="宋体" w:eastAsia="宋体" w:cs="宋体"/>
          <w:spacing w:val="-1"/>
          <w:sz w:val="24"/>
          <w:szCs w:val="24"/>
        </w:rPr>
        <w:t>境生态红线管控的指导意见》。</w:t>
      </w:r>
    </w:p>
    <w:p w14:paraId="79801BD6">
      <w:pPr>
        <w:spacing w:line="360" w:lineRule="exact"/>
        <w:ind w:left="481"/>
        <w:rPr>
          <w:rFonts w:ascii="宋体" w:hAnsi="宋体" w:eastAsia="宋体" w:cs="宋体"/>
          <w:sz w:val="24"/>
          <w:szCs w:val="24"/>
        </w:rPr>
      </w:pPr>
      <w:r>
        <w:rPr>
          <w:rFonts w:ascii="Times New Roman" w:hAnsi="Times New Roman" w:eastAsia="Times New Roman" w:cs="Times New Roman"/>
          <w:spacing w:val="-1"/>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1"/>
          <w:position w:val="2"/>
          <w:sz w:val="24"/>
          <w:szCs w:val="24"/>
        </w:rPr>
        <w:t>、与《畜禽养殖业污染防治技术规范》（</w:t>
      </w:r>
      <w:r>
        <w:rPr>
          <w:rFonts w:ascii="Times New Roman" w:hAnsi="Times New Roman" w:eastAsia="Times New Roman" w:cs="Times New Roman"/>
          <w:spacing w:val="-1"/>
          <w:position w:val="2"/>
          <w:sz w:val="24"/>
          <w:szCs w:val="24"/>
        </w:rPr>
        <w:t>HJ/T8</w:t>
      </w:r>
      <w:r>
        <w:rPr>
          <w:rFonts w:ascii="Times New Roman" w:hAnsi="Times New Roman" w:eastAsia="Times New Roman" w:cs="Times New Roman"/>
          <w:spacing w:val="-2"/>
          <w:position w:val="2"/>
          <w:sz w:val="24"/>
          <w:szCs w:val="24"/>
        </w:rPr>
        <w:t>1-2001</w:t>
      </w:r>
      <w:r>
        <w:rPr>
          <w:rFonts w:ascii="宋体" w:hAnsi="宋体" w:eastAsia="宋体" w:cs="宋体"/>
          <w:spacing w:val="-2"/>
          <w:position w:val="2"/>
          <w:sz w:val="24"/>
          <w:szCs w:val="24"/>
        </w:rPr>
        <w:t>）</w:t>
      </w:r>
    </w:p>
    <w:p w14:paraId="2440996E">
      <w:pPr>
        <w:spacing w:before="45" w:line="364" w:lineRule="auto"/>
        <w:ind w:right="76" w:firstLine="485"/>
        <w:rPr>
          <w:rFonts w:ascii="宋体" w:hAnsi="宋体" w:eastAsia="宋体" w:cs="宋体"/>
          <w:sz w:val="24"/>
          <w:szCs w:val="24"/>
        </w:rPr>
      </w:pPr>
      <w:r>
        <w:rPr>
          <w:rFonts w:ascii="宋体" w:hAnsi="宋体" w:eastAsia="宋体" w:cs="宋体"/>
          <w:sz w:val="24"/>
          <w:szCs w:val="24"/>
        </w:rPr>
        <w:t>《畜禽养殖业污染防治技术规范》（</w:t>
      </w:r>
      <w:r>
        <w:rPr>
          <w:rFonts w:ascii="Times New Roman" w:hAnsi="Times New Roman" w:eastAsia="Times New Roman" w:cs="Times New Roman"/>
          <w:sz w:val="24"/>
          <w:szCs w:val="24"/>
        </w:rPr>
        <w:t>HJ/T81-2001</w:t>
      </w:r>
      <w:r>
        <w:rPr>
          <w:rFonts w:ascii="宋体" w:hAnsi="宋体" w:eastAsia="宋体" w:cs="宋体"/>
          <w:sz w:val="24"/>
          <w:szCs w:val="24"/>
        </w:rPr>
        <w:t>）规定畜禽养殖</w:t>
      </w:r>
      <w:r>
        <w:rPr>
          <w:rFonts w:ascii="宋体" w:hAnsi="宋体" w:eastAsia="宋体" w:cs="宋体"/>
          <w:spacing w:val="-1"/>
          <w:sz w:val="24"/>
          <w:szCs w:val="24"/>
        </w:rPr>
        <w:t>场选址应设在</w:t>
      </w:r>
      <w:r>
        <w:rPr>
          <w:rFonts w:ascii="宋体" w:hAnsi="宋体" w:eastAsia="宋体" w:cs="宋体"/>
          <w:sz w:val="24"/>
          <w:szCs w:val="24"/>
        </w:rPr>
        <w:t xml:space="preserve"> </w:t>
      </w:r>
      <w:r>
        <w:rPr>
          <w:rFonts w:ascii="宋体" w:hAnsi="宋体" w:eastAsia="宋体" w:cs="宋体"/>
          <w:spacing w:val="2"/>
          <w:sz w:val="24"/>
          <w:szCs w:val="24"/>
        </w:rPr>
        <w:t>禁建区域常年主导风向的下风向或侧风向处。结合本项目实际情况及大气预测结果</w:t>
      </w:r>
      <w:r>
        <w:rPr>
          <w:rFonts w:ascii="宋体" w:hAnsi="宋体" w:eastAsia="宋体" w:cs="宋体"/>
          <w:spacing w:val="6"/>
          <w:sz w:val="24"/>
          <w:szCs w:val="24"/>
        </w:rPr>
        <w:t xml:space="preserve"> </w:t>
      </w:r>
      <w:r>
        <w:rPr>
          <w:rFonts w:ascii="宋体" w:hAnsi="宋体" w:eastAsia="宋体" w:cs="宋体"/>
          <w:spacing w:val="2"/>
          <w:sz w:val="24"/>
          <w:szCs w:val="24"/>
        </w:rPr>
        <w:t>来看，项目位于附近居民点主导风向的侧风向处，养殖区域边界距离最近的居民点</w:t>
      </w:r>
      <w:r>
        <w:rPr>
          <w:rFonts w:ascii="宋体" w:hAnsi="宋体" w:eastAsia="宋体" w:cs="宋体"/>
          <w:spacing w:val="6"/>
          <w:sz w:val="24"/>
          <w:szCs w:val="24"/>
        </w:rPr>
        <w:t xml:space="preserve"> </w:t>
      </w:r>
      <w:r>
        <w:rPr>
          <w:rFonts w:ascii="宋体" w:hAnsi="宋体" w:eastAsia="宋体" w:cs="宋体"/>
          <w:spacing w:val="-2"/>
          <w:sz w:val="24"/>
          <w:szCs w:val="24"/>
        </w:rPr>
        <w:t>约</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292m</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，位于本项目主导风向（东风）的侧风向，符合《畜禽养殖业污染防治技术</w:t>
      </w:r>
      <w:r>
        <w:rPr>
          <w:rFonts w:ascii="宋体" w:hAnsi="宋体" w:eastAsia="宋体" w:cs="宋体"/>
          <w:sz w:val="24"/>
          <w:szCs w:val="24"/>
        </w:rPr>
        <w:t xml:space="preserve"> 规范》（</w:t>
      </w:r>
      <w:r>
        <w:rPr>
          <w:rFonts w:ascii="Times New Roman" w:hAnsi="Times New Roman" w:eastAsia="Times New Roman" w:cs="Times New Roman"/>
          <w:sz w:val="24"/>
          <w:szCs w:val="24"/>
        </w:rPr>
        <w:t>HJ/T81-2001</w:t>
      </w:r>
      <w:r>
        <w:rPr>
          <w:rFonts w:ascii="宋体" w:hAnsi="宋体" w:eastAsia="宋体" w:cs="宋体"/>
          <w:sz w:val="24"/>
          <w:szCs w:val="24"/>
        </w:rPr>
        <w:t>）要求以及卫生防护距离的要求。本项目东北面为有机肥发酵</w:t>
      </w:r>
      <w:r>
        <w:rPr>
          <w:rFonts w:ascii="宋体" w:hAnsi="宋体" w:eastAsia="宋体" w:cs="宋体"/>
          <w:spacing w:val="3"/>
          <w:sz w:val="24"/>
          <w:szCs w:val="24"/>
        </w:rPr>
        <w:t xml:space="preserve"> </w:t>
      </w:r>
      <w:r>
        <w:rPr>
          <w:rFonts w:ascii="宋体" w:hAnsi="宋体" w:eastAsia="宋体" w:cs="宋体"/>
          <w:spacing w:val="2"/>
          <w:sz w:val="24"/>
          <w:szCs w:val="24"/>
        </w:rPr>
        <w:t>车间，项目产生的畜禽粪便、尿液、猪舍冲洗水经刮粪系统收集到有机肥发酵车间</w:t>
      </w:r>
      <w:r>
        <w:rPr>
          <w:rFonts w:ascii="宋体" w:hAnsi="宋体" w:eastAsia="宋体" w:cs="宋体"/>
          <w:spacing w:val="6"/>
          <w:sz w:val="24"/>
          <w:szCs w:val="24"/>
        </w:rPr>
        <w:t xml:space="preserve"> </w:t>
      </w:r>
      <w:r>
        <w:rPr>
          <w:rFonts w:ascii="宋体" w:hAnsi="宋体" w:eastAsia="宋体" w:cs="宋体"/>
          <w:spacing w:val="2"/>
          <w:sz w:val="24"/>
          <w:szCs w:val="24"/>
        </w:rPr>
        <w:t>后，马上进行发酵加工，加工为有机肥半成品，符合《畜禽养殖业污染防治技术规</w:t>
      </w:r>
      <w:r>
        <w:rPr>
          <w:rFonts w:ascii="宋体" w:hAnsi="宋体" w:eastAsia="宋体" w:cs="宋体"/>
          <w:spacing w:val="6"/>
          <w:sz w:val="24"/>
          <w:szCs w:val="24"/>
        </w:rPr>
        <w:t xml:space="preserve"> </w:t>
      </w:r>
      <w:r>
        <w:rPr>
          <w:rFonts w:ascii="宋体" w:hAnsi="宋体" w:eastAsia="宋体" w:cs="宋体"/>
          <w:sz w:val="24"/>
          <w:szCs w:val="24"/>
        </w:rPr>
        <w:t>范》（</w:t>
      </w:r>
      <w:r>
        <w:rPr>
          <w:rFonts w:ascii="Times New Roman" w:hAnsi="Times New Roman" w:eastAsia="Times New Roman" w:cs="Times New Roman"/>
          <w:sz w:val="24"/>
          <w:szCs w:val="24"/>
        </w:rPr>
        <w:t>HJ/T81-2001</w:t>
      </w:r>
      <w:r>
        <w:rPr>
          <w:rFonts w:ascii="宋体" w:hAnsi="宋体" w:eastAsia="宋体" w:cs="宋体"/>
          <w:sz w:val="24"/>
          <w:szCs w:val="24"/>
        </w:rPr>
        <w:t>）要求。本项目产生的病死猪尸体经安全填埋井填埋处理，符合 《畜禽养殖业污染防治技术规范》（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T81-2001</w:t>
      </w:r>
      <w:r>
        <w:rPr>
          <w:rFonts w:ascii="宋体" w:hAnsi="宋体" w:eastAsia="宋体" w:cs="宋体"/>
          <w:spacing w:val="-1"/>
          <w:sz w:val="24"/>
          <w:szCs w:val="24"/>
        </w:rPr>
        <w:t>）要求。</w:t>
      </w:r>
    </w:p>
    <w:p w14:paraId="19412644">
      <w:pPr>
        <w:spacing w:line="364" w:lineRule="auto"/>
        <w:rPr>
          <w:rFonts w:ascii="宋体" w:hAnsi="宋体" w:eastAsia="宋体" w:cs="宋体"/>
          <w:sz w:val="24"/>
          <w:szCs w:val="24"/>
        </w:rPr>
        <w:sectPr>
          <w:footerReference r:id="rId19" w:type="default"/>
          <w:pgSz w:w="11906" w:h="16839"/>
          <w:pgMar w:top="1431" w:right="1507" w:bottom="1485" w:left="1597" w:header="0" w:footer="1249" w:gutter="0"/>
          <w:cols w:space="720" w:num="1"/>
        </w:sectPr>
      </w:pPr>
    </w:p>
    <w:p w14:paraId="33973CAD">
      <w:pPr>
        <w:spacing w:before="125" w:line="228" w:lineRule="auto"/>
        <w:ind w:left="2324"/>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3"/>
          <w:sz w:val="20"/>
          <w:szCs w:val="20"/>
        </w:rPr>
        <w:t xml:space="preserve"> </w:t>
      </w:r>
      <w:r>
        <w:rPr>
          <w:rFonts w:ascii="Times New Roman" w:hAnsi="Times New Roman" w:eastAsia="Times New Roman" w:cs="Times New Roman"/>
          <w:b/>
          <w:bCs/>
          <w:spacing w:val="6"/>
          <w:sz w:val="20"/>
          <w:szCs w:val="20"/>
        </w:rPr>
        <w:t xml:space="preserve">1.4-2 </w:t>
      </w:r>
      <w:r>
        <w:rPr>
          <w:rFonts w:ascii="宋体" w:hAnsi="宋体" w:eastAsia="宋体" w:cs="宋体"/>
          <w:b/>
          <w:bCs/>
          <w:spacing w:val="6"/>
          <w:sz w:val="20"/>
          <w:szCs w:val="20"/>
        </w:rPr>
        <w:t>场址建设条件与规范要求对比分析结果</w:t>
      </w:r>
    </w:p>
    <w:p w14:paraId="4FE83EA0">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3827"/>
        <w:gridCol w:w="3117"/>
        <w:gridCol w:w="1328"/>
      </w:tblGrid>
      <w:tr w14:paraId="14100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8" w:type="dxa"/>
            <w:vAlign w:val="top"/>
          </w:tcPr>
          <w:p w14:paraId="3A263703">
            <w:pPr>
              <w:pStyle w:val="6"/>
              <w:spacing w:before="62" w:line="230" w:lineRule="auto"/>
              <w:ind w:left="135"/>
            </w:pPr>
            <w:r>
              <w:rPr>
                <w:b/>
                <w:bCs/>
                <w:spacing w:val="4"/>
              </w:rPr>
              <w:t>序号</w:t>
            </w:r>
          </w:p>
        </w:tc>
        <w:tc>
          <w:tcPr>
            <w:tcW w:w="3827" w:type="dxa"/>
            <w:vAlign w:val="top"/>
          </w:tcPr>
          <w:p w14:paraId="51D4E612">
            <w:pPr>
              <w:pStyle w:val="6"/>
              <w:spacing w:before="62" w:line="230" w:lineRule="auto"/>
              <w:ind w:left="1498"/>
            </w:pPr>
            <w:r>
              <w:rPr>
                <w:b/>
                <w:bCs/>
                <w:spacing w:val="6"/>
              </w:rPr>
              <w:t>规范要求</w:t>
            </w:r>
          </w:p>
        </w:tc>
        <w:tc>
          <w:tcPr>
            <w:tcW w:w="3117" w:type="dxa"/>
            <w:vAlign w:val="top"/>
          </w:tcPr>
          <w:p w14:paraId="4D33475C">
            <w:pPr>
              <w:pStyle w:val="6"/>
              <w:spacing w:before="62" w:line="228" w:lineRule="auto"/>
              <w:ind w:left="1142"/>
            </w:pPr>
            <w:r>
              <w:rPr>
                <w:b/>
                <w:bCs/>
                <w:spacing w:val="6"/>
              </w:rPr>
              <w:t>选址条件</w:t>
            </w:r>
          </w:p>
        </w:tc>
        <w:tc>
          <w:tcPr>
            <w:tcW w:w="1328" w:type="dxa"/>
            <w:vAlign w:val="top"/>
          </w:tcPr>
          <w:p w14:paraId="1AE2F4B3">
            <w:pPr>
              <w:pStyle w:val="6"/>
              <w:spacing w:before="62" w:line="228" w:lineRule="auto"/>
              <w:ind w:left="147"/>
            </w:pPr>
            <w:r>
              <w:rPr>
                <w:b/>
                <w:bCs/>
                <w:spacing w:val="6"/>
              </w:rPr>
              <w:t>符合性分析</w:t>
            </w:r>
          </w:p>
        </w:tc>
      </w:tr>
      <w:tr w14:paraId="49CF6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678" w:type="dxa"/>
            <w:vAlign w:val="top"/>
          </w:tcPr>
          <w:p w14:paraId="414D5474">
            <w:pPr>
              <w:spacing w:line="294" w:lineRule="auto"/>
              <w:rPr>
                <w:rFonts w:ascii="Arial"/>
                <w:sz w:val="21"/>
              </w:rPr>
            </w:pPr>
          </w:p>
          <w:p w14:paraId="5CC7C75C">
            <w:pPr>
              <w:spacing w:before="58" w:line="274" w:lineRule="exact"/>
              <w:ind w:left="3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3827" w:type="dxa"/>
            <w:vAlign w:val="top"/>
          </w:tcPr>
          <w:p w14:paraId="6BBF87EB">
            <w:pPr>
              <w:pStyle w:val="6"/>
              <w:spacing w:before="58" w:line="228" w:lineRule="auto"/>
              <w:ind w:left="132"/>
            </w:pPr>
            <w:r>
              <w:rPr>
                <w:spacing w:val="9"/>
              </w:rPr>
              <w:t>禁止在生活饮用水水源保护区、风景名</w:t>
            </w:r>
          </w:p>
          <w:p w14:paraId="3D4D043A">
            <w:pPr>
              <w:pStyle w:val="6"/>
              <w:spacing w:before="79" w:line="228" w:lineRule="auto"/>
              <w:ind w:left="132"/>
            </w:pPr>
            <w:r>
              <w:rPr>
                <w:spacing w:val="6"/>
              </w:rPr>
              <w:t>胜区、</w:t>
            </w:r>
            <w:r>
              <w:rPr>
                <w:spacing w:val="-43"/>
              </w:rPr>
              <w:t xml:space="preserve"> </w:t>
            </w:r>
            <w:r>
              <w:rPr>
                <w:spacing w:val="6"/>
              </w:rPr>
              <w:t>自然保护区的核心区及缓冲区建</w:t>
            </w:r>
          </w:p>
          <w:p w14:paraId="51060087">
            <w:pPr>
              <w:pStyle w:val="6"/>
              <w:spacing w:before="79" w:line="228" w:lineRule="auto"/>
              <w:ind w:left="1290"/>
            </w:pPr>
            <w:r>
              <w:rPr>
                <w:spacing w:val="7"/>
              </w:rPr>
              <w:t>设畜禽养殖场</w:t>
            </w:r>
          </w:p>
        </w:tc>
        <w:tc>
          <w:tcPr>
            <w:tcW w:w="3117" w:type="dxa"/>
            <w:vAlign w:val="top"/>
          </w:tcPr>
          <w:p w14:paraId="3C80540F">
            <w:pPr>
              <w:pStyle w:val="6"/>
              <w:spacing w:before="57" w:line="228" w:lineRule="auto"/>
              <w:ind w:left="203"/>
            </w:pPr>
            <w:r>
              <w:rPr>
                <w:spacing w:val="9"/>
              </w:rPr>
              <w:t>项目建设场地附近无生活饮用</w:t>
            </w:r>
          </w:p>
          <w:p w14:paraId="70460626">
            <w:pPr>
              <w:pStyle w:val="6"/>
              <w:spacing w:before="80" w:line="228" w:lineRule="auto"/>
              <w:ind w:left="116"/>
            </w:pPr>
            <w:r>
              <w:rPr>
                <w:spacing w:val="8"/>
              </w:rPr>
              <w:t>水水源保护区、风景名胜区、自</w:t>
            </w:r>
          </w:p>
          <w:p w14:paraId="44266BC1">
            <w:pPr>
              <w:pStyle w:val="6"/>
              <w:spacing w:before="79" w:line="228" w:lineRule="auto"/>
              <w:ind w:left="621"/>
            </w:pPr>
            <w:r>
              <w:rPr>
                <w:spacing w:val="8"/>
              </w:rPr>
              <w:t>然保护区等敏感地区</w:t>
            </w:r>
          </w:p>
        </w:tc>
        <w:tc>
          <w:tcPr>
            <w:tcW w:w="1328" w:type="dxa"/>
            <w:vAlign w:val="top"/>
          </w:tcPr>
          <w:p w14:paraId="5A816467">
            <w:pPr>
              <w:spacing w:line="318" w:lineRule="auto"/>
              <w:rPr>
                <w:rFonts w:ascii="Arial"/>
                <w:sz w:val="21"/>
              </w:rPr>
            </w:pPr>
          </w:p>
          <w:p w14:paraId="71FA7FAD">
            <w:pPr>
              <w:pStyle w:val="6"/>
              <w:spacing w:before="65" w:line="228" w:lineRule="auto"/>
              <w:ind w:left="462"/>
            </w:pPr>
            <w:r>
              <w:rPr>
                <w:spacing w:val="3"/>
              </w:rPr>
              <w:t>符合</w:t>
            </w:r>
          </w:p>
        </w:tc>
      </w:tr>
      <w:tr w14:paraId="565A2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678" w:type="dxa"/>
            <w:vAlign w:val="top"/>
          </w:tcPr>
          <w:p w14:paraId="1B386FEE">
            <w:pPr>
              <w:spacing w:line="296" w:lineRule="auto"/>
              <w:rPr>
                <w:rFonts w:ascii="Arial"/>
                <w:sz w:val="21"/>
              </w:rPr>
            </w:pPr>
          </w:p>
          <w:p w14:paraId="2AE8FDD7">
            <w:pPr>
              <w:spacing w:before="57" w:line="275" w:lineRule="exact"/>
              <w:ind w:left="28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3827" w:type="dxa"/>
            <w:vAlign w:val="top"/>
          </w:tcPr>
          <w:p w14:paraId="43B6C7D7">
            <w:pPr>
              <w:pStyle w:val="6"/>
              <w:spacing w:before="59" w:line="228" w:lineRule="auto"/>
              <w:ind w:left="132"/>
            </w:pPr>
            <w:r>
              <w:rPr>
                <w:spacing w:val="9"/>
              </w:rPr>
              <w:t>禁止在城市和城镇居民区，包括文教科</w:t>
            </w:r>
          </w:p>
          <w:p w14:paraId="53D48494">
            <w:pPr>
              <w:pStyle w:val="6"/>
              <w:spacing w:before="79" w:line="229" w:lineRule="auto"/>
              <w:ind w:left="132"/>
            </w:pPr>
            <w:r>
              <w:rPr>
                <w:spacing w:val="9"/>
              </w:rPr>
              <w:t>研区、医疗区、商业区、工业区、游览</w:t>
            </w:r>
          </w:p>
          <w:p w14:paraId="3A250936">
            <w:pPr>
              <w:pStyle w:val="6"/>
              <w:spacing w:before="78" w:line="228" w:lineRule="auto"/>
              <w:ind w:left="359"/>
            </w:pPr>
            <w:r>
              <w:rPr>
                <w:spacing w:val="8"/>
              </w:rPr>
              <w:t>区等人口集中地区建设畜禽养殖场</w:t>
            </w:r>
          </w:p>
        </w:tc>
        <w:tc>
          <w:tcPr>
            <w:tcW w:w="3117" w:type="dxa"/>
            <w:vAlign w:val="top"/>
          </w:tcPr>
          <w:p w14:paraId="5076EE5B">
            <w:pPr>
              <w:pStyle w:val="6"/>
              <w:spacing w:before="223" w:line="228" w:lineRule="auto"/>
              <w:ind w:left="203"/>
            </w:pPr>
            <w:r>
              <w:rPr>
                <w:spacing w:val="9"/>
              </w:rPr>
              <w:t>项目所在地不属于人口集中地</w:t>
            </w:r>
          </w:p>
          <w:p w14:paraId="5051B8F2">
            <w:pPr>
              <w:pStyle w:val="6"/>
              <w:spacing w:before="79" w:line="233" w:lineRule="auto"/>
              <w:ind w:left="1476"/>
            </w:pPr>
            <w:r>
              <w:t>区</w:t>
            </w:r>
          </w:p>
        </w:tc>
        <w:tc>
          <w:tcPr>
            <w:tcW w:w="1328" w:type="dxa"/>
            <w:vAlign w:val="top"/>
          </w:tcPr>
          <w:p w14:paraId="701CF0E4">
            <w:pPr>
              <w:spacing w:line="319" w:lineRule="auto"/>
              <w:rPr>
                <w:rFonts w:ascii="Arial"/>
                <w:sz w:val="21"/>
              </w:rPr>
            </w:pPr>
          </w:p>
          <w:p w14:paraId="05A577DB">
            <w:pPr>
              <w:pStyle w:val="6"/>
              <w:spacing w:before="65" w:line="228" w:lineRule="auto"/>
              <w:ind w:left="462"/>
            </w:pPr>
            <w:r>
              <w:rPr>
                <w:spacing w:val="3"/>
              </w:rPr>
              <w:t>符合</w:t>
            </w:r>
          </w:p>
        </w:tc>
      </w:tr>
      <w:tr w14:paraId="5B4BC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678" w:type="dxa"/>
            <w:vAlign w:val="top"/>
          </w:tcPr>
          <w:p w14:paraId="67A9650D">
            <w:pPr>
              <w:spacing w:before="195"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3827" w:type="dxa"/>
            <w:vAlign w:val="top"/>
          </w:tcPr>
          <w:p w14:paraId="1D687185">
            <w:pPr>
              <w:pStyle w:val="6"/>
              <w:spacing w:before="62" w:line="228" w:lineRule="auto"/>
              <w:ind w:left="132"/>
            </w:pPr>
            <w:r>
              <w:rPr>
                <w:spacing w:val="9"/>
              </w:rPr>
              <w:t>禁止在县级人民政府依法划定的禁养区</w:t>
            </w:r>
          </w:p>
          <w:p w14:paraId="34C15DBE">
            <w:pPr>
              <w:pStyle w:val="6"/>
              <w:spacing w:before="80" w:line="228" w:lineRule="auto"/>
              <w:ind w:left="1078"/>
            </w:pPr>
            <w:r>
              <w:rPr>
                <w:spacing w:val="8"/>
              </w:rPr>
              <w:t>域建设畜禽养殖场</w:t>
            </w:r>
          </w:p>
        </w:tc>
        <w:tc>
          <w:tcPr>
            <w:tcW w:w="3117" w:type="dxa"/>
            <w:vAlign w:val="top"/>
          </w:tcPr>
          <w:p w14:paraId="5FAA53D6">
            <w:pPr>
              <w:pStyle w:val="6"/>
              <w:spacing w:before="226" w:line="228" w:lineRule="auto"/>
              <w:ind w:left="938"/>
            </w:pPr>
            <w:r>
              <w:rPr>
                <w:spacing w:val="7"/>
              </w:rPr>
              <w:t>不属于禁养区</w:t>
            </w:r>
          </w:p>
        </w:tc>
        <w:tc>
          <w:tcPr>
            <w:tcW w:w="1328" w:type="dxa"/>
            <w:vAlign w:val="top"/>
          </w:tcPr>
          <w:p w14:paraId="13D97C3C">
            <w:pPr>
              <w:pStyle w:val="6"/>
              <w:spacing w:before="226" w:line="228" w:lineRule="auto"/>
              <w:ind w:left="462"/>
            </w:pPr>
            <w:r>
              <w:rPr>
                <w:spacing w:val="3"/>
              </w:rPr>
              <w:t>符合</w:t>
            </w:r>
          </w:p>
        </w:tc>
      </w:tr>
      <w:tr w14:paraId="111BC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678" w:type="dxa"/>
            <w:vAlign w:val="top"/>
          </w:tcPr>
          <w:p w14:paraId="2A1AF751">
            <w:pPr>
              <w:spacing w:before="196"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3827" w:type="dxa"/>
            <w:vAlign w:val="top"/>
          </w:tcPr>
          <w:p w14:paraId="7B9CBD3D">
            <w:pPr>
              <w:pStyle w:val="6"/>
              <w:spacing w:before="63" w:line="271" w:lineRule="auto"/>
              <w:ind w:left="343" w:right="128" w:hanging="211"/>
            </w:pPr>
            <w:r>
              <w:rPr>
                <w:spacing w:val="9"/>
              </w:rPr>
              <w:t>禁止在国家或地方法律、法规规定需特</w:t>
            </w:r>
            <w:r>
              <w:rPr>
                <w:spacing w:val="6"/>
              </w:rPr>
              <w:t xml:space="preserve"> </w:t>
            </w:r>
            <w:r>
              <w:rPr>
                <w:spacing w:val="9"/>
              </w:rPr>
              <w:t>殊保护的其他区域建设畜禽养殖场</w:t>
            </w:r>
          </w:p>
        </w:tc>
        <w:tc>
          <w:tcPr>
            <w:tcW w:w="3117" w:type="dxa"/>
            <w:vAlign w:val="top"/>
          </w:tcPr>
          <w:p w14:paraId="1E577BE3">
            <w:pPr>
              <w:pStyle w:val="6"/>
              <w:spacing w:before="227" w:line="228" w:lineRule="auto"/>
              <w:ind w:left="515"/>
            </w:pPr>
            <w:r>
              <w:rPr>
                <w:spacing w:val="8"/>
              </w:rPr>
              <w:t>周边无特殊保护的区域</w:t>
            </w:r>
          </w:p>
        </w:tc>
        <w:tc>
          <w:tcPr>
            <w:tcW w:w="1328" w:type="dxa"/>
            <w:vAlign w:val="top"/>
          </w:tcPr>
          <w:p w14:paraId="3A3792E0">
            <w:pPr>
              <w:pStyle w:val="6"/>
              <w:spacing w:before="227" w:line="228" w:lineRule="auto"/>
              <w:ind w:left="462"/>
            </w:pPr>
            <w:r>
              <w:rPr>
                <w:spacing w:val="3"/>
              </w:rPr>
              <w:t>符合</w:t>
            </w:r>
          </w:p>
        </w:tc>
      </w:tr>
    </w:tbl>
    <w:p w14:paraId="54554693">
      <w:pPr>
        <w:spacing w:before="125" w:line="328" w:lineRule="auto"/>
        <w:ind w:left="134" w:right="127" w:firstLine="471"/>
        <w:rPr>
          <w:rFonts w:ascii="宋体" w:hAnsi="宋体" w:eastAsia="宋体" w:cs="宋体"/>
          <w:sz w:val="24"/>
          <w:szCs w:val="24"/>
        </w:rPr>
      </w:pPr>
      <w:r>
        <w:rPr>
          <w:rFonts w:ascii="宋体" w:hAnsi="宋体" w:eastAsia="宋体" w:cs="宋体"/>
          <w:spacing w:val="21"/>
          <w:sz w:val="24"/>
          <w:szCs w:val="24"/>
        </w:rPr>
        <w:t>从上表中分析可见</w:t>
      </w:r>
      <w:r>
        <w:rPr>
          <w:rFonts w:ascii="宋体" w:hAnsi="宋体" w:eastAsia="宋体" w:cs="宋体"/>
          <w:spacing w:val="-67"/>
          <w:sz w:val="24"/>
          <w:szCs w:val="24"/>
        </w:rPr>
        <w:t xml:space="preserve"> </w:t>
      </w:r>
      <w:r>
        <w:rPr>
          <w:rFonts w:ascii="宋体" w:hAnsi="宋体" w:eastAsia="宋体" w:cs="宋体"/>
          <w:spacing w:val="21"/>
          <w:sz w:val="24"/>
          <w:szCs w:val="24"/>
        </w:rPr>
        <w:t>，本项</w:t>
      </w:r>
      <w:r>
        <w:rPr>
          <w:rFonts w:ascii="宋体" w:hAnsi="宋体" w:eastAsia="宋体" w:cs="宋体"/>
          <w:spacing w:val="-36"/>
          <w:sz w:val="24"/>
          <w:szCs w:val="24"/>
        </w:rPr>
        <w:t xml:space="preserve"> </w:t>
      </w:r>
      <w:r>
        <w:rPr>
          <w:rFonts w:ascii="宋体" w:hAnsi="宋体" w:eastAsia="宋体" w:cs="宋体"/>
          <w:spacing w:val="21"/>
          <w:sz w:val="24"/>
          <w:szCs w:val="24"/>
        </w:rPr>
        <w:t>目选址符合《畜禽养殖业污染</w:t>
      </w:r>
      <w:r>
        <w:rPr>
          <w:rFonts w:ascii="宋体" w:hAnsi="宋体" w:eastAsia="宋体" w:cs="宋体"/>
          <w:spacing w:val="20"/>
          <w:sz w:val="24"/>
          <w:szCs w:val="24"/>
        </w:rPr>
        <w:t>防治技术规范》</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HJ/T81-2001</w:t>
      </w:r>
      <w:r>
        <w:rPr>
          <w:rFonts w:ascii="宋体" w:hAnsi="宋体" w:eastAsia="宋体" w:cs="宋体"/>
          <w:spacing w:val="-2"/>
          <w:sz w:val="24"/>
          <w:szCs w:val="24"/>
        </w:rPr>
        <w:t>）的相关要求。</w:t>
      </w:r>
    </w:p>
    <w:p w14:paraId="009479BC">
      <w:pPr>
        <w:spacing w:line="6530" w:lineRule="exact"/>
        <w:ind w:firstLine="113"/>
      </w:pPr>
      <w:r>
        <w:rPr>
          <w:position w:val="-130"/>
        </w:rPr>
        <w:drawing>
          <wp:inline distT="0" distB="0" distL="0" distR="0">
            <wp:extent cx="5594350" cy="41465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97"/>
                    <a:stretch>
                      <a:fillRect/>
                    </a:stretch>
                  </pic:blipFill>
                  <pic:spPr>
                    <a:xfrm>
                      <a:off x="0" y="0"/>
                      <a:ext cx="5594603" cy="4146803"/>
                    </a:xfrm>
                    <a:prstGeom prst="rect">
                      <a:avLst/>
                    </a:prstGeom>
                  </pic:spPr>
                </pic:pic>
              </a:graphicData>
            </a:graphic>
          </wp:inline>
        </w:drawing>
      </w:r>
    </w:p>
    <w:p w14:paraId="77F5AA8E">
      <w:pPr>
        <w:spacing w:before="183" w:line="222" w:lineRule="auto"/>
        <w:ind w:left="2450"/>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27"/>
          <w:sz w:val="24"/>
          <w:szCs w:val="24"/>
        </w:rPr>
        <w:t xml:space="preserve"> </w:t>
      </w:r>
      <w:r>
        <w:rPr>
          <w:rFonts w:ascii="Times New Roman" w:hAnsi="Times New Roman" w:eastAsia="Times New Roman" w:cs="Times New Roman"/>
          <w:b/>
          <w:bCs/>
          <w:spacing w:val="-3"/>
          <w:sz w:val="24"/>
          <w:szCs w:val="24"/>
        </w:rPr>
        <w:t xml:space="preserve">1.4-2    </w:t>
      </w:r>
      <w:r>
        <w:rPr>
          <w:rFonts w:ascii="宋体" w:hAnsi="宋体" w:eastAsia="宋体" w:cs="宋体"/>
          <w:b/>
          <w:bCs/>
          <w:spacing w:val="-3"/>
          <w:sz w:val="24"/>
          <w:szCs w:val="24"/>
        </w:rPr>
        <w:t>土地利用总体规划图（</w:t>
      </w:r>
      <w:r>
        <w:rPr>
          <w:rFonts w:ascii="Times New Roman" w:hAnsi="Times New Roman" w:eastAsia="Times New Roman" w:cs="Times New Roman"/>
          <w:b/>
          <w:bCs/>
          <w:spacing w:val="-3"/>
          <w:sz w:val="24"/>
          <w:szCs w:val="24"/>
        </w:rPr>
        <w:t>1:300000</w:t>
      </w:r>
      <w:r>
        <w:rPr>
          <w:rFonts w:ascii="宋体" w:hAnsi="宋体" w:eastAsia="宋体" w:cs="宋体"/>
          <w:b/>
          <w:bCs/>
          <w:spacing w:val="-3"/>
          <w:sz w:val="24"/>
          <w:szCs w:val="24"/>
        </w:rPr>
        <w:t>）</w:t>
      </w:r>
    </w:p>
    <w:p w14:paraId="15D4FFBB">
      <w:pPr>
        <w:pStyle w:val="2"/>
        <w:spacing w:line="337" w:lineRule="auto"/>
      </w:pPr>
    </w:p>
    <w:p w14:paraId="55AACE51">
      <w:pPr>
        <w:pStyle w:val="2"/>
        <w:spacing w:line="337" w:lineRule="auto"/>
      </w:pPr>
    </w:p>
    <w:p w14:paraId="4BBC66AF">
      <w:pPr>
        <w:spacing w:before="78" w:line="219" w:lineRule="auto"/>
        <w:ind w:left="129"/>
        <w:outlineLvl w:val="2"/>
        <w:rPr>
          <w:rFonts w:ascii="宋体" w:hAnsi="宋体" w:eastAsia="宋体" w:cs="宋体"/>
          <w:sz w:val="24"/>
          <w:szCs w:val="24"/>
        </w:rPr>
      </w:pPr>
      <w:r>
        <w:rPr>
          <w:rFonts w:ascii="Times New Roman" w:hAnsi="Times New Roman" w:eastAsia="Times New Roman" w:cs="Times New Roman"/>
          <w:b/>
          <w:bCs/>
          <w:spacing w:val="-3"/>
          <w:sz w:val="24"/>
          <w:szCs w:val="24"/>
        </w:rPr>
        <w:t>1.4.5</w:t>
      </w:r>
      <w:r>
        <w:rPr>
          <w:rFonts w:ascii="宋体" w:hAnsi="宋体" w:eastAsia="宋体" w:cs="宋体"/>
          <w:b/>
          <w:bCs/>
          <w:spacing w:val="-3"/>
          <w:sz w:val="24"/>
          <w:szCs w:val="24"/>
        </w:rPr>
        <w:t>平面布置合理性分析</w:t>
      </w:r>
    </w:p>
    <w:p w14:paraId="522E89B7">
      <w:pPr>
        <w:spacing w:before="205" w:line="219" w:lineRule="auto"/>
        <w:ind w:left="603"/>
        <w:rPr>
          <w:rFonts w:ascii="宋体" w:hAnsi="宋体" w:eastAsia="宋体" w:cs="宋体"/>
          <w:sz w:val="24"/>
          <w:szCs w:val="24"/>
        </w:rPr>
      </w:pPr>
      <w:r>
        <w:rPr>
          <w:rFonts w:ascii="宋体" w:hAnsi="宋体" w:eastAsia="宋体" w:cs="宋体"/>
          <w:spacing w:val="2"/>
          <w:sz w:val="24"/>
          <w:szCs w:val="24"/>
        </w:rPr>
        <w:t>本项目区域总体分为养殖区、办公生活区及有机肥发酵车间。养殖区位于项目</w:t>
      </w:r>
    </w:p>
    <w:p w14:paraId="724E7D8A">
      <w:pPr>
        <w:spacing w:line="219" w:lineRule="auto"/>
        <w:rPr>
          <w:rFonts w:ascii="宋体" w:hAnsi="宋体" w:eastAsia="宋体" w:cs="宋体"/>
          <w:sz w:val="24"/>
          <w:szCs w:val="24"/>
        </w:rPr>
        <w:sectPr>
          <w:footerReference r:id="rId20" w:type="default"/>
          <w:pgSz w:w="11906" w:h="16839"/>
          <w:pgMar w:top="1431" w:right="1475" w:bottom="1485" w:left="1475" w:header="0" w:footer="1249" w:gutter="0"/>
          <w:cols w:space="720" w:num="1"/>
        </w:sectPr>
      </w:pPr>
    </w:p>
    <w:p w14:paraId="724485C2">
      <w:pPr>
        <w:spacing w:before="111" w:line="367" w:lineRule="auto"/>
        <w:ind w:firstLine="18"/>
        <w:rPr>
          <w:rFonts w:ascii="宋体" w:hAnsi="宋体" w:eastAsia="宋体" w:cs="宋体"/>
          <w:sz w:val="24"/>
          <w:szCs w:val="24"/>
        </w:rPr>
      </w:pPr>
      <w:r>
        <w:rPr>
          <w:rFonts w:ascii="宋体" w:hAnsi="宋体" w:eastAsia="宋体" w:cs="宋体"/>
          <w:spacing w:val="-3"/>
          <w:sz w:val="24"/>
          <w:szCs w:val="24"/>
        </w:rPr>
        <w:t>的中间，有机肥发酵车间位于养殖区的东北面，办公生活区域位于养</w:t>
      </w:r>
      <w:r>
        <w:rPr>
          <w:rFonts w:ascii="宋体" w:hAnsi="宋体" w:eastAsia="宋体" w:cs="宋体"/>
          <w:spacing w:val="-4"/>
          <w:sz w:val="24"/>
          <w:szCs w:val="24"/>
        </w:rPr>
        <w:t>殖区域西南角，</w:t>
      </w:r>
      <w:r>
        <w:rPr>
          <w:rFonts w:ascii="宋体" w:hAnsi="宋体" w:eastAsia="宋体" w:cs="宋体"/>
          <w:sz w:val="24"/>
          <w:szCs w:val="24"/>
        </w:rPr>
        <w:t xml:space="preserve"> </w:t>
      </w:r>
      <w:r>
        <w:rPr>
          <w:rFonts w:ascii="宋体" w:hAnsi="宋体" w:eastAsia="宋体" w:cs="宋体"/>
          <w:spacing w:val="-2"/>
          <w:sz w:val="24"/>
          <w:szCs w:val="24"/>
        </w:rPr>
        <w:t>其余区域为绿化区域。项目具体平面布置图见图</w:t>
      </w:r>
      <w:r>
        <w:rPr>
          <w:rFonts w:ascii="宋体" w:hAnsi="宋体" w:eastAsia="宋体" w:cs="宋体"/>
          <w:spacing w:val="-19"/>
          <w:sz w:val="24"/>
          <w:szCs w:val="24"/>
        </w:rPr>
        <w:t xml:space="preserve"> </w:t>
      </w:r>
      <w:r>
        <w:rPr>
          <w:rFonts w:ascii="Times New Roman" w:hAnsi="Times New Roman" w:eastAsia="Times New Roman" w:cs="Times New Roman"/>
          <w:spacing w:val="-2"/>
          <w:sz w:val="24"/>
          <w:szCs w:val="24"/>
        </w:rPr>
        <w:t>1.4-3</w:t>
      </w:r>
      <w:r>
        <w:rPr>
          <w:rFonts w:ascii="宋体" w:hAnsi="宋体" w:eastAsia="宋体" w:cs="宋体"/>
          <w:spacing w:val="-2"/>
          <w:sz w:val="24"/>
          <w:szCs w:val="24"/>
        </w:rPr>
        <w:t>。</w:t>
      </w:r>
    </w:p>
    <w:p w14:paraId="4B450BFB">
      <w:pPr>
        <w:pStyle w:val="2"/>
        <w:spacing w:line="7634" w:lineRule="exact"/>
        <w:ind w:firstLine="289"/>
      </w:pPr>
      <w:r>
        <w:rPr>
          <w:position w:val="-152"/>
        </w:rPr>
        <w:pict>
          <v:group id="_x0000_s1027" o:spid="_x0000_s1027" o:spt="203" style="height:381.75pt;width:405.75pt;" coordsize="8115,7635">
            <o:lock v:ext="edit"/>
            <v:shape id="_x0000_s1028" o:spid="_x0000_s1028" o:spt="75" type="#_x0000_t75" style="position:absolute;left:30;top:30;height:7575;width:8055;" filled="f" stroked="f" coordsize="21600,21600">
              <v:path/>
              <v:fill on="f" focussize="0,0"/>
              <v:stroke on="f"/>
              <v:imagedata r:id="rId198" o:title=""/>
              <o:lock v:ext="edit" aspectratio="t"/>
            </v:shape>
            <v:shape id="_x0000_s1029" o:spid="_x0000_s1029" o:spt="202" type="#_x0000_t202" style="position:absolute;left:-20;top:-20;height:7675;width:8155;" filled="f" stroked="f" coordsize="21600,21600">
              <v:path/>
              <v:fill on="f" focussize="0,0"/>
              <v:stroke on="f"/>
              <v:imagedata o:title=""/>
              <o:lock v:ext="edit" aspectratio="f"/>
              <v:textbox inset="0mm,0mm,0mm,0mm">
                <w:txbxContent>
                  <w:p w14:paraId="0CC600C5">
                    <w:pPr>
                      <w:spacing w:line="20" w:lineRule="exact"/>
                    </w:pPr>
                  </w:p>
                  <w:tbl>
                    <w:tblPr>
                      <w:tblStyle w:val="5"/>
                      <w:tblW w:w="8104"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8104"/>
                    </w:tblGrid>
                    <w:tr w14:paraId="60402E3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7614" w:hRule="atLeast"/>
                      </w:trPr>
                      <w:tc>
                        <w:tcPr>
                          <w:tcW w:w="8104" w:type="dxa"/>
                          <w:vAlign w:val="top"/>
                        </w:tcPr>
                        <w:p w14:paraId="36B5E92F">
                          <w:pPr>
                            <w:rPr>
                              <w:rFonts w:ascii="Arial"/>
                              <w:sz w:val="21"/>
                            </w:rPr>
                          </w:pPr>
                        </w:p>
                      </w:tc>
                    </w:tr>
                  </w:tbl>
                  <w:p w14:paraId="2C1BEA00">
                    <w:pPr>
                      <w:rPr>
                        <w:rFonts w:ascii="Arial"/>
                        <w:sz w:val="21"/>
                      </w:rPr>
                    </w:pPr>
                  </w:p>
                </w:txbxContent>
              </v:textbox>
            </v:shape>
            <w10:wrap type="none"/>
            <w10:anchorlock/>
          </v:group>
        </w:pict>
      </w:r>
    </w:p>
    <w:p w14:paraId="69852E8F">
      <w:pPr>
        <w:spacing w:before="125" w:line="219" w:lineRule="auto"/>
        <w:ind w:left="2867"/>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36"/>
          <w:sz w:val="24"/>
          <w:szCs w:val="24"/>
        </w:rPr>
        <w:t xml:space="preserve"> </w:t>
      </w:r>
      <w:r>
        <w:rPr>
          <w:rFonts w:ascii="Times New Roman" w:hAnsi="Times New Roman" w:eastAsia="Times New Roman" w:cs="Times New Roman"/>
          <w:b/>
          <w:bCs/>
          <w:spacing w:val="-3"/>
          <w:sz w:val="24"/>
          <w:szCs w:val="24"/>
        </w:rPr>
        <w:t xml:space="preserve">1.4-3    </w:t>
      </w:r>
      <w:r>
        <w:rPr>
          <w:rFonts w:ascii="宋体" w:hAnsi="宋体" w:eastAsia="宋体" w:cs="宋体"/>
          <w:b/>
          <w:bCs/>
          <w:spacing w:val="-3"/>
          <w:sz w:val="24"/>
          <w:szCs w:val="24"/>
        </w:rPr>
        <w:t>项目平面布置图（</w:t>
      </w:r>
      <w:r>
        <w:rPr>
          <w:rFonts w:ascii="Times New Roman" w:hAnsi="Times New Roman" w:eastAsia="Times New Roman" w:cs="Times New Roman"/>
          <w:b/>
          <w:bCs/>
          <w:spacing w:val="-3"/>
          <w:sz w:val="24"/>
          <w:szCs w:val="24"/>
        </w:rPr>
        <w:t>1:1800</w:t>
      </w:r>
      <w:r>
        <w:rPr>
          <w:rFonts w:ascii="宋体" w:hAnsi="宋体" w:eastAsia="宋体" w:cs="宋体"/>
          <w:b/>
          <w:bCs/>
          <w:spacing w:val="-3"/>
          <w:sz w:val="24"/>
          <w:szCs w:val="24"/>
        </w:rPr>
        <w:t>）</w:t>
      </w:r>
    </w:p>
    <w:p w14:paraId="22B0F771">
      <w:pPr>
        <w:spacing w:before="179" w:line="360" w:lineRule="auto"/>
        <w:ind w:left="3" w:firstLine="476"/>
        <w:rPr>
          <w:rFonts w:ascii="宋体" w:hAnsi="宋体" w:eastAsia="宋体" w:cs="宋体"/>
          <w:sz w:val="24"/>
          <w:szCs w:val="24"/>
        </w:rPr>
      </w:pPr>
      <w:r>
        <w:rPr>
          <w:rFonts w:ascii="宋体" w:hAnsi="宋体" w:eastAsia="宋体" w:cs="宋体"/>
          <w:spacing w:val="-3"/>
          <w:sz w:val="24"/>
          <w:szCs w:val="24"/>
        </w:rPr>
        <w:t>根据本项目平面布置情况，本项目生产单元布置合理，整个厂区功能分区明确，</w:t>
      </w:r>
      <w:r>
        <w:rPr>
          <w:rFonts w:ascii="宋体" w:hAnsi="宋体" w:eastAsia="宋体" w:cs="宋体"/>
          <w:spacing w:val="6"/>
          <w:sz w:val="24"/>
          <w:szCs w:val="24"/>
        </w:rPr>
        <w:t xml:space="preserve"> </w:t>
      </w:r>
      <w:r>
        <w:rPr>
          <w:rFonts w:ascii="宋体" w:hAnsi="宋体" w:eastAsia="宋体" w:cs="宋体"/>
          <w:spacing w:val="-2"/>
          <w:sz w:val="24"/>
          <w:szCs w:val="24"/>
        </w:rPr>
        <w:t>项目平面布置合理性如下：</w:t>
      </w:r>
    </w:p>
    <w:p w14:paraId="35DA3C85">
      <w:pPr>
        <w:spacing w:before="52" w:line="359" w:lineRule="exact"/>
        <w:ind w:left="498"/>
        <w:rPr>
          <w:rFonts w:ascii="宋体" w:hAnsi="宋体" w:eastAsia="宋体" w:cs="宋体"/>
          <w:sz w:val="24"/>
          <w:szCs w:val="24"/>
        </w:rPr>
      </w:pPr>
      <w:r>
        <w:rPr>
          <w:rFonts w:ascii="Times New Roman" w:hAnsi="Times New Roman" w:eastAsia="Times New Roman" w:cs="Times New Roman"/>
          <w:spacing w:val="-7"/>
          <w:position w:val="2"/>
          <w:sz w:val="24"/>
          <w:szCs w:val="24"/>
        </w:rPr>
        <w:t>1</w:t>
      </w:r>
      <w:r>
        <w:rPr>
          <w:rFonts w:ascii="Times New Roman" w:hAnsi="Times New Roman" w:eastAsia="Times New Roman" w:cs="Times New Roman"/>
          <w:spacing w:val="-27"/>
          <w:position w:val="2"/>
          <w:sz w:val="24"/>
          <w:szCs w:val="24"/>
        </w:rPr>
        <w:t xml:space="preserve"> </w:t>
      </w:r>
      <w:r>
        <w:rPr>
          <w:rFonts w:ascii="宋体" w:hAnsi="宋体" w:eastAsia="宋体" w:cs="宋体"/>
          <w:spacing w:val="-7"/>
          <w:position w:val="2"/>
          <w:sz w:val="24"/>
          <w:szCs w:val="24"/>
        </w:rPr>
        <w:t>、内环境角度分析</w:t>
      </w:r>
    </w:p>
    <w:p w14:paraId="222ACE06">
      <w:pPr>
        <w:spacing w:before="168" w:line="370" w:lineRule="auto"/>
        <w:ind w:right="63" w:firstLine="482"/>
        <w:rPr>
          <w:rFonts w:ascii="宋体" w:hAnsi="宋体" w:eastAsia="宋体" w:cs="宋体"/>
          <w:sz w:val="24"/>
          <w:szCs w:val="24"/>
        </w:rPr>
      </w:pPr>
      <w:r>
        <w:rPr>
          <w:rFonts w:ascii="宋体" w:hAnsi="宋体" w:eastAsia="宋体" w:cs="宋体"/>
          <w:spacing w:val="2"/>
          <w:sz w:val="24"/>
          <w:szCs w:val="24"/>
        </w:rPr>
        <w:t>从本项目厂区的平面布局来看，办公生活区位于养殖区、有机肥发酵区的西南</w:t>
      </w:r>
      <w:r>
        <w:rPr>
          <w:rFonts w:ascii="宋体" w:hAnsi="宋体" w:eastAsia="宋体" w:cs="宋体"/>
          <w:spacing w:val="7"/>
          <w:sz w:val="24"/>
          <w:szCs w:val="24"/>
        </w:rPr>
        <w:t xml:space="preserve"> </w:t>
      </w:r>
      <w:r>
        <w:rPr>
          <w:rFonts w:ascii="宋体" w:hAnsi="宋体" w:eastAsia="宋体" w:cs="宋体"/>
          <w:spacing w:val="2"/>
          <w:sz w:val="24"/>
          <w:szCs w:val="24"/>
        </w:rPr>
        <w:t>面。养殖区与办公生活区之间由绿化带分隔开来，保证了一定的缓冲距离，进一步</w:t>
      </w:r>
      <w:r>
        <w:rPr>
          <w:rFonts w:ascii="宋体" w:hAnsi="宋体" w:eastAsia="宋体" w:cs="宋体"/>
          <w:spacing w:val="6"/>
          <w:sz w:val="24"/>
          <w:szCs w:val="24"/>
        </w:rPr>
        <w:t xml:space="preserve"> </w:t>
      </w:r>
      <w:r>
        <w:rPr>
          <w:rFonts w:ascii="宋体" w:hAnsi="宋体" w:eastAsia="宋体" w:cs="宋体"/>
          <w:spacing w:val="2"/>
          <w:sz w:val="24"/>
          <w:szCs w:val="24"/>
        </w:rPr>
        <w:t>减轻了养殖过程中噪声、臭气等对办公人员的健康危害。同时，将环保设施有机肥</w:t>
      </w:r>
      <w:r>
        <w:rPr>
          <w:rFonts w:ascii="宋体" w:hAnsi="宋体" w:eastAsia="宋体" w:cs="宋体"/>
          <w:spacing w:val="6"/>
          <w:sz w:val="24"/>
          <w:szCs w:val="24"/>
        </w:rPr>
        <w:t xml:space="preserve"> </w:t>
      </w:r>
      <w:r>
        <w:rPr>
          <w:rFonts w:ascii="宋体" w:hAnsi="宋体" w:eastAsia="宋体" w:cs="宋体"/>
          <w:spacing w:val="2"/>
          <w:sz w:val="24"/>
          <w:szCs w:val="24"/>
        </w:rPr>
        <w:t>生产间、应急池等布置紧挨养殖区，有利于生产原料、产品的运输，也减少了恶臭</w:t>
      </w:r>
      <w:r>
        <w:rPr>
          <w:rFonts w:ascii="宋体" w:hAnsi="宋体" w:eastAsia="宋体" w:cs="宋体"/>
          <w:spacing w:val="3"/>
          <w:sz w:val="24"/>
          <w:szCs w:val="24"/>
        </w:rPr>
        <w:t xml:space="preserve"> </w:t>
      </w:r>
      <w:r>
        <w:rPr>
          <w:rFonts w:ascii="宋体" w:hAnsi="宋体" w:eastAsia="宋体" w:cs="宋体"/>
          <w:spacing w:val="-1"/>
          <w:sz w:val="24"/>
          <w:szCs w:val="24"/>
        </w:rPr>
        <w:t>气体的影响范围。项目总体布局是基本合理的。</w:t>
      </w:r>
    </w:p>
    <w:p w14:paraId="782FF555">
      <w:pPr>
        <w:spacing w:line="360" w:lineRule="exact"/>
        <w:ind w:left="475"/>
        <w:rPr>
          <w:rFonts w:ascii="宋体" w:hAnsi="宋体" w:eastAsia="宋体" w:cs="宋体"/>
          <w:sz w:val="24"/>
          <w:szCs w:val="24"/>
        </w:rPr>
      </w:pPr>
      <w:r>
        <w:rPr>
          <w:rFonts w:ascii="Times New Roman" w:hAnsi="Times New Roman" w:eastAsia="Times New Roman" w:cs="Times New Roman"/>
          <w:spacing w:val="-2"/>
          <w:position w:val="2"/>
          <w:sz w:val="24"/>
          <w:szCs w:val="24"/>
        </w:rPr>
        <w:t>2</w:t>
      </w:r>
      <w:r>
        <w:rPr>
          <w:rFonts w:ascii="Times New Roman" w:hAnsi="Times New Roman" w:eastAsia="Times New Roman" w:cs="Times New Roman"/>
          <w:spacing w:val="-34"/>
          <w:position w:val="2"/>
          <w:sz w:val="24"/>
          <w:szCs w:val="24"/>
        </w:rPr>
        <w:t xml:space="preserve"> </w:t>
      </w:r>
      <w:r>
        <w:rPr>
          <w:rFonts w:ascii="宋体" w:hAnsi="宋体" w:eastAsia="宋体" w:cs="宋体"/>
          <w:spacing w:val="-2"/>
          <w:position w:val="2"/>
          <w:sz w:val="24"/>
          <w:szCs w:val="24"/>
        </w:rPr>
        <w:t>、外环境对本项目的影响角度分析</w:t>
      </w:r>
    </w:p>
    <w:p w14:paraId="23F368B4">
      <w:pPr>
        <w:spacing w:line="360" w:lineRule="exact"/>
        <w:rPr>
          <w:rFonts w:ascii="宋体" w:hAnsi="宋体" w:eastAsia="宋体" w:cs="宋体"/>
          <w:sz w:val="24"/>
          <w:szCs w:val="24"/>
        </w:rPr>
        <w:sectPr>
          <w:footerReference r:id="rId21" w:type="default"/>
          <w:pgSz w:w="11906" w:h="16839"/>
          <w:pgMar w:top="1431" w:right="1525" w:bottom="1485" w:left="1598" w:header="0" w:footer="1249" w:gutter="0"/>
          <w:cols w:space="720" w:num="1"/>
        </w:sectPr>
      </w:pPr>
    </w:p>
    <w:p w14:paraId="443263DC">
      <w:pPr>
        <w:spacing w:before="74" w:line="367" w:lineRule="auto"/>
        <w:ind w:left="123" w:right="110" w:firstLine="479"/>
        <w:rPr>
          <w:rFonts w:ascii="宋体" w:hAnsi="宋体" w:eastAsia="宋体" w:cs="宋体"/>
          <w:sz w:val="24"/>
          <w:szCs w:val="24"/>
        </w:rPr>
      </w:pPr>
      <w:r>
        <w:rPr>
          <w:rFonts w:ascii="宋体" w:hAnsi="宋体" w:eastAsia="宋体" w:cs="宋体"/>
          <w:spacing w:val="-4"/>
          <w:sz w:val="24"/>
          <w:szCs w:val="24"/>
        </w:rPr>
        <w:t>根据现场调查，项目所在地周围环境质量状况良好，养殖区周围</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500m</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范围内没</w:t>
      </w:r>
      <w:r>
        <w:rPr>
          <w:rFonts w:ascii="宋体" w:hAnsi="宋体" w:eastAsia="宋体" w:cs="宋体"/>
          <w:sz w:val="24"/>
          <w:szCs w:val="24"/>
        </w:rPr>
        <w:t xml:space="preserve"> </w:t>
      </w:r>
      <w:r>
        <w:rPr>
          <w:rFonts w:ascii="宋体" w:hAnsi="宋体" w:eastAsia="宋体" w:cs="宋体"/>
          <w:spacing w:val="-1"/>
          <w:sz w:val="24"/>
          <w:szCs w:val="24"/>
        </w:rPr>
        <w:t>有其他工业污染源，能够保障项目生产所必须的防疫环境。</w:t>
      </w:r>
    </w:p>
    <w:p w14:paraId="6EEA9540">
      <w:pPr>
        <w:spacing w:before="23" w:line="359" w:lineRule="exact"/>
        <w:ind w:left="603"/>
        <w:rPr>
          <w:rFonts w:ascii="宋体" w:hAnsi="宋体" w:eastAsia="宋体" w:cs="宋体"/>
          <w:sz w:val="24"/>
          <w:szCs w:val="24"/>
        </w:rPr>
      </w:pPr>
      <w:r>
        <w:rPr>
          <w:rFonts w:ascii="Times New Roman" w:hAnsi="Times New Roman" w:eastAsia="Times New Roman" w:cs="Times New Roman"/>
          <w:spacing w:val="-3"/>
          <w:position w:val="2"/>
          <w:sz w:val="24"/>
          <w:szCs w:val="24"/>
        </w:rPr>
        <w:t>3</w:t>
      </w:r>
      <w:r>
        <w:rPr>
          <w:rFonts w:ascii="Times New Roman" w:hAnsi="Times New Roman" w:eastAsia="Times New Roman" w:cs="Times New Roman"/>
          <w:spacing w:val="-20"/>
          <w:position w:val="2"/>
          <w:sz w:val="24"/>
          <w:szCs w:val="24"/>
        </w:rPr>
        <w:t xml:space="preserve"> </w:t>
      </w:r>
      <w:r>
        <w:rPr>
          <w:rFonts w:ascii="宋体" w:hAnsi="宋体" w:eastAsia="宋体" w:cs="宋体"/>
          <w:spacing w:val="-3"/>
          <w:position w:val="2"/>
          <w:sz w:val="24"/>
          <w:szCs w:val="24"/>
        </w:rPr>
        <w:t>、从周边环境敏感目标影响角度分析</w:t>
      </w:r>
    </w:p>
    <w:p w14:paraId="5C7442F9">
      <w:pPr>
        <w:spacing w:before="168" w:line="361" w:lineRule="auto"/>
        <w:ind w:left="123" w:right="110" w:firstLine="480"/>
        <w:rPr>
          <w:rFonts w:ascii="宋体" w:hAnsi="宋体" w:eastAsia="宋体" w:cs="宋体"/>
          <w:sz w:val="24"/>
          <w:szCs w:val="24"/>
        </w:rPr>
      </w:pPr>
      <w:r>
        <w:rPr>
          <w:rFonts w:ascii="宋体" w:hAnsi="宋体" w:eastAsia="宋体" w:cs="宋体"/>
          <w:spacing w:val="2"/>
          <w:sz w:val="24"/>
          <w:szCs w:val="24"/>
        </w:rPr>
        <w:t>本项目对外界环境的影响主要为恶臭气体。根据大气环境影响预测，本项目污</w:t>
      </w:r>
      <w:r>
        <w:rPr>
          <w:rFonts w:ascii="宋体" w:hAnsi="宋体" w:eastAsia="宋体" w:cs="宋体"/>
          <w:spacing w:val="9"/>
          <w:sz w:val="24"/>
          <w:szCs w:val="24"/>
        </w:rPr>
        <w:t xml:space="preserve"> </w:t>
      </w:r>
      <w:r>
        <w:rPr>
          <w:rFonts w:ascii="宋体" w:hAnsi="宋体" w:eastAsia="宋体" w:cs="宋体"/>
          <w:spacing w:val="-4"/>
          <w:sz w:val="24"/>
          <w:szCs w:val="24"/>
        </w:rPr>
        <w:t>染物最大落地浓度在</w:t>
      </w:r>
      <w:r>
        <w:rPr>
          <w:rFonts w:ascii="宋体" w:hAnsi="宋体" w:eastAsia="宋体" w:cs="宋体"/>
          <w:spacing w:val="-18"/>
          <w:sz w:val="24"/>
          <w:szCs w:val="24"/>
        </w:rPr>
        <w:t xml:space="preserve"> </w:t>
      </w:r>
      <w:r>
        <w:rPr>
          <w:rFonts w:ascii="Times New Roman" w:hAnsi="Times New Roman" w:eastAsia="Times New Roman" w:cs="Times New Roman"/>
          <w:spacing w:val="-4"/>
          <w:sz w:val="24"/>
          <w:szCs w:val="24"/>
        </w:rPr>
        <w:t>100m</w:t>
      </w:r>
      <w:r>
        <w:rPr>
          <w:rFonts w:ascii="Times New Roman" w:hAnsi="Times New Roman" w:eastAsia="Times New Roman" w:cs="Times New Roman"/>
          <w:spacing w:val="16"/>
          <w:w w:val="101"/>
          <w:sz w:val="24"/>
          <w:szCs w:val="24"/>
        </w:rPr>
        <w:t xml:space="preserve"> </w:t>
      </w:r>
      <w:r>
        <w:rPr>
          <w:rFonts w:ascii="宋体" w:hAnsi="宋体" w:eastAsia="宋体" w:cs="宋体"/>
          <w:spacing w:val="-4"/>
          <w:sz w:val="24"/>
          <w:szCs w:val="24"/>
        </w:rPr>
        <w:t>范围内，本项目区域下风向</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100m</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范围内没有环境敏感目</w:t>
      </w:r>
      <w:r>
        <w:rPr>
          <w:rFonts w:ascii="宋体" w:hAnsi="宋体" w:eastAsia="宋体" w:cs="宋体"/>
          <w:sz w:val="24"/>
          <w:szCs w:val="24"/>
        </w:rPr>
        <w:t xml:space="preserve"> </w:t>
      </w:r>
      <w:r>
        <w:rPr>
          <w:rFonts w:ascii="宋体" w:hAnsi="宋体" w:eastAsia="宋体" w:cs="宋体"/>
          <w:spacing w:val="-6"/>
          <w:sz w:val="24"/>
          <w:szCs w:val="24"/>
        </w:rPr>
        <w:t>标。</w:t>
      </w:r>
    </w:p>
    <w:p w14:paraId="5731BF74">
      <w:pPr>
        <w:spacing w:before="20" w:line="368" w:lineRule="exact"/>
        <w:ind w:left="597"/>
        <w:rPr>
          <w:rFonts w:ascii="宋体" w:hAnsi="宋体" w:eastAsia="宋体" w:cs="宋体"/>
          <w:sz w:val="24"/>
          <w:szCs w:val="24"/>
        </w:rPr>
      </w:pPr>
      <w:r>
        <w:rPr>
          <w:rFonts w:ascii="Times New Roman" w:hAnsi="Times New Roman" w:eastAsia="Times New Roman" w:cs="Times New Roman"/>
          <w:spacing w:val="-8"/>
          <w:position w:val="2"/>
          <w:sz w:val="24"/>
          <w:szCs w:val="24"/>
        </w:rPr>
        <w:t>4</w:t>
      </w:r>
      <w:r>
        <w:rPr>
          <w:rFonts w:ascii="Times New Roman" w:hAnsi="Times New Roman" w:eastAsia="Times New Roman" w:cs="Times New Roman"/>
          <w:spacing w:val="-33"/>
          <w:position w:val="2"/>
          <w:sz w:val="24"/>
          <w:szCs w:val="24"/>
        </w:rPr>
        <w:t xml:space="preserve"> </w:t>
      </w:r>
      <w:r>
        <w:rPr>
          <w:rFonts w:ascii="宋体" w:hAnsi="宋体" w:eastAsia="宋体" w:cs="宋体"/>
          <w:spacing w:val="-8"/>
          <w:position w:val="2"/>
          <w:sz w:val="24"/>
          <w:szCs w:val="24"/>
        </w:rPr>
        <w:t>、汇总</w:t>
      </w:r>
    </w:p>
    <w:p w14:paraId="6AB5F559">
      <w:pPr>
        <w:spacing w:before="159" w:line="219" w:lineRule="auto"/>
        <w:ind w:left="606"/>
        <w:rPr>
          <w:rFonts w:ascii="宋体" w:hAnsi="宋体" w:eastAsia="宋体" w:cs="宋体"/>
          <w:sz w:val="24"/>
          <w:szCs w:val="24"/>
        </w:rPr>
      </w:pPr>
      <w:r>
        <w:rPr>
          <w:rFonts w:ascii="宋体" w:hAnsi="宋体" w:eastAsia="宋体" w:cs="宋体"/>
          <w:spacing w:val="-1"/>
          <w:sz w:val="24"/>
          <w:szCs w:val="24"/>
        </w:rPr>
        <w:t>项目平面布置合理性分析见下表。</w:t>
      </w:r>
    </w:p>
    <w:p w14:paraId="3761CC4F">
      <w:pPr>
        <w:spacing w:before="217" w:line="228" w:lineRule="auto"/>
        <w:ind w:left="219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5"/>
          <w:sz w:val="20"/>
          <w:szCs w:val="20"/>
        </w:rPr>
        <w:t xml:space="preserve"> </w:t>
      </w:r>
      <w:r>
        <w:rPr>
          <w:rFonts w:ascii="Times New Roman" w:hAnsi="Times New Roman" w:eastAsia="Times New Roman" w:cs="Times New Roman"/>
          <w:b/>
          <w:bCs/>
          <w:spacing w:val="6"/>
          <w:sz w:val="20"/>
          <w:szCs w:val="20"/>
        </w:rPr>
        <w:t xml:space="preserve">1.4-3 </w:t>
      </w:r>
      <w:r>
        <w:rPr>
          <w:rFonts w:ascii="宋体" w:hAnsi="宋体" w:eastAsia="宋体" w:cs="宋体"/>
          <w:b/>
          <w:bCs/>
          <w:spacing w:val="6"/>
          <w:sz w:val="20"/>
          <w:szCs w:val="20"/>
        </w:rPr>
        <w:t>平面布置与（</w:t>
      </w:r>
      <w:r>
        <w:rPr>
          <w:rFonts w:ascii="Times New Roman" w:hAnsi="Times New Roman" w:eastAsia="Times New Roman" w:cs="Times New Roman"/>
          <w:b/>
          <w:bCs/>
          <w:sz w:val="20"/>
          <w:szCs w:val="20"/>
        </w:rPr>
        <w:t>HJ</w:t>
      </w:r>
      <w:r>
        <w:rPr>
          <w:rFonts w:ascii="Times New Roman" w:hAnsi="Times New Roman" w:eastAsia="Times New Roman" w:cs="Times New Roman"/>
          <w:b/>
          <w:bCs/>
          <w:spacing w:val="6"/>
          <w:sz w:val="20"/>
          <w:szCs w:val="20"/>
        </w:rPr>
        <w:t>/T81-2001</w:t>
      </w:r>
      <w:r>
        <w:rPr>
          <w:rFonts w:ascii="宋体" w:hAnsi="宋体" w:eastAsia="宋体" w:cs="宋体"/>
          <w:b/>
          <w:bCs/>
          <w:spacing w:val="6"/>
          <w:sz w:val="20"/>
          <w:szCs w:val="20"/>
        </w:rPr>
        <w:t>）要求对比分析结果</w:t>
      </w:r>
    </w:p>
    <w:p w14:paraId="533248E5">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4422"/>
        <w:gridCol w:w="2806"/>
        <w:gridCol w:w="1044"/>
      </w:tblGrid>
      <w:tr w14:paraId="00F01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678" w:type="dxa"/>
            <w:vAlign w:val="top"/>
          </w:tcPr>
          <w:p w14:paraId="6A297506">
            <w:pPr>
              <w:pStyle w:val="6"/>
              <w:spacing w:before="225" w:line="230" w:lineRule="auto"/>
              <w:ind w:left="135"/>
            </w:pPr>
            <w:r>
              <w:rPr>
                <w:spacing w:val="5"/>
              </w:rPr>
              <w:t>序号</w:t>
            </w:r>
          </w:p>
        </w:tc>
        <w:tc>
          <w:tcPr>
            <w:tcW w:w="4422" w:type="dxa"/>
            <w:vAlign w:val="top"/>
          </w:tcPr>
          <w:p w14:paraId="4956C17D">
            <w:pPr>
              <w:pStyle w:val="6"/>
              <w:spacing w:before="225" w:line="230" w:lineRule="auto"/>
              <w:ind w:left="1796"/>
            </w:pPr>
            <w:r>
              <w:rPr>
                <w:spacing w:val="7"/>
              </w:rPr>
              <w:t>规范要求</w:t>
            </w:r>
          </w:p>
        </w:tc>
        <w:tc>
          <w:tcPr>
            <w:tcW w:w="2806" w:type="dxa"/>
            <w:vAlign w:val="top"/>
          </w:tcPr>
          <w:p w14:paraId="58ECE309">
            <w:pPr>
              <w:pStyle w:val="6"/>
              <w:spacing w:before="225" w:line="228" w:lineRule="auto"/>
              <w:ind w:left="989"/>
            </w:pPr>
            <w:r>
              <w:rPr>
                <w:spacing w:val="7"/>
              </w:rPr>
              <w:t>选址条件</w:t>
            </w:r>
          </w:p>
        </w:tc>
        <w:tc>
          <w:tcPr>
            <w:tcW w:w="1044" w:type="dxa"/>
            <w:vAlign w:val="top"/>
          </w:tcPr>
          <w:p w14:paraId="13A61348">
            <w:pPr>
              <w:pStyle w:val="6"/>
              <w:spacing w:before="61" w:line="272" w:lineRule="auto"/>
              <w:ind w:left="320" w:right="205" w:hanging="106"/>
            </w:pPr>
            <w:r>
              <w:rPr>
                <w:spacing w:val="6"/>
              </w:rPr>
              <w:t>符合性</w:t>
            </w:r>
            <w:r>
              <w:t xml:space="preserve"> </w:t>
            </w:r>
            <w:r>
              <w:rPr>
                <w:spacing w:val="3"/>
              </w:rPr>
              <w:t>分析</w:t>
            </w:r>
          </w:p>
        </w:tc>
      </w:tr>
      <w:tr w14:paraId="31BBA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678" w:type="dxa"/>
            <w:vAlign w:val="top"/>
          </w:tcPr>
          <w:p w14:paraId="1CB389DA">
            <w:pPr>
              <w:spacing w:line="457" w:lineRule="auto"/>
              <w:rPr>
                <w:rFonts w:ascii="Arial"/>
                <w:sz w:val="21"/>
              </w:rPr>
            </w:pPr>
          </w:p>
          <w:p w14:paraId="714DAE92">
            <w:pPr>
              <w:spacing w:before="57" w:line="274" w:lineRule="exact"/>
              <w:ind w:left="3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4422" w:type="dxa"/>
            <w:vAlign w:val="top"/>
          </w:tcPr>
          <w:p w14:paraId="2DAC091E">
            <w:pPr>
              <w:pStyle w:val="6"/>
              <w:spacing w:before="58" w:line="286" w:lineRule="auto"/>
              <w:ind w:left="111" w:right="36"/>
              <w:jc w:val="both"/>
            </w:pPr>
            <w:r>
              <w:rPr>
                <w:spacing w:val="3"/>
              </w:rPr>
              <w:t>新建、改建、扩建的畜禽养殖场应实现生产区、</w:t>
            </w:r>
            <w:r>
              <w:rPr>
                <w:spacing w:val="5"/>
              </w:rPr>
              <w:t xml:space="preserve"> </w:t>
            </w:r>
            <w:r>
              <w:rPr>
                <w:spacing w:val="9"/>
              </w:rPr>
              <w:t>生活管理区的隔离，粪便污水处理设施和禽畜</w:t>
            </w:r>
            <w:r>
              <w:rPr>
                <w:spacing w:val="16"/>
              </w:rPr>
              <w:t xml:space="preserve"> </w:t>
            </w:r>
            <w:r>
              <w:rPr>
                <w:spacing w:val="9"/>
              </w:rPr>
              <w:t>尸体焚烧炉应设在养殖场的生产区、生活管理</w:t>
            </w:r>
            <w:r>
              <w:rPr>
                <w:spacing w:val="16"/>
              </w:rPr>
              <w:t xml:space="preserve"> </w:t>
            </w:r>
            <w:r>
              <w:rPr>
                <w:spacing w:val="8"/>
              </w:rPr>
              <w:t>区的常年主导风向的下风向或侧风向处。</w:t>
            </w:r>
          </w:p>
        </w:tc>
        <w:tc>
          <w:tcPr>
            <w:tcW w:w="2806" w:type="dxa"/>
            <w:vAlign w:val="top"/>
          </w:tcPr>
          <w:p w14:paraId="05C40A5D">
            <w:pPr>
              <w:pStyle w:val="6"/>
              <w:spacing w:before="59" w:line="228" w:lineRule="auto"/>
              <w:ind w:left="153"/>
            </w:pPr>
            <w:r>
              <w:rPr>
                <w:spacing w:val="8"/>
              </w:rPr>
              <w:t>项目生产区、生活管理区分</w:t>
            </w:r>
          </w:p>
          <w:p w14:paraId="6E808519">
            <w:pPr>
              <w:pStyle w:val="6"/>
              <w:spacing w:before="79" w:line="228" w:lineRule="auto"/>
              <w:ind w:left="151"/>
            </w:pPr>
            <w:r>
              <w:rPr>
                <w:spacing w:val="9"/>
              </w:rPr>
              <w:t>开设置，污水处理位于生活</w:t>
            </w:r>
          </w:p>
          <w:p w14:paraId="712AD124">
            <w:pPr>
              <w:pStyle w:val="6"/>
              <w:spacing w:before="79" w:line="228" w:lineRule="auto"/>
              <w:ind w:left="154"/>
            </w:pPr>
            <w:r>
              <w:rPr>
                <w:spacing w:val="8"/>
              </w:rPr>
              <w:t>管理区的常年主导风向的侧</w:t>
            </w:r>
          </w:p>
          <w:p w14:paraId="767525B1">
            <w:pPr>
              <w:pStyle w:val="6"/>
              <w:spacing w:before="79" w:line="229" w:lineRule="auto"/>
              <w:ind w:left="991"/>
            </w:pPr>
            <w:r>
              <w:rPr>
                <w:spacing w:val="4"/>
              </w:rPr>
              <w:t>风向处。</w:t>
            </w:r>
          </w:p>
        </w:tc>
        <w:tc>
          <w:tcPr>
            <w:tcW w:w="1044" w:type="dxa"/>
            <w:vAlign w:val="top"/>
          </w:tcPr>
          <w:p w14:paraId="575E2741">
            <w:pPr>
              <w:rPr>
                <w:rFonts w:ascii="Arial"/>
                <w:sz w:val="21"/>
              </w:rPr>
            </w:pPr>
          </w:p>
          <w:p w14:paraId="6CED1FBB">
            <w:pPr>
              <w:rPr>
                <w:rFonts w:ascii="Arial"/>
                <w:sz w:val="21"/>
              </w:rPr>
            </w:pPr>
          </w:p>
          <w:p w14:paraId="242E7BF8">
            <w:pPr>
              <w:pStyle w:val="6"/>
              <w:spacing w:before="65" w:line="228" w:lineRule="auto"/>
              <w:ind w:left="319"/>
            </w:pPr>
            <w:r>
              <w:rPr>
                <w:spacing w:val="3"/>
              </w:rPr>
              <w:t>符合</w:t>
            </w:r>
          </w:p>
        </w:tc>
      </w:tr>
      <w:tr w14:paraId="0EF8C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trPr>
        <w:tc>
          <w:tcPr>
            <w:tcW w:w="678" w:type="dxa"/>
            <w:vAlign w:val="top"/>
          </w:tcPr>
          <w:p w14:paraId="68213C4F">
            <w:pPr>
              <w:spacing w:line="309" w:lineRule="auto"/>
              <w:rPr>
                <w:rFonts w:ascii="Arial"/>
                <w:sz w:val="21"/>
              </w:rPr>
            </w:pPr>
          </w:p>
          <w:p w14:paraId="1C40C6F6">
            <w:pPr>
              <w:spacing w:line="310" w:lineRule="auto"/>
              <w:rPr>
                <w:rFonts w:ascii="Arial"/>
                <w:sz w:val="21"/>
              </w:rPr>
            </w:pPr>
          </w:p>
          <w:p w14:paraId="3EEE8FE8">
            <w:pPr>
              <w:spacing w:before="57" w:line="274" w:lineRule="exact"/>
              <w:ind w:left="28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4422" w:type="dxa"/>
            <w:vAlign w:val="top"/>
          </w:tcPr>
          <w:p w14:paraId="6E791EF0">
            <w:pPr>
              <w:pStyle w:val="6"/>
              <w:spacing w:before="58" w:line="289" w:lineRule="auto"/>
              <w:ind w:left="109" w:right="107"/>
            </w:pPr>
            <w:r>
              <w:rPr>
                <w:spacing w:val="9"/>
              </w:rPr>
              <w:t>平面布置应以污水处理系统、固体粪便处理系</w:t>
            </w:r>
            <w:r>
              <w:rPr>
                <w:spacing w:val="18"/>
              </w:rPr>
              <w:t xml:space="preserve"> </w:t>
            </w:r>
            <w:r>
              <w:rPr>
                <w:spacing w:val="9"/>
              </w:rPr>
              <w:t>统、恶臭集中处理系统为主体，其他各项设施</w:t>
            </w:r>
            <w:r>
              <w:rPr>
                <w:spacing w:val="18"/>
              </w:rPr>
              <w:t xml:space="preserve"> </w:t>
            </w:r>
            <w:r>
              <w:rPr>
                <w:spacing w:val="9"/>
              </w:rPr>
              <w:t>应按粪污处理流程合理安排，确保相关设备充</w:t>
            </w:r>
            <w:r>
              <w:rPr>
                <w:spacing w:val="18"/>
              </w:rPr>
              <w:t xml:space="preserve"> </w:t>
            </w:r>
            <w:r>
              <w:rPr>
                <w:spacing w:val="9"/>
              </w:rPr>
              <w:t>分发挥功能，保证设施运行稳定、维修方便、</w:t>
            </w:r>
            <w:r>
              <w:rPr>
                <w:spacing w:val="18"/>
              </w:rPr>
              <w:t xml:space="preserve"> </w:t>
            </w:r>
            <w:r>
              <w:rPr>
                <w:spacing w:val="8"/>
              </w:rPr>
              <w:t>经济合理、安全卫生。</w:t>
            </w:r>
          </w:p>
        </w:tc>
        <w:tc>
          <w:tcPr>
            <w:tcW w:w="2806" w:type="dxa"/>
            <w:vAlign w:val="top"/>
          </w:tcPr>
          <w:p w14:paraId="547CFB9E">
            <w:pPr>
              <w:pStyle w:val="6"/>
              <w:spacing w:before="223" w:line="228" w:lineRule="auto"/>
              <w:ind w:left="151"/>
            </w:pPr>
            <w:r>
              <w:rPr>
                <w:spacing w:val="9"/>
              </w:rPr>
              <w:t>本项目污染治理工程以粪污</w:t>
            </w:r>
          </w:p>
          <w:p w14:paraId="6F6AB8C1">
            <w:pPr>
              <w:pStyle w:val="6"/>
              <w:spacing w:before="79" w:line="229" w:lineRule="auto"/>
              <w:ind w:left="154"/>
            </w:pPr>
            <w:r>
              <w:rPr>
                <w:spacing w:val="8"/>
              </w:rPr>
              <w:t>处理系统为主体，其他各项</w:t>
            </w:r>
          </w:p>
          <w:p w14:paraId="7BDF7B3D">
            <w:pPr>
              <w:pStyle w:val="6"/>
              <w:spacing w:before="76" w:line="228" w:lineRule="auto"/>
              <w:ind w:left="153"/>
            </w:pPr>
            <w:r>
              <w:rPr>
                <w:spacing w:val="8"/>
              </w:rPr>
              <w:t>设施按粪污处理流程合理安</w:t>
            </w:r>
          </w:p>
          <w:p w14:paraId="391FA188">
            <w:pPr>
              <w:pStyle w:val="6"/>
              <w:spacing w:before="78" w:line="231" w:lineRule="auto"/>
              <w:ind w:left="1199"/>
            </w:pPr>
            <w:r>
              <w:t>排。</w:t>
            </w:r>
          </w:p>
        </w:tc>
        <w:tc>
          <w:tcPr>
            <w:tcW w:w="1044" w:type="dxa"/>
            <w:vAlign w:val="top"/>
          </w:tcPr>
          <w:p w14:paraId="7FA8919E">
            <w:pPr>
              <w:spacing w:line="321" w:lineRule="auto"/>
              <w:rPr>
                <w:rFonts w:ascii="Arial"/>
                <w:sz w:val="21"/>
              </w:rPr>
            </w:pPr>
          </w:p>
          <w:p w14:paraId="64B6810F">
            <w:pPr>
              <w:spacing w:line="321" w:lineRule="auto"/>
              <w:rPr>
                <w:rFonts w:ascii="Arial"/>
                <w:sz w:val="21"/>
              </w:rPr>
            </w:pPr>
          </w:p>
          <w:p w14:paraId="67CA5D0E">
            <w:pPr>
              <w:pStyle w:val="6"/>
              <w:spacing w:before="65" w:line="228" w:lineRule="auto"/>
              <w:ind w:left="319"/>
            </w:pPr>
            <w:r>
              <w:rPr>
                <w:spacing w:val="3"/>
              </w:rPr>
              <w:t>符合</w:t>
            </w:r>
          </w:p>
        </w:tc>
      </w:tr>
      <w:tr w14:paraId="19B5A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678" w:type="dxa"/>
            <w:vAlign w:val="top"/>
          </w:tcPr>
          <w:p w14:paraId="2B16CD86">
            <w:pPr>
              <w:spacing w:line="459" w:lineRule="auto"/>
              <w:rPr>
                <w:rFonts w:ascii="Arial"/>
                <w:sz w:val="21"/>
              </w:rPr>
            </w:pPr>
          </w:p>
          <w:p w14:paraId="53E76DB7">
            <w:pPr>
              <w:spacing w:before="58"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4422" w:type="dxa"/>
            <w:vAlign w:val="top"/>
          </w:tcPr>
          <w:p w14:paraId="339AC2DC">
            <w:pPr>
              <w:pStyle w:val="6"/>
              <w:spacing w:before="62" w:line="285" w:lineRule="auto"/>
              <w:ind w:left="109" w:right="107" w:firstLine="14"/>
            </w:pPr>
            <w:r>
              <w:rPr>
                <w:spacing w:val="9"/>
              </w:rPr>
              <w:t>畜禽养殖业污染治理工程应与养殖场生产区、</w:t>
            </w:r>
            <w:r>
              <w:rPr>
                <w:spacing w:val="4"/>
              </w:rPr>
              <w:t xml:space="preserve"> </w:t>
            </w:r>
            <w:r>
              <w:rPr>
                <w:spacing w:val="9"/>
              </w:rPr>
              <w:t>居民区等建筑保持一定的卫生防护距离，设置</w:t>
            </w:r>
            <w:r>
              <w:rPr>
                <w:spacing w:val="18"/>
              </w:rPr>
              <w:t xml:space="preserve"> </w:t>
            </w:r>
            <w:r>
              <w:rPr>
                <w:spacing w:val="9"/>
              </w:rPr>
              <w:t>在畜禽养殖场的生产区、生活区主导风向的下</w:t>
            </w:r>
            <w:r>
              <w:rPr>
                <w:spacing w:val="18"/>
              </w:rPr>
              <w:t xml:space="preserve"> </w:t>
            </w:r>
            <w:r>
              <w:rPr>
                <w:spacing w:val="7"/>
              </w:rPr>
              <w:t>风向或侧风向处。</w:t>
            </w:r>
          </w:p>
        </w:tc>
        <w:tc>
          <w:tcPr>
            <w:tcW w:w="2806" w:type="dxa"/>
            <w:vAlign w:val="top"/>
          </w:tcPr>
          <w:p w14:paraId="3A5006A7">
            <w:pPr>
              <w:pStyle w:val="6"/>
              <w:spacing w:before="60" w:line="228" w:lineRule="auto"/>
              <w:ind w:left="151"/>
            </w:pPr>
            <w:r>
              <w:rPr>
                <w:spacing w:val="9"/>
              </w:rPr>
              <w:t>本项目污染治理工程与养殖</w:t>
            </w:r>
          </w:p>
          <w:p w14:paraId="0567435B">
            <w:pPr>
              <w:pStyle w:val="6"/>
              <w:spacing w:before="49" w:line="274" w:lineRule="exact"/>
              <w:ind w:left="120"/>
            </w:pPr>
            <w:r>
              <w:rPr>
                <w:spacing w:val="6"/>
                <w:position w:val="1"/>
              </w:rPr>
              <w:t>场生产区距离</w:t>
            </w:r>
            <w:r>
              <w:rPr>
                <w:rFonts w:ascii="Times New Roman" w:hAnsi="Times New Roman" w:eastAsia="Times New Roman" w:cs="Times New Roman"/>
                <w:spacing w:val="6"/>
                <w:position w:val="1"/>
              </w:rPr>
              <w:t>8m</w:t>
            </w:r>
            <w:r>
              <w:rPr>
                <w:rFonts w:ascii="Times New Roman" w:hAnsi="Times New Roman" w:eastAsia="Times New Roman" w:cs="Times New Roman"/>
                <w:spacing w:val="-17"/>
                <w:position w:val="1"/>
              </w:rPr>
              <w:t xml:space="preserve"> </w:t>
            </w:r>
            <w:r>
              <w:rPr>
                <w:spacing w:val="6"/>
                <w:position w:val="1"/>
              </w:rPr>
              <w:t>，生活区距</w:t>
            </w:r>
          </w:p>
          <w:p w14:paraId="096B9152">
            <w:pPr>
              <w:pStyle w:val="6"/>
              <w:spacing w:before="52" w:line="274" w:lineRule="exact"/>
              <w:ind w:left="127"/>
            </w:pPr>
            <w:r>
              <w:rPr>
                <w:spacing w:val="5"/>
                <w:position w:val="1"/>
              </w:rPr>
              <w:t>离</w:t>
            </w:r>
            <w:r>
              <w:rPr>
                <w:rFonts w:ascii="Times New Roman" w:hAnsi="Times New Roman" w:eastAsia="Times New Roman" w:cs="Times New Roman"/>
                <w:spacing w:val="5"/>
                <w:position w:val="1"/>
              </w:rPr>
              <w:t>115m</w:t>
            </w:r>
            <w:r>
              <w:rPr>
                <w:rFonts w:ascii="Times New Roman" w:hAnsi="Times New Roman" w:eastAsia="Times New Roman" w:cs="Times New Roman"/>
                <w:spacing w:val="-18"/>
                <w:position w:val="1"/>
              </w:rPr>
              <w:t xml:space="preserve"> </w:t>
            </w:r>
            <w:r>
              <w:rPr>
                <w:spacing w:val="5"/>
                <w:position w:val="1"/>
              </w:rPr>
              <w:t>，与周围最近下风向</w:t>
            </w:r>
          </w:p>
          <w:p w14:paraId="67A21ACD">
            <w:pPr>
              <w:pStyle w:val="6"/>
              <w:spacing w:before="52" w:line="274" w:lineRule="exact"/>
              <w:ind w:left="543"/>
            </w:pPr>
            <w:r>
              <w:rPr>
                <w:spacing w:val="6"/>
                <w:position w:val="1"/>
              </w:rPr>
              <w:t>居民区距离</w:t>
            </w:r>
            <w:r>
              <w:rPr>
                <w:rFonts w:ascii="Times New Roman" w:hAnsi="Times New Roman" w:eastAsia="Times New Roman" w:cs="Times New Roman"/>
                <w:spacing w:val="6"/>
                <w:position w:val="1"/>
              </w:rPr>
              <w:t>292m</w:t>
            </w:r>
            <w:r>
              <w:rPr>
                <w:spacing w:val="6"/>
                <w:position w:val="1"/>
              </w:rPr>
              <w:t>。</w:t>
            </w:r>
          </w:p>
        </w:tc>
        <w:tc>
          <w:tcPr>
            <w:tcW w:w="1044" w:type="dxa"/>
            <w:vAlign w:val="top"/>
          </w:tcPr>
          <w:p w14:paraId="5137C2D8">
            <w:pPr>
              <w:spacing w:line="241" w:lineRule="auto"/>
              <w:rPr>
                <w:rFonts w:ascii="Arial"/>
                <w:sz w:val="21"/>
              </w:rPr>
            </w:pPr>
          </w:p>
          <w:p w14:paraId="673A7DE7">
            <w:pPr>
              <w:spacing w:line="242" w:lineRule="auto"/>
              <w:rPr>
                <w:rFonts w:ascii="Arial"/>
                <w:sz w:val="21"/>
              </w:rPr>
            </w:pPr>
          </w:p>
          <w:p w14:paraId="6D725447">
            <w:pPr>
              <w:pStyle w:val="6"/>
              <w:spacing w:before="65" w:line="228" w:lineRule="auto"/>
              <w:ind w:left="319"/>
            </w:pPr>
            <w:r>
              <w:rPr>
                <w:spacing w:val="3"/>
              </w:rPr>
              <w:t>符合</w:t>
            </w:r>
          </w:p>
        </w:tc>
      </w:tr>
      <w:tr w14:paraId="0EC41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trPr>
        <w:tc>
          <w:tcPr>
            <w:tcW w:w="678" w:type="dxa"/>
            <w:vAlign w:val="top"/>
          </w:tcPr>
          <w:p w14:paraId="48B90A95">
            <w:pPr>
              <w:spacing w:line="310" w:lineRule="auto"/>
              <w:rPr>
                <w:rFonts w:ascii="Arial"/>
                <w:sz w:val="21"/>
              </w:rPr>
            </w:pPr>
          </w:p>
          <w:p w14:paraId="5347D183">
            <w:pPr>
              <w:spacing w:line="311" w:lineRule="auto"/>
              <w:rPr>
                <w:rFonts w:ascii="Arial"/>
                <w:sz w:val="21"/>
              </w:rPr>
            </w:pPr>
          </w:p>
          <w:p w14:paraId="6F703576">
            <w:pPr>
              <w:spacing w:before="58"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4422" w:type="dxa"/>
            <w:vAlign w:val="top"/>
          </w:tcPr>
          <w:p w14:paraId="1E4189B0">
            <w:pPr>
              <w:pStyle w:val="6"/>
              <w:spacing w:before="226" w:line="295" w:lineRule="auto"/>
              <w:ind w:left="109" w:right="104" w:firstLine="1"/>
              <w:jc w:val="both"/>
            </w:pPr>
            <w:r>
              <w:rPr>
                <w:spacing w:val="20"/>
              </w:rPr>
              <w:t>贮存设施的位置必须远离各类功能地表水体</w:t>
            </w:r>
            <w:r>
              <w:rPr>
                <w:spacing w:val="17"/>
              </w:rPr>
              <w:t xml:space="preserve"> </w:t>
            </w:r>
            <w:r>
              <w:rPr>
                <w:spacing w:val="8"/>
              </w:rPr>
              <w:t>（距离不得小于</w:t>
            </w:r>
            <w:r>
              <w:rPr>
                <w:rFonts w:ascii="Times New Roman" w:hAnsi="Times New Roman" w:eastAsia="Times New Roman" w:cs="Times New Roman"/>
                <w:spacing w:val="8"/>
              </w:rPr>
              <w:t>400m</w:t>
            </w:r>
            <w:r>
              <w:rPr>
                <w:rFonts w:ascii="Times New Roman" w:hAnsi="Times New Roman" w:eastAsia="Times New Roman" w:cs="Times New Roman"/>
                <w:spacing w:val="-19"/>
              </w:rPr>
              <w:t xml:space="preserve"> </w:t>
            </w:r>
            <w:r>
              <w:rPr>
                <w:spacing w:val="-23"/>
              </w:rPr>
              <w:t>），</w:t>
            </w:r>
            <w:r>
              <w:rPr>
                <w:spacing w:val="8"/>
              </w:rPr>
              <w:t>并应设在养殖场生产</w:t>
            </w:r>
            <w:r>
              <w:t xml:space="preserve"> </w:t>
            </w:r>
            <w:r>
              <w:rPr>
                <w:spacing w:val="9"/>
              </w:rPr>
              <w:t>及生活管理区的常年主导风向的下风向或侧风</w:t>
            </w:r>
            <w:r>
              <w:rPr>
                <w:spacing w:val="18"/>
              </w:rPr>
              <w:t xml:space="preserve"> </w:t>
            </w:r>
            <w:r>
              <w:rPr>
                <w:spacing w:val="3"/>
              </w:rPr>
              <w:t>向处。</w:t>
            </w:r>
          </w:p>
        </w:tc>
        <w:tc>
          <w:tcPr>
            <w:tcW w:w="2806" w:type="dxa"/>
            <w:vAlign w:val="top"/>
          </w:tcPr>
          <w:p w14:paraId="6C9515B1">
            <w:pPr>
              <w:pStyle w:val="6"/>
              <w:spacing w:before="62" w:line="228" w:lineRule="auto"/>
              <w:ind w:left="151"/>
            </w:pPr>
            <w:r>
              <w:rPr>
                <w:spacing w:val="9"/>
              </w:rPr>
              <w:t>本项目猪粪贮存设施（有机</w:t>
            </w:r>
          </w:p>
          <w:p w14:paraId="22485A3C">
            <w:pPr>
              <w:pStyle w:val="6"/>
              <w:spacing w:before="77" w:line="228" w:lineRule="auto"/>
              <w:ind w:left="255"/>
            </w:pPr>
            <w:r>
              <w:rPr>
                <w:spacing w:val="9"/>
              </w:rPr>
              <w:t>肥生产车间）距离黄江约</w:t>
            </w:r>
          </w:p>
          <w:p w14:paraId="4385FE40">
            <w:pPr>
              <w:pStyle w:val="6"/>
              <w:spacing w:before="48" w:line="275" w:lineRule="exact"/>
              <w:ind w:left="193"/>
            </w:pPr>
            <w:r>
              <w:rPr>
                <w:rFonts w:ascii="Times New Roman" w:hAnsi="Times New Roman" w:eastAsia="Times New Roman" w:cs="Times New Roman"/>
                <w:spacing w:val="4"/>
                <w:position w:val="1"/>
              </w:rPr>
              <w:t>1160m</w:t>
            </w:r>
            <w:r>
              <w:rPr>
                <w:rFonts w:ascii="Times New Roman" w:hAnsi="Times New Roman" w:eastAsia="Times New Roman" w:cs="Times New Roman"/>
                <w:spacing w:val="-23"/>
                <w:position w:val="1"/>
              </w:rPr>
              <w:t xml:space="preserve"> </w:t>
            </w:r>
            <w:r>
              <w:rPr>
                <w:spacing w:val="4"/>
                <w:position w:val="1"/>
              </w:rPr>
              <w:t>，位于生活区的东北</w:t>
            </w:r>
          </w:p>
          <w:p w14:paraId="73986477">
            <w:pPr>
              <w:pStyle w:val="6"/>
              <w:spacing w:before="83" w:line="228" w:lineRule="auto"/>
              <w:ind w:left="151"/>
            </w:pPr>
            <w:r>
              <w:rPr>
                <w:spacing w:val="9"/>
              </w:rPr>
              <w:t>面，属于主导风向东风的侧</w:t>
            </w:r>
          </w:p>
          <w:p w14:paraId="24137588">
            <w:pPr>
              <w:pStyle w:val="6"/>
              <w:spacing w:before="79" w:line="229" w:lineRule="auto"/>
              <w:ind w:left="1199"/>
            </w:pPr>
            <w:r>
              <w:rPr>
                <w:spacing w:val="4"/>
              </w:rPr>
              <w:t>风向</w:t>
            </w:r>
          </w:p>
        </w:tc>
        <w:tc>
          <w:tcPr>
            <w:tcW w:w="1044" w:type="dxa"/>
            <w:vAlign w:val="top"/>
          </w:tcPr>
          <w:p w14:paraId="7347E7DA">
            <w:pPr>
              <w:spacing w:line="322" w:lineRule="auto"/>
              <w:rPr>
                <w:rFonts w:ascii="Arial"/>
                <w:sz w:val="21"/>
              </w:rPr>
            </w:pPr>
          </w:p>
          <w:p w14:paraId="57B15F6B">
            <w:pPr>
              <w:spacing w:line="323" w:lineRule="auto"/>
              <w:rPr>
                <w:rFonts w:ascii="Arial"/>
                <w:sz w:val="21"/>
              </w:rPr>
            </w:pPr>
          </w:p>
          <w:p w14:paraId="2D645EA0">
            <w:pPr>
              <w:pStyle w:val="6"/>
              <w:spacing w:before="65" w:line="228" w:lineRule="auto"/>
              <w:ind w:left="319"/>
            </w:pPr>
            <w:r>
              <w:rPr>
                <w:spacing w:val="3"/>
              </w:rPr>
              <w:t>符合</w:t>
            </w:r>
          </w:p>
        </w:tc>
      </w:tr>
      <w:tr w14:paraId="599D8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678" w:type="dxa"/>
            <w:vAlign w:val="top"/>
          </w:tcPr>
          <w:p w14:paraId="19026D9E">
            <w:pPr>
              <w:spacing w:line="368" w:lineRule="auto"/>
              <w:rPr>
                <w:rFonts w:ascii="Arial"/>
                <w:sz w:val="21"/>
              </w:rPr>
            </w:pPr>
          </w:p>
          <w:p w14:paraId="28E8B147">
            <w:pPr>
              <w:spacing w:before="58" w:line="192"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422" w:type="dxa"/>
            <w:vAlign w:val="top"/>
          </w:tcPr>
          <w:p w14:paraId="313769DD">
            <w:pPr>
              <w:pStyle w:val="6"/>
              <w:spacing w:before="63" w:line="281" w:lineRule="auto"/>
              <w:ind w:left="114" w:right="107" w:hanging="3"/>
              <w:jc w:val="both"/>
            </w:pPr>
            <w:r>
              <w:rPr>
                <w:spacing w:val="9"/>
              </w:rPr>
              <w:t>养殖场的排水系统应实行雨水和污水收集输送</w:t>
            </w:r>
            <w:r>
              <w:rPr>
                <w:spacing w:val="17"/>
              </w:rPr>
              <w:t xml:space="preserve"> </w:t>
            </w:r>
            <w:r>
              <w:rPr>
                <w:spacing w:val="9"/>
              </w:rPr>
              <w:t>系统分离，在场区内外设置的污水收集输送系</w:t>
            </w:r>
            <w:r>
              <w:rPr>
                <w:spacing w:val="13"/>
              </w:rPr>
              <w:t xml:space="preserve"> </w:t>
            </w:r>
            <w:r>
              <w:rPr>
                <w:spacing w:val="7"/>
              </w:rPr>
              <w:t>统，不得采取明沟布设。</w:t>
            </w:r>
          </w:p>
        </w:tc>
        <w:tc>
          <w:tcPr>
            <w:tcW w:w="2806" w:type="dxa"/>
            <w:vAlign w:val="top"/>
          </w:tcPr>
          <w:p w14:paraId="74B1320F">
            <w:pPr>
              <w:pStyle w:val="6"/>
              <w:spacing w:before="225" w:line="303" w:lineRule="auto"/>
              <w:ind w:left="886" w:right="141" w:hanging="733"/>
            </w:pPr>
            <w:r>
              <w:rPr>
                <w:spacing w:val="8"/>
              </w:rPr>
              <w:t>项目雨污分流，污水采用污</w:t>
            </w:r>
            <w:r>
              <w:rPr>
                <w:spacing w:val="9"/>
              </w:rPr>
              <w:t xml:space="preserve"> </w:t>
            </w:r>
            <w:r>
              <w:rPr>
                <w:spacing w:val="7"/>
              </w:rPr>
              <w:t>水管网收集</w:t>
            </w:r>
          </w:p>
        </w:tc>
        <w:tc>
          <w:tcPr>
            <w:tcW w:w="1044" w:type="dxa"/>
            <w:vAlign w:val="top"/>
          </w:tcPr>
          <w:p w14:paraId="7173FB53">
            <w:pPr>
              <w:spacing w:line="323" w:lineRule="auto"/>
              <w:rPr>
                <w:rFonts w:ascii="Arial"/>
                <w:sz w:val="21"/>
              </w:rPr>
            </w:pPr>
          </w:p>
          <w:p w14:paraId="1CD006E9">
            <w:pPr>
              <w:pStyle w:val="6"/>
              <w:spacing w:before="65" w:line="228" w:lineRule="auto"/>
              <w:ind w:left="319"/>
            </w:pPr>
            <w:r>
              <w:rPr>
                <w:spacing w:val="3"/>
              </w:rPr>
              <w:t>符合</w:t>
            </w:r>
          </w:p>
        </w:tc>
      </w:tr>
    </w:tbl>
    <w:p w14:paraId="688BC58B">
      <w:pPr>
        <w:spacing w:before="125" w:line="378" w:lineRule="auto"/>
        <w:ind w:left="127" w:right="113" w:firstLine="478"/>
        <w:rPr>
          <w:rFonts w:ascii="宋体" w:hAnsi="宋体" w:eastAsia="宋体" w:cs="宋体"/>
          <w:sz w:val="24"/>
          <w:szCs w:val="24"/>
        </w:rPr>
      </w:pPr>
      <w:r>
        <w:rPr>
          <w:rFonts w:ascii="宋体" w:hAnsi="宋体" w:eastAsia="宋体" w:cs="宋体"/>
          <w:spacing w:val="2"/>
          <w:sz w:val="24"/>
          <w:szCs w:val="24"/>
        </w:rPr>
        <w:t>综上所述，本工程总平面布置充分利用现有地势，按照功能和工艺流程，生活</w:t>
      </w:r>
      <w:r>
        <w:rPr>
          <w:rFonts w:ascii="宋体" w:hAnsi="宋体" w:eastAsia="宋体" w:cs="宋体"/>
          <w:spacing w:val="7"/>
          <w:sz w:val="24"/>
          <w:szCs w:val="24"/>
        </w:rPr>
        <w:t xml:space="preserve"> </w:t>
      </w:r>
      <w:r>
        <w:rPr>
          <w:rFonts w:ascii="宋体" w:hAnsi="宋体" w:eastAsia="宋体" w:cs="宋体"/>
          <w:spacing w:val="-1"/>
          <w:sz w:val="24"/>
          <w:szCs w:val="24"/>
        </w:rPr>
        <w:t>办公区与养殖区分开。从整体布局和环境影响上看，工程总平面布置较合理。</w:t>
      </w:r>
    </w:p>
    <w:p w14:paraId="7AC28A40">
      <w:pPr>
        <w:spacing w:line="378" w:lineRule="auto"/>
        <w:rPr>
          <w:rFonts w:ascii="宋体" w:hAnsi="宋体" w:eastAsia="宋体" w:cs="宋体"/>
          <w:sz w:val="24"/>
          <w:szCs w:val="24"/>
        </w:rPr>
        <w:sectPr>
          <w:footerReference r:id="rId22" w:type="default"/>
          <w:pgSz w:w="11906" w:h="16839"/>
          <w:pgMar w:top="1431" w:right="1475" w:bottom="1485" w:left="1475" w:header="0" w:footer="1249" w:gutter="0"/>
          <w:cols w:space="720" w:num="1"/>
        </w:sectPr>
      </w:pPr>
    </w:p>
    <w:p w14:paraId="0DB7E448">
      <w:pPr>
        <w:spacing w:before="149" w:line="220" w:lineRule="auto"/>
        <w:ind w:left="158"/>
        <w:outlineLvl w:val="2"/>
        <w:rPr>
          <w:rFonts w:ascii="宋体" w:hAnsi="宋体" w:eastAsia="宋体" w:cs="宋体"/>
          <w:sz w:val="24"/>
          <w:szCs w:val="24"/>
        </w:rPr>
      </w:pPr>
      <w:r>
        <w:rPr>
          <w:rFonts w:ascii="Times New Roman" w:hAnsi="Times New Roman" w:eastAsia="Times New Roman" w:cs="Times New Roman"/>
          <w:b/>
          <w:bCs/>
          <w:spacing w:val="-2"/>
          <w:sz w:val="24"/>
          <w:szCs w:val="24"/>
        </w:rPr>
        <w:t>1.4.6</w:t>
      </w:r>
      <w:r>
        <w:rPr>
          <w:rFonts w:ascii="Calibri" w:hAnsi="Calibri" w:eastAsia="Calibri" w:cs="Calibri"/>
          <w:b/>
          <w:bCs/>
          <w:spacing w:val="-2"/>
          <w:sz w:val="24"/>
          <w:szCs w:val="24"/>
        </w:rPr>
        <w:t>“</w:t>
      </w:r>
      <w:r>
        <w:rPr>
          <w:rFonts w:ascii="宋体" w:hAnsi="宋体" w:eastAsia="宋体" w:cs="宋体"/>
          <w:b/>
          <w:bCs/>
          <w:spacing w:val="-2"/>
          <w:sz w:val="24"/>
          <w:szCs w:val="24"/>
        </w:rPr>
        <w:t>三线一单</w:t>
      </w:r>
      <w:r>
        <w:rPr>
          <w:rFonts w:ascii="Calibri" w:hAnsi="Calibri" w:eastAsia="Calibri" w:cs="Calibri"/>
          <w:b/>
          <w:bCs/>
          <w:spacing w:val="-2"/>
          <w:sz w:val="24"/>
          <w:szCs w:val="24"/>
        </w:rPr>
        <w:t>”</w:t>
      </w:r>
      <w:r>
        <w:rPr>
          <w:rFonts w:ascii="宋体" w:hAnsi="宋体" w:eastAsia="宋体" w:cs="宋体"/>
          <w:b/>
          <w:bCs/>
          <w:spacing w:val="-2"/>
          <w:sz w:val="24"/>
          <w:szCs w:val="24"/>
        </w:rPr>
        <w:t>相符性分析</w:t>
      </w:r>
    </w:p>
    <w:p w14:paraId="2A015A89">
      <w:pPr>
        <w:pStyle w:val="2"/>
        <w:spacing w:line="280" w:lineRule="auto"/>
      </w:pPr>
    </w:p>
    <w:p w14:paraId="3A17E612">
      <w:pPr>
        <w:spacing w:before="78" w:line="219" w:lineRule="auto"/>
        <w:ind w:left="490"/>
        <w:rPr>
          <w:rFonts w:ascii="宋体" w:hAnsi="宋体" w:eastAsia="宋体" w:cs="宋体"/>
          <w:sz w:val="24"/>
          <w:szCs w:val="24"/>
        </w:rPr>
      </w:pPr>
      <w:r>
        <w:rPr>
          <w:rFonts w:ascii="宋体" w:hAnsi="宋体" w:eastAsia="宋体" w:cs="宋体"/>
          <w:spacing w:val="-1"/>
          <w:sz w:val="24"/>
          <w:szCs w:val="24"/>
        </w:rPr>
        <w:t>本项目与</w:t>
      </w:r>
      <w:r>
        <w:rPr>
          <w:rFonts w:ascii="Times New Roman" w:hAnsi="Times New Roman" w:eastAsia="Times New Roman" w:cs="Times New Roman"/>
          <w:spacing w:val="-1"/>
          <w:sz w:val="24"/>
          <w:szCs w:val="24"/>
        </w:rPr>
        <w:t>“</w:t>
      </w:r>
      <w:r>
        <w:rPr>
          <w:rFonts w:ascii="宋体" w:hAnsi="宋体" w:eastAsia="宋体" w:cs="宋体"/>
          <w:spacing w:val="-1"/>
          <w:sz w:val="24"/>
          <w:szCs w:val="24"/>
        </w:rPr>
        <w:t>三线一单</w:t>
      </w:r>
      <w:r>
        <w:rPr>
          <w:rFonts w:ascii="Times New Roman" w:hAnsi="Times New Roman" w:eastAsia="Times New Roman" w:cs="Times New Roman"/>
          <w:spacing w:val="-1"/>
          <w:sz w:val="24"/>
          <w:szCs w:val="24"/>
        </w:rPr>
        <w:t>”</w:t>
      </w:r>
      <w:r>
        <w:rPr>
          <w:rFonts w:ascii="宋体" w:hAnsi="宋体" w:eastAsia="宋体" w:cs="宋体"/>
          <w:spacing w:val="-1"/>
          <w:sz w:val="24"/>
          <w:szCs w:val="24"/>
        </w:rPr>
        <w:t>的符合性详见下表：</w:t>
      </w:r>
    </w:p>
    <w:p w14:paraId="07D064D4">
      <w:pPr>
        <w:spacing w:before="219" w:line="228" w:lineRule="auto"/>
        <w:ind w:left="2866"/>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2"/>
          <w:sz w:val="20"/>
          <w:szCs w:val="20"/>
        </w:rPr>
        <w:t xml:space="preserve"> </w:t>
      </w:r>
      <w:r>
        <w:rPr>
          <w:rFonts w:ascii="Times New Roman" w:hAnsi="Times New Roman" w:eastAsia="Times New Roman" w:cs="Times New Roman"/>
          <w:b/>
          <w:bCs/>
          <w:spacing w:val="5"/>
          <w:sz w:val="20"/>
          <w:szCs w:val="20"/>
        </w:rPr>
        <w:t>1.4-4“</w:t>
      </w:r>
      <w:r>
        <w:rPr>
          <w:rFonts w:ascii="宋体" w:hAnsi="宋体" w:eastAsia="宋体" w:cs="宋体"/>
          <w:b/>
          <w:bCs/>
          <w:spacing w:val="5"/>
          <w:sz w:val="20"/>
          <w:szCs w:val="20"/>
        </w:rPr>
        <w:t>三线一单</w:t>
      </w:r>
      <w:r>
        <w:rPr>
          <w:rFonts w:ascii="Times New Roman" w:hAnsi="Times New Roman" w:eastAsia="Times New Roman" w:cs="Times New Roman"/>
          <w:b/>
          <w:bCs/>
          <w:spacing w:val="5"/>
          <w:sz w:val="20"/>
          <w:szCs w:val="20"/>
        </w:rPr>
        <w:t>”</w:t>
      </w:r>
      <w:r>
        <w:rPr>
          <w:rFonts w:ascii="宋体" w:hAnsi="宋体" w:eastAsia="宋体" w:cs="宋体"/>
          <w:b/>
          <w:bCs/>
          <w:spacing w:val="5"/>
          <w:sz w:val="20"/>
          <w:szCs w:val="20"/>
        </w:rPr>
        <w:t>相符性分析表</w:t>
      </w:r>
    </w:p>
    <w:p w14:paraId="339B8940">
      <w:pPr>
        <w:spacing w:line="102" w:lineRule="exact"/>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7732"/>
      </w:tblGrid>
      <w:tr w14:paraId="4B382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92" w:type="dxa"/>
            <w:vAlign w:val="top"/>
          </w:tcPr>
          <w:p w14:paraId="7C8B03EE">
            <w:pPr>
              <w:pStyle w:val="6"/>
              <w:spacing w:before="63" w:line="228" w:lineRule="auto"/>
              <w:ind w:left="317"/>
            </w:pPr>
            <w:r>
              <w:rPr>
                <w:b/>
                <w:bCs/>
                <w:spacing w:val="-9"/>
              </w:rPr>
              <w:t>内容</w:t>
            </w:r>
          </w:p>
        </w:tc>
        <w:tc>
          <w:tcPr>
            <w:tcW w:w="7732" w:type="dxa"/>
            <w:vAlign w:val="top"/>
          </w:tcPr>
          <w:p w14:paraId="272A3AB3">
            <w:pPr>
              <w:pStyle w:val="6"/>
              <w:spacing w:before="62" w:line="231" w:lineRule="auto"/>
              <w:ind w:left="3663"/>
            </w:pPr>
            <w:r>
              <w:rPr>
                <w:b/>
                <w:bCs/>
                <w:spacing w:val="2"/>
              </w:rPr>
              <w:t>名称</w:t>
            </w:r>
          </w:p>
        </w:tc>
      </w:tr>
      <w:tr w14:paraId="7242A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92" w:type="dxa"/>
            <w:vAlign w:val="top"/>
          </w:tcPr>
          <w:p w14:paraId="22111BE7">
            <w:pPr>
              <w:pStyle w:val="6"/>
              <w:spacing w:before="102" w:line="229" w:lineRule="auto"/>
              <w:ind w:left="118"/>
            </w:pPr>
            <w:r>
              <w:t>生</w:t>
            </w:r>
            <w:r>
              <w:rPr>
                <w:spacing w:val="-21"/>
              </w:rPr>
              <w:t xml:space="preserve"> </w:t>
            </w:r>
            <w:r>
              <w:t>态</w:t>
            </w:r>
            <w:r>
              <w:rPr>
                <w:spacing w:val="-20"/>
              </w:rPr>
              <w:t xml:space="preserve"> </w:t>
            </w:r>
            <w:r>
              <w:t>保</w:t>
            </w:r>
          </w:p>
          <w:p w14:paraId="7CD9B932">
            <w:pPr>
              <w:pStyle w:val="6"/>
              <w:spacing w:before="78" w:line="229" w:lineRule="auto"/>
              <w:ind w:left="117"/>
            </w:pPr>
            <w:r>
              <w:rPr>
                <w:spacing w:val="6"/>
              </w:rPr>
              <w:t>护红线</w:t>
            </w:r>
          </w:p>
        </w:tc>
        <w:tc>
          <w:tcPr>
            <w:tcW w:w="7732" w:type="dxa"/>
            <w:vAlign w:val="top"/>
          </w:tcPr>
          <w:p w14:paraId="5F0053E6">
            <w:pPr>
              <w:pStyle w:val="6"/>
              <w:spacing w:before="265" w:line="228" w:lineRule="auto"/>
              <w:ind w:left="114"/>
            </w:pPr>
            <w:r>
              <w:rPr>
                <w:spacing w:val="8"/>
              </w:rPr>
              <w:t>项目不在生态保护红线范围内。</w:t>
            </w:r>
          </w:p>
        </w:tc>
      </w:tr>
      <w:tr w14:paraId="09F06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92" w:type="dxa"/>
            <w:vAlign w:val="top"/>
          </w:tcPr>
          <w:p w14:paraId="2701402D">
            <w:pPr>
              <w:pStyle w:val="6"/>
              <w:spacing w:before="58" w:line="230" w:lineRule="auto"/>
              <w:ind w:left="125"/>
            </w:pPr>
            <w:r>
              <w:rPr>
                <w:spacing w:val="-3"/>
              </w:rPr>
              <w:t>资</w:t>
            </w:r>
            <w:r>
              <w:rPr>
                <w:spacing w:val="-20"/>
              </w:rPr>
              <w:t xml:space="preserve"> </w:t>
            </w:r>
            <w:r>
              <w:rPr>
                <w:spacing w:val="-3"/>
              </w:rPr>
              <w:t>源</w:t>
            </w:r>
            <w:r>
              <w:rPr>
                <w:spacing w:val="-19"/>
              </w:rPr>
              <w:t xml:space="preserve"> </w:t>
            </w:r>
            <w:r>
              <w:rPr>
                <w:spacing w:val="-3"/>
              </w:rPr>
              <w:t>利</w:t>
            </w:r>
          </w:p>
          <w:p w14:paraId="5F755130">
            <w:pPr>
              <w:pStyle w:val="6"/>
              <w:spacing w:before="77" w:line="229" w:lineRule="auto"/>
              <w:ind w:left="118"/>
            </w:pPr>
            <w:r>
              <w:rPr>
                <w:spacing w:val="6"/>
              </w:rPr>
              <w:t>用上线</w:t>
            </w:r>
          </w:p>
        </w:tc>
        <w:tc>
          <w:tcPr>
            <w:tcW w:w="7732" w:type="dxa"/>
            <w:vAlign w:val="top"/>
          </w:tcPr>
          <w:p w14:paraId="56953655">
            <w:pPr>
              <w:pStyle w:val="6"/>
              <w:spacing w:before="58" w:line="271" w:lineRule="auto"/>
              <w:ind w:left="111" w:right="109"/>
            </w:pPr>
            <w:r>
              <w:rPr>
                <w:spacing w:val="8"/>
              </w:rPr>
              <w:t>本项目运营过程中消耗一定量的电能和水能，项目资源消耗量相对区域利用总量较</w:t>
            </w:r>
            <w:r>
              <w:rPr>
                <w:spacing w:val="16"/>
              </w:rPr>
              <w:t xml:space="preserve"> </w:t>
            </w:r>
            <w:r>
              <w:rPr>
                <w:spacing w:val="8"/>
              </w:rPr>
              <w:t>少，因此符合资源利用上限要求。</w:t>
            </w:r>
          </w:p>
        </w:tc>
      </w:tr>
      <w:tr w14:paraId="0738F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992" w:type="dxa"/>
            <w:vAlign w:val="top"/>
          </w:tcPr>
          <w:p w14:paraId="0C157215">
            <w:pPr>
              <w:pStyle w:val="6"/>
              <w:spacing w:before="223" w:line="229" w:lineRule="auto"/>
              <w:ind w:left="116"/>
            </w:pPr>
            <w:r>
              <w:t>环</w:t>
            </w:r>
            <w:r>
              <w:rPr>
                <w:spacing w:val="-20"/>
              </w:rPr>
              <w:t xml:space="preserve"> </w:t>
            </w:r>
            <w:r>
              <w:t>境</w:t>
            </w:r>
            <w:r>
              <w:rPr>
                <w:spacing w:val="-19"/>
              </w:rPr>
              <w:t xml:space="preserve"> </w:t>
            </w:r>
            <w:r>
              <w:t>质</w:t>
            </w:r>
          </w:p>
          <w:p w14:paraId="5B64CC94">
            <w:pPr>
              <w:pStyle w:val="6"/>
              <w:spacing w:before="78" w:line="229" w:lineRule="auto"/>
              <w:ind w:left="116"/>
            </w:pPr>
            <w:r>
              <w:rPr>
                <w:spacing w:val="6"/>
              </w:rPr>
              <w:t>量底线</w:t>
            </w:r>
          </w:p>
        </w:tc>
        <w:tc>
          <w:tcPr>
            <w:tcW w:w="7732" w:type="dxa"/>
            <w:vAlign w:val="top"/>
          </w:tcPr>
          <w:p w14:paraId="10110697">
            <w:pPr>
              <w:pStyle w:val="6"/>
              <w:spacing w:before="60" w:line="280" w:lineRule="auto"/>
              <w:ind w:left="110" w:right="107"/>
              <w:jc w:val="both"/>
            </w:pPr>
            <w:r>
              <w:rPr>
                <w:spacing w:val="8"/>
              </w:rPr>
              <w:t>本项目所在区域环境空气、地表水、声环境均满足环境功能区划要求，尚有一定的</w:t>
            </w:r>
            <w:r>
              <w:rPr>
                <w:spacing w:val="18"/>
              </w:rPr>
              <w:t xml:space="preserve"> </w:t>
            </w:r>
            <w:r>
              <w:rPr>
                <w:spacing w:val="9"/>
              </w:rPr>
              <w:t>剩余环境容量，项目实施后，其污染物排放</w:t>
            </w:r>
            <w:r>
              <w:rPr>
                <w:spacing w:val="8"/>
              </w:rPr>
              <w:t>对周围环境的影响不会改变所在地及其</w:t>
            </w:r>
            <w:r>
              <w:t xml:space="preserve"> </w:t>
            </w:r>
            <w:r>
              <w:rPr>
                <w:spacing w:val="9"/>
              </w:rPr>
              <w:t>周围居民区的环境功能，其对周围环境无明显的环境影响，符合环境底线要求。</w:t>
            </w:r>
          </w:p>
        </w:tc>
      </w:tr>
      <w:tr w14:paraId="42D78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92" w:type="dxa"/>
            <w:vAlign w:val="top"/>
          </w:tcPr>
          <w:p w14:paraId="7BA01257">
            <w:pPr>
              <w:pStyle w:val="6"/>
              <w:spacing w:before="61" w:line="272" w:lineRule="auto"/>
              <w:ind w:left="118" w:right="108" w:firstLine="6"/>
            </w:pPr>
            <w:r>
              <w:rPr>
                <w:spacing w:val="-3"/>
              </w:rPr>
              <w:t>负</w:t>
            </w:r>
            <w:r>
              <w:rPr>
                <w:spacing w:val="-18"/>
              </w:rPr>
              <w:t xml:space="preserve"> </w:t>
            </w:r>
            <w:r>
              <w:rPr>
                <w:spacing w:val="-3"/>
              </w:rPr>
              <w:t>面</w:t>
            </w:r>
            <w:r>
              <w:rPr>
                <w:spacing w:val="-20"/>
              </w:rPr>
              <w:t xml:space="preserve"> </w:t>
            </w:r>
            <w:r>
              <w:rPr>
                <w:spacing w:val="-3"/>
              </w:rPr>
              <w:t>清</w:t>
            </w:r>
            <w:r>
              <w:t xml:space="preserve"> 单</w:t>
            </w:r>
          </w:p>
        </w:tc>
        <w:tc>
          <w:tcPr>
            <w:tcW w:w="7732" w:type="dxa"/>
            <w:vAlign w:val="top"/>
          </w:tcPr>
          <w:p w14:paraId="5E268917">
            <w:pPr>
              <w:pStyle w:val="6"/>
              <w:spacing w:before="31" w:line="286" w:lineRule="auto"/>
              <w:ind w:left="110" w:right="107"/>
            </w:pPr>
            <w:r>
              <w:rPr>
                <w:spacing w:val="9"/>
              </w:rPr>
              <w:t>对照《市场准入负面清单（</w:t>
            </w:r>
            <w:r>
              <w:rPr>
                <w:rFonts w:ascii="Times New Roman" w:hAnsi="Times New Roman" w:eastAsia="Times New Roman" w:cs="Times New Roman"/>
                <w:spacing w:val="9"/>
              </w:rPr>
              <w:t xml:space="preserve">2019  </w:t>
            </w:r>
            <w:r>
              <w:rPr>
                <w:spacing w:val="9"/>
              </w:rPr>
              <w:t>年本）》，本项目属于</w:t>
            </w:r>
            <w:r>
              <w:rPr>
                <w:spacing w:val="-29"/>
              </w:rPr>
              <w:t xml:space="preserve"> </w:t>
            </w:r>
            <w:r>
              <w:rPr>
                <w:rFonts w:ascii="Times New Roman" w:hAnsi="Times New Roman" w:eastAsia="Times New Roman" w:cs="Times New Roman"/>
                <w:spacing w:val="9"/>
              </w:rPr>
              <w:t xml:space="preserve">2010009 </w:t>
            </w:r>
            <w:r>
              <w:rPr>
                <w:spacing w:val="9"/>
              </w:rPr>
              <w:t>设立动物饲养场</w:t>
            </w:r>
            <w:r>
              <w:t xml:space="preserve"> </w:t>
            </w:r>
            <w:r>
              <w:rPr>
                <w:spacing w:val="8"/>
              </w:rPr>
              <w:t>所（养殖小区</w:t>
            </w:r>
            <w:r>
              <w:rPr>
                <w:spacing w:val="23"/>
              </w:rPr>
              <w:t>），</w:t>
            </w:r>
            <w:r>
              <w:rPr>
                <w:spacing w:val="8"/>
              </w:rPr>
              <w:t>属于许可准入类，因此本项目符合要求。</w:t>
            </w:r>
          </w:p>
        </w:tc>
      </w:tr>
    </w:tbl>
    <w:p w14:paraId="569781B4">
      <w:pPr>
        <w:spacing w:before="124" w:line="369" w:lineRule="auto"/>
        <w:ind w:left="11" w:firstLine="479"/>
        <w:jc w:val="both"/>
        <w:rPr>
          <w:rFonts w:ascii="宋体" w:hAnsi="宋体" w:eastAsia="宋体" w:cs="宋体"/>
          <w:sz w:val="24"/>
          <w:szCs w:val="24"/>
        </w:rPr>
      </w:pPr>
      <w:r>
        <w:rPr>
          <w:rFonts w:ascii="宋体" w:hAnsi="宋体" w:eastAsia="宋体" w:cs="宋体"/>
          <w:spacing w:val="2"/>
          <w:sz w:val="24"/>
          <w:szCs w:val="24"/>
        </w:rPr>
        <w:t>本项目位于海丰县公平镇龙岗美月姑少山坡地，属于《广东省人民政府关于印</w:t>
      </w:r>
      <w:r>
        <w:rPr>
          <w:rFonts w:ascii="宋体" w:hAnsi="宋体" w:eastAsia="宋体" w:cs="宋体"/>
          <w:spacing w:val="9"/>
          <w:sz w:val="24"/>
          <w:szCs w:val="24"/>
        </w:rPr>
        <w:t xml:space="preserve"> </w:t>
      </w:r>
      <w:r>
        <w:rPr>
          <w:rFonts w:ascii="宋体" w:hAnsi="宋体" w:eastAsia="宋体" w:cs="宋体"/>
          <w:spacing w:val="1"/>
          <w:sz w:val="24"/>
          <w:szCs w:val="24"/>
        </w:rPr>
        <w:t>发广东省</w:t>
      </w:r>
      <w:r>
        <w:rPr>
          <w:rFonts w:ascii="Times New Roman" w:hAnsi="Times New Roman" w:eastAsia="Times New Roman" w:cs="Times New Roman"/>
          <w:spacing w:val="1"/>
          <w:sz w:val="24"/>
          <w:szCs w:val="24"/>
        </w:rPr>
        <w:t>“</w:t>
      </w:r>
      <w:r>
        <w:rPr>
          <w:rFonts w:ascii="宋体" w:hAnsi="宋体" w:eastAsia="宋体" w:cs="宋体"/>
          <w:spacing w:val="1"/>
          <w:sz w:val="24"/>
          <w:szCs w:val="24"/>
        </w:rPr>
        <w:t>三线一单</w:t>
      </w:r>
      <w:r>
        <w:rPr>
          <w:rFonts w:ascii="Times New Roman" w:hAnsi="Times New Roman" w:eastAsia="Times New Roman" w:cs="Times New Roman"/>
          <w:spacing w:val="1"/>
          <w:sz w:val="24"/>
          <w:szCs w:val="24"/>
        </w:rPr>
        <w:t>”</w:t>
      </w:r>
      <w:r>
        <w:rPr>
          <w:rFonts w:ascii="宋体" w:hAnsi="宋体" w:eastAsia="宋体" w:cs="宋体"/>
          <w:spacing w:val="1"/>
          <w:sz w:val="24"/>
          <w:szCs w:val="24"/>
        </w:rPr>
        <w:t>生态环境分区管控方案的通知》（粤府〔</w:t>
      </w:r>
      <w:r>
        <w:rPr>
          <w:rFonts w:ascii="Times New Roman" w:hAnsi="Times New Roman" w:eastAsia="Times New Roman" w:cs="Times New Roman"/>
          <w:sz w:val="24"/>
          <w:szCs w:val="24"/>
        </w:rPr>
        <w:t>2020</w:t>
      </w:r>
      <w:r>
        <w:rPr>
          <w:rFonts w:ascii="宋体" w:hAnsi="宋体" w:eastAsia="宋体" w:cs="宋体"/>
          <w:sz w:val="24"/>
          <w:szCs w:val="24"/>
        </w:rPr>
        <w:t>〕</w:t>
      </w:r>
      <w:r>
        <w:rPr>
          <w:rFonts w:ascii="Times New Roman" w:hAnsi="Times New Roman" w:eastAsia="Times New Roman" w:cs="Times New Roman"/>
          <w:sz w:val="24"/>
          <w:szCs w:val="24"/>
        </w:rPr>
        <w:t>71</w:t>
      </w:r>
      <w:r>
        <w:rPr>
          <w:rFonts w:ascii="Times New Roman" w:hAnsi="Times New Roman" w:eastAsia="Times New Roman" w:cs="Times New Roman"/>
          <w:spacing w:val="17"/>
          <w:w w:val="101"/>
          <w:sz w:val="24"/>
          <w:szCs w:val="24"/>
        </w:rPr>
        <w:t xml:space="preserve"> </w:t>
      </w:r>
      <w:r>
        <w:rPr>
          <w:rFonts w:ascii="宋体" w:hAnsi="宋体" w:eastAsia="宋体" w:cs="宋体"/>
          <w:sz w:val="24"/>
          <w:szCs w:val="24"/>
        </w:rPr>
        <w:t xml:space="preserve">号）划分单 </w:t>
      </w:r>
      <w:r>
        <w:rPr>
          <w:rFonts w:ascii="宋体" w:hAnsi="宋体" w:eastAsia="宋体" w:cs="宋体"/>
          <w:spacing w:val="2"/>
          <w:sz w:val="24"/>
          <w:szCs w:val="24"/>
        </w:rPr>
        <w:t>元中的重点管控单元。重点管控单元主要推进产业布局优化、转型升级，不断提高</w:t>
      </w:r>
      <w:r>
        <w:rPr>
          <w:rFonts w:ascii="宋体" w:hAnsi="宋体" w:eastAsia="宋体" w:cs="宋体"/>
          <w:spacing w:val="4"/>
          <w:sz w:val="24"/>
          <w:szCs w:val="24"/>
        </w:rPr>
        <w:t xml:space="preserve"> </w:t>
      </w:r>
      <w:r>
        <w:rPr>
          <w:rFonts w:ascii="宋体" w:hAnsi="宋体" w:eastAsia="宋体" w:cs="宋体"/>
          <w:sz w:val="24"/>
          <w:szCs w:val="24"/>
        </w:rPr>
        <w:t>资源利用效率，加强污染物排放控制和环境风险防</w:t>
      </w:r>
      <w:r>
        <w:rPr>
          <w:rFonts w:ascii="宋体" w:hAnsi="宋体" w:eastAsia="宋体" w:cs="宋体"/>
          <w:spacing w:val="-1"/>
          <w:sz w:val="24"/>
          <w:szCs w:val="24"/>
        </w:rPr>
        <w:t>控，解决突出生态环境问题。</w:t>
      </w:r>
    </w:p>
    <w:p w14:paraId="77BA91C1">
      <w:pPr>
        <w:spacing w:before="37" w:line="376" w:lineRule="auto"/>
        <w:ind w:left="8" w:right="2" w:firstLine="482"/>
        <w:jc w:val="both"/>
        <w:rPr>
          <w:rFonts w:ascii="宋体" w:hAnsi="宋体" w:eastAsia="宋体" w:cs="宋体"/>
          <w:sz w:val="24"/>
          <w:szCs w:val="24"/>
        </w:rPr>
      </w:pPr>
      <w:r>
        <w:rPr>
          <w:rFonts w:ascii="宋体" w:hAnsi="宋体" w:eastAsia="宋体" w:cs="宋体"/>
          <w:spacing w:val="2"/>
          <w:sz w:val="24"/>
          <w:szCs w:val="24"/>
        </w:rPr>
        <w:t>本项目为牲畜饲养，符合国家及地方产业政策。本项目对废水进行收集集中治</w:t>
      </w:r>
      <w:r>
        <w:rPr>
          <w:rFonts w:ascii="宋体" w:hAnsi="宋体" w:eastAsia="宋体" w:cs="宋体"/>
          <w:spacing w:val="9"/>
          <w:sz w:val="24"/>
          <w:szCs w:val="24"/>
        </w:rPr>
        <w:t xml:space="preserve"> </w:t>
      </w:r>
      <w:r>
        <w:rPr>
          <w:rFonts w:ascii="宋体" w:hAnsi="宋体" w:eastAsia="宋体" w:cs="宋体"/>
          <w:spacing w:val="2"/>
          <w:sz w:val="24"/>
          <w:szCs w:val="24"/>
        </w:rPr>
        <w:t>理，不外排；产生的饲料加工粉尘废气能达标排放；项目产生的固废均得到妥善处</w:t>
      </w:r>
      <w:r>
        <w:rPr>
          <w:rFonts w:ascii="宋体" w:hAnsi="宋体" w:eastAsia="宋体" w:cs="宋体"/>
          <w:spacing w:val="8"/>
          <w:sz w:val="24"/>
          <w:szCs w:val="24"/>
        </w:rPr>
        <w:t xml:space="preserve"> </w:t>
      </w:r>
      <w:r>
        <w:rPr>
          <w:rFonts w:ascii="宋体" w:hAnsi="宋体" w:eastAsia="宋体" w:cs="宋体"/>
          <w:spacing w:val="-4"/>
          <w:sz w:val="24"/>
          <w:szCs w:val="24"/>
        </w:rPr>
        <w:t>置。</w:t>
      </w:r>
    </w:p>
    <w:p w14:paraId="466C96ED">
      <w:pPr>
        <w:spacing w:before="1" w:line="387" w:lineRule="auto"/>
        <w:ind w:left="10" w:firstLine="481"/>
        <w:rPr>
          <w:rFonts w:ascii="宋体" w:hAnsi="宋体" w:eastAsia="宋体" w:cs="宋体"/>
          <w:sz w:val="24"/>
          <w:szCs w:val="24"/>
        </w:rPr>
      </w:pPr>
      <w:r>
        <w:rPr>
          <w:rFonts w:ascii="宋体" w:hAnsi="宋体" w:eastAsia="宋体" w:cs="宋体"/>
          <w:spacing w:val="3"/>
          <w:sz w:val="24"/>
          <w:szCs w:val="24"/>
        </w:rPr>
        <w:t>综上，本项目的建设符合《广东省人民政府关于印发广东省</w:t>
      </w:r>
      <w:r>
        <w:rPr>
          <w:rFonts w:ascii="Times New Roman" w:hAnsi="Times New Roman" w:eastAsia="Times New Roman" w:cs="Times New Roman"/>
          <w:spacing w:val="3"/>
          <w:sz w:val="24"/>
          <w:szCs w:val="24"/>
        </w:rPr>
        <w:t>“</w:t>
      </w:r>
      <w:r>
        <w:rPr>
          <w:rFonts w:ascii="宋体" w:hAnsi="宋体" w:eastAsia="宋体" w:cs="宋体"/>
          <w:spacing w:val="3"/>
          <w:sz w:val="24"/>
          <w:szCs w:val="24"/>
        </w:rPr>
        <w:t>三线一单</w:t>
      </w:r>
      <w:r>
        <w:rPr>
          <w:rFonts w:ascii="Times New Roman" w:hAnsi="Times New Roman" w:eastAsia="Times New Roman" w:cs="Times New Roman"/>
          <w:spacing w:val="3"/>
          <w:sz w:val="24"/>
          <w:szCs w:val="24"/>
        </w:rPr>
        <w:t>”</w:t>
      </w:r>
      <w:r>
        <w:rPr>
          <w:rFonts w:ascii="宋体" w:hAnsi="宋体" w:eastAsia="宋体" w:cs="宋体"/>
          <w:spacing w:val="3"/>
          <w:sz w:val="24"/>
          <w:szCs w:val="24"/>
        </w:rPr>
        <w:t>生态环</w:t>
      </w:r>
      <w:r>
        <w:rPr>
          <w:rFonts w:ascii="宋体" w:hAnsi="宋体" w:eastAsia="宋体" w:cs="宋体"/>
          <w:sz w:val="24"/>
          <w:szCs w:val="24"/>
        </w:rPr>
        <w:t xml:space="preserve"> </w:t>
      </w:r>
      <w:r>
        <w:rPr>
          <w:rFonts w:ascii="宋体" w:hAnsi="宋体" w:eastAsia="宋体" w:cs="宋体"/>
          <w:spacing w:val="-1"/>
          <w:sz w:val="24"/>
          <w:szCs w:val="24"/>
        </w:rPr>
        <w:t>境分区管控方案的通知》（粤府〔</w:t>
      </w:r>
      <w:r>
        <w:rPr>
          <w:rFonts w:ascii="Times New Roman" w:hAnsi="Times New Roman" w:eastAsia="Times New Roman" w:cs="Times New Roman"/>
          <w:spacing w:val="-1"/>
          <w:sz w:val="24"/>
          <w:szCs w:val="24"/>
        </w:rPr>
        <w:t>2020</w:t>
      </w:r>
      <w:r>
        <w:rPr>
          <w:rFonts w:ascii="宋体" w:hAnsi="宋体" w:eastAsia="宋体" w:cs="宋体"/>
          <w:spacing w:val="-1"/>
          <w:sz w:val="24"/>
          <w:szCs w:val="24"/>
        </w:rPr>
        <w:t>〕</w:t>
      </w:r>
      <w:r>
        <w:rPr>
          <w:rFonts w:ascii="Times New Roman" w:hAnsi="Times New Roman" w:eastAsia="Times New Roman" w:cs="Times New Roman"/>
          <w:spacing w:val="-1"/>
          <w:sz w:val="24"/>
          <w:szCs w:val="24"/>
        </w:rPr>
        <w:t>71</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号）的要求。</w:t>
      </w:r>
    </w:p>
    <w:p w14:paraId="551638A0">
      <w:pPr>
        <w:spacing w:line="387" w:lineRule="auto"/>
        <w:rPr>
          <w:rFonts w:ascii="宋体" w:hAnsi="宋体" w:eastAsia="宋体" w:cs="宋体"/>
          <w:sz w:val="24"/>
          <w:szCs w:val="24"/>
        </w:rPr>
        <w:sectPr>
          <w:footerReference r:id="rId23" w:type="default"/>
          <w:pgSz w:w="11906" w:h="16839"/>
          <w:pgMar w:top="1431" w:right="1586" w:bottom="1485" w:left="1588" w:header="0" w:footer="1249" w:gutter="0"/>
          <w:cols w:space="720" w:num="1"/>
        </w:sectPr>
      </w:pPr>
    </w:p>
    <w:p w14:paraId="3E481EB2">
      <w:pPr>
        <w:pStyle w:val="2"/>
        <w:spacing w:line="243" w:lineRule="auto"/>
      </w:pPr>
    </w:p>
    <w:p w14:paraId="3724893A">
      <w:pPr>
        <w:pStyle w:val="2"/>
        <w:spacing w:line="243" w:lineRule="auto"/>
      </w:pPr>
    </w:p>
    <w:p w14:paraId="26B19522">
      <w:pPr>
        <w:pStyle w:val="2"/>
        <w:spacing w:line="243" w:lineRule="auto"/>
      </w:pPr>
    </w:p>
    <w:p w14:paraId="07F53A17">
      <w:pPr>
        <w:pStyle w:val="2"/>
        <w:spacing w:line="243" w:lineRule="auto"/>
      </w:pPr>
    </w:p>
    <w:p w14:paraId="1D82F0BB">
      <w:pPr>
        <w:pStyle w:val="2"/>
        <w:spacing w:line="243" w:lineRule="auto"/>
      </w:pPr>
    </w:p>
    <w:p w14:paraId="0E76A5BF">
      <w:pPr>
        <w:pStyle w:val="2"/>
        <w:spacing w:line="243" w:lineRule="auto"/>
      </w:pPr>
    </w:p>
    <w:p w14:paraId="673CCB64">
      <w:pPr>
        <w:pStyle w:val="2"/>
        <w:spacing w:line="243" w:lineRule="auto"/>
      </w:pPr>
    </w:p>
    <w:p w14:paraId="73925F5C">
      <w:pPr>
        <w:pStyle w:val="2"/>
        <w:spacing w:line="243" w:lineRule="auto"/>
      </w:pPr>
    </w:p>
    <w:p w14:paraId="107E3C78">
      <w:pPr>
        <w:pStyle w:val="2"/>
        <w:spacing w:line="243" w:lineRule="auto"/>
      </w:pPr>
    </w:p>
    <w:p w14:paraId="360EAB76">
      <w:pPr>
        <w:pStyle w:val="2"/>
        <w:spacing w:line="244" w:lineRule="auto"/>
      </w:pPr>
    </w:p>
    <w:p w14:paraId="21567BD3">
      <w:pPr>
        <w:pStyle w:val="2"/>
        <w:spacing w:line="244" w:lineRule="auto"/>
      </w:pPr>
    </w:p>
    <w:p w14:paraId="355D8946">
      <w:pPr>
        <w:pStyle w:val="2"/>
        <w:spacing w:line="244" w:lineRule="auto"/>
      </w:pPr>
    </w:p>
    <w:p w14:paraId="4767D0ED">
      <w:pPr>
        <w:pStyle w:val="2"/>
        <w:spacing w:line="244" w:lineRule="auto"/>
      </w:pPr>
    </w:p>
    <w:p w14:paraId="395357AD">
      <w:pPr>
        <w:spacing w:before="59" w:line="219" w:lineRule="auto"/>
        <w:ind w:left="5438"/>
        <w:rPr>
          <w:rFonts w:ascii="宋体" w:hAnsi="宋体" w:eastAsia="宋体" w:cs="宋体"/>
          <w:sz w:val="18"/>
          <w:szCs w:val="18"/>
        </w:rPr>
      </w:pPr>
      <w:r>
        <w:drawing>
          <wp:anchor distT="0" distB="0" distL="0" distR="0" simplePos="0" relativeHeight="251662336" behindDoc="1" locked="0" layoutInCell="1" allowOverlap="1">
            <wp:simplePos x="0" y="0"/>
            <wp:positionH relativeFrom="column">
              <wp:posOffset>3346450</wp:posOffset>
            </wp:positionH>
            <wp:positionV relativeFrom="paragraph">
              <wp:posOffset>-41910</wp:posOffset>
            </wp:positionV>
            <wp:extent cx="701675" cy="34353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99"/>
                    <a:stretch>
                      <a:fillRect/>
                    </a:stretch>
                  </pic:blipFill>
                  <pic:spPr>
                    <a:xfrm>
                      <a:off x="0" y="0"/>
                      <a:ext cx="701510" cy="343420"/>
                    </a:xfrm>
                    <a:prstGeom prst="rect">
                      <a:avLst/>
                    </a:prstGeom>
                  </pic:spPr>
                </pic:pic>
              </a:graphicData>
            </a:graphic>
          </wp:anchor>
        </w:drawing>
      </w:r>
      <w:r>
        <w:drawing>
          <wp:anchor distT="0" distB="0" distL="0" distR="0" simplePos="0" relativeHeight="251660288" behindDoc="1" locked="0" layoutInCell="1" allowOverlap="1">
            <wp:simplePos x="0" y="0"/>
            <wp:positionH relativeFrom="column">
              <wp:posOffset>0</wp:posOffset>
            </wp:positionH>
            <wp:positionV relativeFrom="paragraph">
              <wp:posOffset>-1961515</wp:posOffset>
            </wp:positionV>
            <wp:extent cx="5544185" cy="441515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00"/>
                    <a:stretch>
                      <a:fillRect/>
                    </a:stretch>
                  </pic:blipFill>
                  <pic:spPr>
                    <a:xfrm>
                      <a:off x="0" y="0"/>
                      <a:ext cx="5544311" cy="4415028"/>
                    </a:xfrm>
                    <a:prstGeom prst="rect">
                      <a:avLst/>
                    </a:prstGeom>
                  </pic:spPr>
                </pic:pic>
              </a:graphicData>
            </a:graphic>
          </wp:anchor>
        </w:drawing>
      </w:r>
      <w:r>
        <w:rPr>
          <w:rFonts w:ascii="宋体" w:hAnsi="宋体" w:eastAsia="宋体" w:cs="宋体"/>
          <w:b/>
          <w:bCs/>
          <w:spacing w:val="-4"/>
          <w:sz w:val="18"/>
          <w:szCs w:val="18"/>
        </w:rPr>
        <w:t>本项目</w:t>
      </w:r>
    </w:p>
    <w:p w14:paraId="5D0BEE67">
      <w:pPr>
        <w:pStyle w:val="2"/>
        <w:spacing w:line="250" w:lineRule="auto"/>
      </w:pPr>
      <w:r>
        <mc:AlternateContent>
          <mc:Choice Requires="wps">
            <w:drawing>
              <wp:anchor distT="0" distB="0" distL="0" distR="0" simplePos="0" relativeHeight="251661312" behindDoc="1" locked="0" layoutInCell="1" allowOverlap="1">
                <wp:simplePos x="0" y="0"/>
                <wp:positionH relativeFrom="column">
                  <wp:posOffset>3982085</wp:posOffset>
                </wp:positionH>
                <wp:positionV relativeFrom="paragraph">
                  <wp:posOffset>73025</wp:posOffset>
                </wp:positionV>
                <wp:extent cx="71120" cy="71755"/>
                <wp:effectExtent l="0" t="0" r="0" b="0"/>
                <wp:wrapNone/>
                <wp:docPr id="14" name="Rect 14"/>
                <wp:cNvGraphicFramePr/>
                <a:graphic xmlns:a="http://schemas.openxmlformats.org/drawingml/2006/main">
                  <a:graphicData uri="http://schemas.microsoft.com/office/word/2010/wordprocessingShape">
                    <wps:wsp>
                      <wps:cNvSpPr/>
                      <wps:spPr>
                        <a:xfrm>
                          <a:off x="3982262" y="73527"/>
                          <a:ext cx="71119" cy="71755"/>
                        </a:xfrm>
                        <a:prstGeom prst="rect">
                          <a:avLst/>
                        </a:prstGeom>
                        <a:solidFill>
                          <a:srgbClr val="FF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 o:spid="_x0000_s1026" o:spt="1" style="position:absolute;left:0pt;margin-left:313.55pt;margin-top:5.75pt;height:5.65pt;width:5.6pt;z-index:-251655168;mso-width-relative:page;mso-height-relative:page;" fillcolor="#FF0000" filled="t" stroked="f" coordsize="21600,21600" o:gfxdata="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ys5LnVAAAACQEAAA8AAAAAAAAAAQAgAAAAIgAAAGRycy9kb3ducmV2LnhtbFBLAQIU&#10;ABQAAAAIAIdO4kDft5BbLwIAAGsEAAAOAAAAAAAAAAEAIAAAACQBAABkcnMvZTJvRG9jLnhtbFBL&#10;BQYAAAAABgAGAFkBAADFBQAAAAA=&#10;">
                <v:fill on="t" focussize="0,0"/>
                <v:stroke on="f" weight="0pt"/>
                <v:imagedata o:title=""/>
                <o:lock v:ext="edit" aspectratio="f"/>
                <v:textbox inset="0mm,0mm,0mm,0mm"/>
              </v:rect>
            </w:pict>
          </mc:Fallback>
        </mc:AlternateContent>
      </w:r>
    </w:p>
    <w:p w14:paraId="3A2DDD6E">
      <w:pPr>
        <w:pStyle w:val="2"/>
        <w:spacing w:line="250" w:lineRule="auto"/>
      </w:pPr>
    </w:p>
    <w:p w14:paraId="0E4D0CFD">
      <w:pPr>
        <w:pStyle w:val="2"/>
        <w:spacing w:line="250" w:lineRule="auto"/>
      </w:pPr>
    </w:p>
    <w:p w14:paraId="731BA078">
      <w:pPr>
        <w:pStyle w:val="2"/>
        <w:spacing w:line="250" w:lineRule="auto"/>
      </w:pPr>
    </w:p>
    <w:p w14:paraId="281C7104">
      <w:pPr>
        <w:pStyle w:val="2"/>
        <w:spacing w:line="250" w:lineRule="auto"/>
      </w:pPr>
    </w:p>
    <w:p w14:paraId="4992703F">
      <w:pPr>
        <w:pStyle w:val="2"/>
        <w:spacing w:line="250" w:lineRule="auto"/>
      </w:pPr>
    </w:p>
    <w:p w14:paraId="1A426171">
      <w:pPr>
        <w:pStyle w:val="2"/>
        <w:spacing w:line="250" w:lineRule="auto"/>
      </w:pPr>
    </w:p>
    <w:p w14:paraId="57B2117E">
      <w:pPr>
        <w:pStyle w:val="2"/>
        <w:spacing w:line="250" w:lineRule="auto"/>
      </w:pPr>
    </w:p>
    <w:p w14:paraId="6AF90E08">
      <w:pPr>
        <w:pStyle w:val="2"/>
        <w:spacing w:line="250" w:lineRule="auto"/>
      </w:pPr>
    </w:p>
    <w:p w14:paraId="32E2CED5">
      <w:pPr>
        <w:pStyle w:val="2"/>
        <w:spacing w:line="250" w:lineRule="auto"/>
      </w:pPr>
    </w:p>
    <w:p w14:paraId="3963285A">
      <w:pPr>
        <w:pStyle w:val="2"/>
        <w:spacing w:line="251" w:lineRule="auto"/>
      </w:pPr>
    </w:p>
    <w:p w14:paraId="0D82BFC7">
      <w:pPr>
        <w:pStyle w:val="2"/>
        <w:spacing w:line="251" w:lineRule="auto"/>
      </w:pPr>
    </w:p>
    <w:p w14:paraId="6DEE94F1">
      <w:pPr>
        <w:pStyle w:val="2"/>
        <w:spacing w:line="251" w:lineRule="auto"/>
      </w:pPr>
    </w:p>
    <w:p w14:paraId="15087F3A">
      <w:pPr>
        <w:pStyle w:val="2"/>
        <w:spacing w:line="251" w:lineRule="auto"/>
      </w:pPr>
    </w:p>
    <w:p w14:paraId="130C0260">
      <w:pPr>
        <w:pStyle w:val="2"/>
        <w:spacing w:line="251" w:lineRule="auto"/>
      </w:pPr>
    </w:p>
    <w:p w14:paraId="142ACCF1">
      <w:pPr>
        <w:spacing w:before="65" w:line="228" w:lineRule="auto"/>
        <w:ind w:left="2966"/>
        <w:rPr>
          <w:rFonts w:ascii="宋体" w:hAnsi="宋体" w:eastAsia="宋体" w:cs="宋体"/>
          <w:sz w:val="20"/>
          <w:szCs w:val="20"/>
        </w:rPr>
      </w:pPr>
      <w:r>
        <w:rPr>
          <w:rFonts w:ascii="宋体" w:hAnsi="宋体" w:eastAsia="宋体" w:cs="宋体"/>
          <w:b/>
          <w:bCs/>
          <w:spacing w:val="4"/>
          <w:sz w:val="20"/>
          <w:szCs w:val="20"/>
        </w:rPr>
        <w:t>图</w:t>
      </w:r>
      <w:r>
        <w:rPr>
          <w:rFonts w:ascii="宋体" w:hAnsi="宋体" w:eastAsia="宋体" w:cs="宋体"/>
          <w:spacing w:val="-27"/>
          <w:sz w:val="20"/>
          <w:szCs w:val="20"/>
        </w:rPr>
        <w:t xml:space="preserve"> </w:t>
      </w:r>
      <w:r>
        <w:rPr>
          <w:rFonts w:ascii="Times New Roman" w:hAnsi="Times New Roman" w:eastAsia="Times New Roman" w:cs="Times New Roman"/>
          <w:b/>
          <w:bCs/>
          <w:spacing w:val="4"/>
          <w:sz w:val="20"/>
          <w:szCs w:val="20"/>
        </w:rPr>
        <w:t xml:space="preserve">1.4-4 </w:t>
      </w:r>
      <w:r>
        <w:rPr>
          <w:rFonts w:ascii="宋体" w:hAnsi="宋体" w:eastAsia="宋体" w:cs="宋体"/>
          <w:b/>
          <w:bCs/>
          <w:spacing w:val="4"/>
          <w:sz w:val="20"/>
          <w:szCs w:val="20"/>
        </w:rPr>
        <w:t>广东省环境管控单元图</w:t>
      </w:r>
    </w:p>
    <w:p w14:paraId="24EEC39C">
      <w:pPr>
        <w:spacing w:before="224" w:line="222" w:lineRule="auto"/>
        <w:ind w:left="15"/>
        <w:outlineLvl w:val="2"/>
        <w:rPr>
          <w:rFonts w:ascii="宋体" w:hAnsi="宋体" w:eastAsia="宋体" w:cs="宋体"/>
          <w:sz w:val="24"/>
          <w:szCs w:val="24"/>
        </w:rPr>
      </w:pPr>
      <w:r>
        <w:rPr>
          <w:rFonts w:ascii="Times New Roman" w:hAnsi="Times New Roman" w:eastAsia="Times New Roman" w:cs="Times New Roman"/>
          <w:b/>
          <w:bCs/>
          <w:spacing w:val="-3"/>
          <w:sz w:val="24"/>
          <w:szCs w:val="24"/>
        </w:rPr>
        <w:t>1.4.7</w:t>
      </w:r>
      <w:r>
        <w:rPr>
          <w:rFonts w:ascii="宋体" w:hAnsi="宋体" w:eastAsia="宋体" w:cs="宋体"/>
          <w:b/>
          <w:bCs/>
          <w:spacing w:val="-3"/>
          <w:sz w:val="24"/>
          <w:szCs w:val="24"/>
        </w:rPr>
        <w:t>小结</w:t>
      </w:r>
    </w:p>
    <w:p w14:paraId="249110D3">
      <w:pPr>
        <w:spacing w:before="113" w:line="360" w:lineRule="auto"/>
        <w:ind w:left="10" w:right="2" w:firstLine="481"/>
        <w:jc w:val="both"/>
        <w:rPr>
          <w:rFonts w:ascii="宋体" w:hAnsi="宋体" w:eastAsia="宋体" w:cs="宋体"/>
          <w:sz w:val="24"/>
          <w:szCs w:val="24"/>
        </w:rPr>
      </w:pPr>
      <w:r>
        <w:rPr>
          <w:rFonts w:ascii="宋体" w:hAnsi="宋体" w:eastAsia="宋体" w:cs="宋体"/>
          <w:spacing w:val="2"/>
          <w:sz w:val="24"/>
          <w:szCs w:val="24"/>
        </w:rPr>
        <w:t>综上所述，本项目建设内容符合国家及地方产业政策；项目建设符合相关法律</w:t>
      </w:r>
      <w:r>
        <w:rPr>
          <w:rFonts w:ascii="宋体" w:hAnsi="宋体" w:eastAsia="宋体" w:cs="宋体"/>
          <w:spacing w:val="7"/>
          <w:sz w:val="24"/>
          <w:szCs w:val="24"/>
        </w:rPr>
        <w:t xml:space="preserve"> </w:t>
      </w:r>
      <w:r>
        <w:rPr>
          <w:rFonts w:ascii="宋体" w:hAnsi="宋体" w:eastAsia="宋体" w:cs="宋体"/>
          <w:spacing w:val="2"/>
          <w:sz w:val="24"/>
          <w:szCs w:val="24"/>
        </w:rPr>
        <w:t>法规的要求；符合地方相关规划；选址符合相关法律法规；平面布置较为合理。因</w:t>
      </w:r>
      <w:r>
        <w:rPr>
          <w:rFonts w:ascii="宋体" w:hAnsi="宋体" w:eastAsia="宋体" w:cs="宋体"/>
          <w:spacing w:val="5"/>
          <w:sz w:val="24"/>
          <w:szCs w:val="24"/>
        </w:rPr>
        <w:t xml:space="preserve"> </w:t>
      </w:r>
      <w:r>
        <w:rPr>
          <w:rFonts w:ascii="宋体" w:hAnsi="宋体" w:eastAsia="宋体" w:cs="宋体"/>
          <w:spacing w:val="-1"/>
          <w:sz w:val="24"/>
          <w:szCs w:val="24"/>
        </w:rPr>
        <w:t>此，本项目的建设具有规划合理性和环境可行性。</w:t>
      </w:r>
    </w:p>
    <w:p w14:paraId="4C85869F">
      <w:pPr>
        <w:spacing w:line="360" w:lineRule="auto"/>
        <w:rPr>
          <w:rFonts w:ascii="宋体" w:hAnsi="宋体" w:eastAsia="宋体" w:cs="宋体"/>
          <w:sz w:val="24"/>
          <w:szCs w:val="24"/>
        </w:rPr>
        <w:sectPr>
          <w:footerReference r:id="rId24" w:type="default"/>
          <w:pgSz w:w="11906" w:h="16839"/>
          <w:pgMar w:top="1431" w:right="1585" w:bottom="1485" w:left="1588" w:header="0" w:footer="1249" w:gutter="0"/>
          <w:cols w:space="720" w:num="1"/>
        </w:sectPr>
      </w:pPr>
    </w:p>
    <w:p w14:paraId="213854F0">
      <w:pPr>
        <w:pStyle w:val="2"/>
        <w:spacing w:line="312" w:lineRule="auto"/>
      </w:pPr>
    </w:p>
    <w:p w14:paraId="7F5F530F">
      <w:pPr>
        <w:spacing w:before="101" w:line="226" w:lineRule="auto"/>
        <w:ind w:left="23"/>
        <w:outlineLvl w:val="1"/>
        <w:rPr>
          <w:rFonts w:ascii="宋体" w:hAnsi="宋体" w:eastAsia="宋体" w:cs="宋体"/>
          <w:sz w:val="31"/>
          <w:szCs w:val="31"/>
        </w:rPr>
      </w:pPr>
      <w:bookmarkStart w:id="6" w:name="bookmark6"/>
      <w:bookmarkEnd w:id="6"/>
      <w:r>
        <w:rPr>
          <w:rFonts w:ascii="Times New Roman" w:hAnsi="Times New Roman" w:eastAsia="Times New Roman" w:cs="Times New Roman"/>
          <w:b/>
          <w:bCs/>
          <w:spacing w:val="5"/>
          <w:sz w:val="31"/>
          <w:szCs w:val="31"/>
        </w:rPr>
        <w:t>1.5</w:t>
      </w:r>
      <w:r>
        <w:rPr>
          <w:rFonts w:ascii="宋体" w:hAnsi="宋体" w:eastAsia="宋体" w:cs="宋体"/>
          <w:b/>
          <w:bCs/>
          <w:spacing w:val="5"/>
          <w:sz w:val="31"/>
          <w:szCs w:val="31"/>
        </w:rPr>
        <w:t>项目主要环境问题及环境影响</w:t>
      </w:r>
    </w:p>
    <w:p w14:paraId="686D2DDD">
      <w:pPr>
        <w:pStyle w:val="2"/>
        <w:spacing w:line="409" w:lineRule="auto"/>
      </w:pPr>
    </w:p>
    <w:p w14:paraId="3BB1A8A8">
      <w:pPr>
        <w:spacing w:before="78" w:line="362" w:lineRule="auto"/>
        <w:ind w:left="11" w:right="81" w:firstLine="481"/>
        <w:rPr>
          <w:rFonts w:ascii="宋体" w:hAnsi="宋体" w:eastAsia="宋体" w:cs="宋体"/>
          <w:sz w:val="24"/>
          <w:szCs w:val="24"/>
        </w:rPr>
      </w:pPr>
      <w:r>
        <w:rPr>
          <w:rFonts w:ascii="宋体" w:hAnsi="宋体" w:eastAsia="宋体" w:cs="宋体"/>
          <w:spacing w:val="2"/>
          <w:sz w:val="24"/>
          <w:szCs w:val="24"/>
        </w:rPr>
        <w:t>本项目施工期建筑物的建设，主要环境问题为施工期的废水、粉尘、噪声及固</w:t>
      </w:r>
      <w:r>
        <w:rPr>
          <w:rFonts w:ascii="宋体" w:hAnsi="宋体" w:eastAsia="宋体" w:cs="宋体"/>
          <w:spacing w:val="9"/>
          <w:sz w:val="24"/>
          <w:szCs w:val="24"/>
        </w:rPr>
        <w:t xml:space="preserve"> </w:t>
      </w:r>
      <w:r>
        <w:rPr>
          <w:rFonts w:ascii="宋体" w:hAnsi="宋体" w:eastAsia="宋体" w:cs="宋体"/>
          <w:spacing w:val="-1"/>
          <w:sz w:val="24"/>
          <w:szCs w:val="24"/>
        </w:rPr>
        <w:t>废的排放。营运期主要环境问题为废气、固废及噪声的排放。</w:t>
      </w:r>
    </w:p>
    <w:p w14:paraId="21CC8539">
      <w:pPr>
        <w:spacing w:before="1" w:line="350" w:lineRule="auto"/>
        <w:ind w:right="15" w:firstLine="50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）施工期废水，主要来源于开挖和钻孔产生的泥浆水、机械设备运转的冷却</w:t>
      </w:r>
      <w:r>
        <w:rPr>
          <w:rFonts w:ascii="宋体" w:hAnsi="宋体" w:eastAsia="宋体" w:cs="宋体"/>
          <w:spacing w:val="16"/>
          <w:sz w:val="24"/>
          <w:szCs w:val="24"/>
        </w:rPr>
        <w:t xml:space="preserve"> </w:t>
      </w:r>
      <w:r>
        <w:rPr>
          <w:rFonts w:ascii="宋体" w:hAnsi="宋体" w:eastAsia="宋体" w:cs="宋体"/>
          <w:spacing w:val="2"/>
          <w:sz w:val="24"/>
          <w:szCs w:val="24"/>
        </w:rPr>
        <w:t>水和洗涤水、工程养护用水、施工机械跑、冒、滴、漏的污油和露天施工机械被雨</w:t>
      </w:r>
      <w:r>
        <w:rPr>
          <w:rFonts w:ascii="宋体" w:hAnsi="宋体" w:eastAsia="宋体" w:cs="宋体"/>
          <w:spacing w:val="18"/>
          <w:sz w:val="24"/>
          <w:szCs w:val="24"/>
        </w:rPr>
        <w:t xml:space="preserve"> </w:t>
      </w:r>
      <w:r>
        <w:rPr>
          <w:rFonts w:ascii="宋体" w:hAnsi="宋体" w:eastAsia="宋体" w:cs="宋体"/>
          <w:spacing w:val="-1"/>
          <w:sz w:val="24"/>
          <w:szCs w:val="24"/>
        </w:rPr>
        <w:t>水等冲刷后产生一定量的含油污水及生活污水，主要污染物为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COD</w:t>
      </w:r>
      <w:r>
        <w:rPr>
          <w:rFonts w:ascii="Times New Roman" w:hAnsi="Times New Roman" w:eastAsia="Times New Roman" w:cs="Times New Roman"/>
          <w:spacing w:val="-1"/>
          <w:position w:val="-1"/>
          <w:sz w:val="15"/>
          <w:szCs w:val="15"/>
        </w:rPr>
        <w:t>Cr</w:t>
      </w:r>
      <w:r>
        <w:rPr>
          <w:rFonts w:ascii="Times New Roman" w:hAnsi="Times New Roman" w:eastAsia="Times New Roman" w:cs="Times New Roman"/>
          <w:spacing w:val="-11"/>
          <w:position w:val="-1"/>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BOD</w:t>
      </w:r>
      <w:r>
        <w:rPr>
          <w:rFonts w:ascii="Times New Roman" w:hAnsi="Times New Roman" w:eastAsia="Times New Roman" w:cs="Times New Roman"/>
          <w:spacing w:val="-1"/>
          <w:position w:val="-1"/>
          <w:sz w:val="15"/>
          <w:szCs w:val="15"/>
        </w:rPr>
        <w:t xml:space="preserve">5 </w:t>
      </w:r>
      <w:r>
        <w:rPr>
          <w:rFonts w:ascii="宋体" w:hAnsi="宋体" w:eastAsia="宋体" w:cs="宋体"/>
          <w:spacing w:val="-1"/>
          <w:sz w:val="24"/>
          <w:szCs w:val="24"/>
        </w:rPr>
        <w:t>、</w:t>
      </w:r>
      <w:r>
        <w:rPr>
          <w:rFonts w:ascii="Times New Roman" w:hAnsi="Times New Roman" w:eastAsia="Times New Roman" w:cs="Times New Roman"/>
          <w:spacing w:val="-1"/>
          <w:sz w:val="24"/>
          <w:szCs w:val="24"/>
        </w:rPr>
        <w:t>SS</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 xml:space="preserve">-N </w:t>
      </w:r>
      <w:r>
        <w:rPr>
          <w:rFonts w:ascii="宋体" w:hAnsi="宋体" w:eastAsia="宋体" w:cs="宋体"/>
          <w:spacing w:val="-2"/>
          <w:sz w:val="24"/>
          <w:szCs w:val="24"/>
        </w:rPr>
        <w:t>等；营运期废水，生活污水，主要污染物为</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2"/>
          <w:position w:val="-1"/>
          <w:sz w:val="15"/>
          <w:szCs w:val="15"/>
        </w:rPr>
        <w:t>Cr</w:t>
      </w:r>
      <w:r>
        <w:rPr>
          <w:rFonts w:ascii="Times New Roman" w:hAnsi="Times New Roman" w:eastAsia="Times New Roman" w:cs="Times New Roman"/>
          <w:spacing w:val="-12"/>
          <w:position w:val="-1"/>
          <w:sz w:val="15"/>
          <w:szCs w:val="15"/>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10"/>
          <w:position w:val="-1"/>
          <w:sz w:val="15"/>
          <w:szCs w:val="15"/>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SS</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 xml:space="preserve">-N </w:t>
      </w:r>
      <w:r>
        <w:rPr>
          <w:rFonts w:ascii="宋体" w:hAnsi="宋体" w:eastAsia="宋体" w:cs="宋体"/>
          <w:spacing w:val="-2"/>
          <w:sz w:val="24"/>
          <w:szCs w:val="24"/>
        </w:rPr>
        <w:t>等，</w:t>
      </w:r>
      <w:r>
        <w:rPr>
          <w:rFonts w:ascii="宋体" w:hAnsi="宋体" w:eastAsia="宋体" w:cs="宋体"/>
          <w:sz w:val="24"/>
          <w:szCs w:val="24"/>
        </w:rPr>
        <w:t xml:space="preserve"> 养殖废水不单独收集，与猪只粪便一起收集 ，形成粪污，用于发酵有机肥。</w:t>
      </w:r>
    </w:p>
    <w:p w14:paraId="4856BA14">
      <w:pPr>
        <w:spacing w:before="164" w:line="350" w:lineRule="auto"/>
        <w:ind w:left="11" w:right="58"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）施工期废气，主要来源于施工扬尘废气和各类施工机械和运输车辆所排放</w:t>
      </w:r>
      <w:r>
        <w:rPr>
          <w:rFonts w:ascii="宋体" w:hAnsi="宋体" w:eastAsia="宋体" w:cs="宋体"/>
          <w:spacing w:val="16"/>
          <w:sz w:val="24"/>
          <w:szCs w:val="24"/>
        </w:rPr>
        <w:t xml:space="preserve"> </w:t>
      </w:r>
      <w:r>
        <w:rPr>
          <w:rFonts w:ascii="宋体" w:hAnsi="宋体" w:eastAsia="宋体" w:cs="宋体"/>
          <w:spacing w:val="2"/>
          <w:sz w:val="24"/>
          <w:szCs w:val="24"/>
        </w:rPr>
        <w:t>的废气，主要污染物为颗粒物、</w:t>
      </w:r>
      <w:r>
        <w:rPr>
          <w:rFonts w:ascii="Times New Roman" w:hAnsi="Times New Roman" w:eastAsia="Times New Roman" w:cs="Times New Roman"/>
          <w:sz w:val="24"/>
          <w:szCs w:val="24"/>
        </w:rPr>
        <w:t>NO</w:t>
      </w:r>
      <w:r>
        <w:rPr>
          <w:rFonts w:ascii="Times New Roman" w:hAnsi="Times New Roman" w:eastAsia="Times New Roman" w:cs="Times New Roman"/>
          <w:spacing w:val="2"/>
          <w:position w:val="-4"/>
          <w:sz w:val="15"/>
          <w:szCs w:val="15"/>
        </w:rPr>
        <w:t>2</w:t>
      </w:r>
      <w:r>
        <w:rPr>
          <w:rFonts w:ascii="Times New Roman" w:hAnsi="Times New Roman" w:eastAsia="Times New Roman" w:cs="Times New Roman"/>
          <w:spacing w:val="32"/>
          <w:w w:val="101"/>
          <w:position w:val="-4"/>
          <w:sz w:val="15"/>
          <w:szCs w:val="15"/>
        </w:rPr>
        <w:t xml:space="preserve"> </w:t>
      </w:r>
      <w:r>
        <w:rPr>
          <w:rFonts w:ascii="宋体" w:hAnsi="宋体" w:eastAsia="宋体" w:cs="宋体"/>
          <w:spacing w:val="2"/>
          <w:sz w:val="24"/>
          <w:szCs w:val="24"/>
        </w:rPr>
        <w:t>等；营运期废气，主要来源于养殖场猪舍、有</w:t>
      </w:r>
      <w:r>
        <w:rPr>
          <w:rFonts w:ascii="宋体" w:hAnsi="宋体" w:eastAsia="宋体" w:cs="宋体"/>
          <w:sz w:val="24"/>
          <w:szCs w:val="24"/>
        </w:rPr>
        <w:t xml:space="preserve"> </w:t>
      </w:r>
      <w:r>
        <w:rPr>
          <w:rFonts w:ascii="宋体" w:hAnsi="宋体" w:eastAsia="宋体" w:cs="宋体"/>
          <w:spacing w:val="-2"/>
          <w:sz w:val="24"/>
          <w:szCs w:val="24"/>
        </w:rPr>
        <w:t>机肥发酵车间等臭气、饲料加工粉尘及备用发电机尾气，主要污染物为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1"/>
          <w:sz w:val="15"/>
          <w:szCs w:val="15"/>
        </w:rPr>
        <w:t>3</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4"/>
          <w:sz w:val="24"/>
          <w:szCs w:val="24"/>
        </w:rPr>
        <w:t>臭气浓度、</w:t>
      </w:r>
      <w:r>
        <w:rPr>
          <w:rFonts w:ascii="Times New Roman" w:hAnsi="Times New Roman" w:eastAsia="Times New Roman" w:cs="Times New Roman"/>
          <w:spacing w:val="-4"/>
          <w:sz w:val="24"/>
          <w:szCs w:val="24"/>
        </w:rPr>
        <w:t>TSP</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SO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3"/>
          <w:position w:val="-1"/>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5"/>
          <w:szCs w:val="15"/>
        </w:rPr>
        <w:t>X</w:t>
      </w:r>
      <w:r>
        <w:rPr>
          <w:rFonts w:ascii="Times New Roman" w:hAnsi="Times New Roman" w:eastAsia="Times New Roman" w:cs="Times New Roman"/>
          <w:spacing w:val="-11"/>
          <w:position w:val="-1"/>
          <w:sz w:val="15"/>
          <w:szCs w:val="15"/>
        </w:rPr>
        <w:t xml:space="preserve"> </w:t>
      </w:r>
      <w:r>
        <w:rPr>
          <w:rFonts w:ascii="宋体" w:hAnsi="宋体" w:eastAsia="宋体" w:cs="宋体"/>
          <w:spacing w:val="-4"/>
          <w:sz w:val="24"/>
          <w:szCs w:val="24"/>
        </w:rPr>
        <w:t>、烟尘等。</w:t>
      </w:r>
    </w:p>
    <w:p w14:paraId="71DB18D9">
      <w:pPr>
        <w:spacing w:before="137" w:line="312" w:lineRule="auto"/>
        <w:ind w:left="15" w:firstLine="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）施工期噪声，主要来自施工现场的各类机械设备和物料运输的交通；营运</w:t>
      </w:r>
      <w:r>
        <w:rPr>
          <w:rFonts w:ascii="宋体" w:hAnsi="宋体" w:eastAsia="宋体" w:cs="宋体"/>
          <w:spacing w:val="16"/>
          <w:sz w:val="24"/>
          <w:szCs w:val="24"/>
        </w:rPr>
        <w:t xml:space="preserve"> </w:t>
      </w:r>
      <w:r>
        <w:rPr>
          <w:rFonts w:ascii="宋体" w:hAnsi="宋体" w:eastAsia="宋体" w:cs="宋体"/>
          <w:spacing w:val="-2"/>
          <w:sz w:val="24"/>
          <w:szCs w:val="24"/>
        </w:rPr>
        <w:t>期噪声，主要来自猪舍排气扇、水泵、饲料加工设备、发电机</w:t>
      </w:r>
      <w:r>
        <w:rPr>
          <w:rFonts w:ascii="宋体" w:hAnsi="宋体" w:eastAsia="宋体" w:cs="宋体"/>
          <w:spacing w:val="-3"/>
          <w:sz w:val="24"/>
          <w:szCs w:val="24"/>
        </w:rPr>
        <w:t>等设备和猪只叫声等。</w:t>
      </w:r>
    </w:p>
    <w:p w14:paraId="6C0C44F3">
      <w:pPr>
        <w:spacing w:before="166" w:line="312" w:lineRule="auto"/>
        <w:ind w:left="12" w:right="89"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）施工期固废，主要为建筑垃圾、生活垃圾；营运期固废，包括生活垃圾、</w:t>
      </w:r>
      <w:r>
        <w:rPr>
          <w:rFonts w:ascii="宋体" w:hAnsi="宋体" w:eastAsia="宋体" w:cs="宋体"/>
          <w:spacing w:val="8"/>
          <w:sz w:val="24"/>
          <w:szCs w:val="24"/>
        </w:rPr>
        <w:t xml:space="preserve"> </w:t>
      </w:r>
      <w:r>
        <w:rPr>
          <w:rFonts w:ascii="宋体" w:hAnsi="宋体" w:eastAsia="宋体" w:cs="宋体"/>
          <w:spacing w:val="-1"/>
          <w:sz w:val="24"/>
          <w:szCs w:val="24"/>
        </w:rPr>
        <w:t>猪只粪便、病死猪尸体、医疗废物、废包装物等。</w:t>
      </w:r>
    </w:p>
    <w:p w14:paraId="4E40E4E1">
      <w:pPr>
        <w:pStyle w:val="2"/>
        <w:spacing w:line="402" w:lineRule="auto"/>
      </w:pPr>
    </w:p>
    <w:p w14:paraId="4D2F4AA7">
      <w:pPr>
        <w:spacing w:before="100" w:line="224" w:lineRule="auto"/>
        <w:ind w:left="23"/>
        <w:outlineLvl w:val="1"/>
        <w:rPr>
          <w:rFonts w:ascii="宋体" w:hAnsi="宋体" w:eastAsia="宋体" w:cs="宋体"/>
          <w:sz w:val="31"/>
          <w:szCs w:val="31"/>
        </w:rPr>
      </w:pPr>
      <w:bookmarkStart w:id="7" w:name="bookmark7"/>
      <w:bookmarkEnd w:id="7"/>
      <w:r>
        <w:rPr>
          <w:rFonts w:ascii="Times New Roman" w:hAnsi="Times New Roman" w:eastAsia="Times New Roman" w:cs="Times New Roman"/>
          <w:b/>
          <w:bCs/>
          <w:spacing w:val="5"/>
          <w:sz w:val="31"/>
          <w:szCs w:val="31"/>
        </w:rPr>
        <w:t>1.6</w:t>
      </w:r>
      <w:r>
        <w:rPr>
          <w:rFonts w:ascii="宋体" w:hAnsi="宋体" w:eastAsia="宋体" w:cs="宋体"/>
          <w:b/>
          <w:bCs/>
          <w:spacing w:val="5"/>
          <w:sz w:val="31"/>
          <w:szCs w:val="31"/>
        </w:rPr>
        <w:t>环境影响评价主要结论</w:t>
      </w:r>
    </w:p>
    <w:p w14:paraId="2557BD3F">
      <w:pPr>
        <w:pStyle w:val="2"/>
        <w:spacing w:line="450" w:lineRule="auto"/>
      </w:pPr>
    </w:p>
    <w:p w14:paraId="613BC141">
      <w:pPr>
        <w:spacing w:before="79" w:line="219" w:lineRule="auto"/>
        <w:ind w:left="18"/>
        <w:outlineLvl w:val="2"/>
        <w:rPr>
          <w:rFonts w:ascii="宋体" w:hAnsi="宋体" w:eastAsia="宋体" w:cs="宋体"/>
          <w:sz w:val="24"/>
          <w:szCs w:val="24"/>
        </w:rPr>
      </w:pPr>
      <w:r>
        <w:rPr>
          <w:rFonts w:ascii="Times New Roman" w:hAnsi="Times New Roman" w:eastAsia="Times New Roman" w:cs="Times New Roman"/>
          <w:b/>
          <w:bCs/>
          <w:spacing w:val="-3"/>
          <w:sz w:val="24"/>
          <w:szCs w:val="24"/>
        </w:rPr>
        <w:t>1.6.1</w:t>
      </w:r>
      <w:r>
        <w:rPr>
          <w:rFonts w:ascii="宋体" w:hAnsi="宋体" w:eastAsia="宋体" w:cs="宋体"/>
          <w:b/>
          <w:bCs/>
          <w:spacing w:val="-3"/>
          <w:sz w:val="24"/>
          <w:szCs w:val="24"/>
        </w:rPr>
        <w:t>运营期地表水环境影响评价结论</w:t>
      </w:r>
    </w:p>
    <w:p w14:paraId="0A150F30">
      <w:pPr>
        <w:pStyle w:val="2"/>
        <w:spacing w:line="280" w:lineRule="auto"/>
      </w:pPr>
    </w:p>
    <w:p w14:paraId="3CD09FDB">
      <w:pPr>
        <w:spacing w:before="79" w:line="377" w:lineRule="auto"/>
        <w:ind w:left="14" w:firstLine="479"/>
        <w:rPr>
          <w:rFonts w:ascii="宋体" w:hAnsi="宋体" w:eastAsia="宋体" w:cs="宋体"/>
          <w:sz w:val="24"/>
          <w:szCs w:val="24"/>
        </w:rPr>
      </w:pPr>
      <w:r>
        <w:rPr>
          <w:rFonts w:ascii="宋体" w:hAnsi="宋体" w:eastAsia="宋体" w:cs="宋体"/>
          <w:spacing w:val="-2"/>
          <w:sz w:val="24"/>
          <w:szCs w:val="24"/>
        </w:rPr>
        <w:t>本项目养殖废水（猪只尿液、猪舍冲洗水）与猪只粪</w:t>
      </w:r>
      <w:r>
        <w:rPr>
          <w:rFonts w:ascii="宋体" w:hAnsi="宋体" w:eastAsia="宋体" w:cs="宋体"/>
          <w:spacing w:val="-3"/>
          <w:sz w:val="24"/>
          <w:szCs w:val="24"/>
        </w:rPr>
        <w:t>便一起收集，不单独收集，</w:t>
      </w:r>
      <w:r>
        <w:rPr>
          <w:rFonts w:ascii="宋体" w:hAnsi="宋体" w:eastAsia="宋体" w:cs="宋体"/>
          <w:sz w:val="24"/>
          <w:szCs w:val="24"/>
        </w:rPr>
        <w:t xml:space="preserve"> </w:t>
      </w:r>
      <w:r>
        <w:rPr>
          <w:rFonts w:ascii="宋体" w:hAnsi="宋体" w:eastAsia="宋体" w:cs="宋体"/>
          <w:spacing w:val="-2"/>
          <w:sz w:val="24"/>
          <w:szCs w:val="24"/>
        </w:rPr>
        <w:t>收集的粪污传至有机肥发酵处理系统进行好氧发酵成为有机肥半</w:t>
      </w:r>
      <w:r>
        <w:rPr>
          <w:rFonts w:ascii="宋体" w:hAnsi="宋体" w:eastAsia="宋体" w:cs="宋体"/>
          <w:spacing w:val="-3"/>
          <w:sz w:val="24"/>
          <w:szCs w:val="24"/>
        </w:rPr>
        <w:t>成品外售，不外排。</w:t>
      </w:r>
      <w:r>
        <w:rPr>
          <w:rFonts w:ascii="宋体" w:hAnsi="宋体" w:eastAsia="宋体" w:cs="宋体"/>
          <w:sz w:val="24"/>
          <w:szCs w:val="24"/>
        </w:rPr>
        <w:t xml:space="preserve"> </w:t>
      </w:r>
      <w:r>
        <w:rPr>
          <w:rFonts w:ascii="宋体" w:hAnsi="宋体" w:eastAsia="宋体" w:cs="宋体"/>
          <w:spacing w:val="3"/>
          <w:sz w:val="24"/>
          <w:szCs w:val="24"/>
        </w:rPr>
        <w:t>生活污水也经有机肥发酵处理系统进行好氧发酵成为有机肥半成品外售，不外排。</w:t>
      </w:r>
      <w:r>
        <w:rPr>
          <w:rFonts w:ascii="宋体" w:hAnsi="宋体" w:eastAsia="宋体" w:cs="宋体"/>
          <w:spacing w:val="1"/>
          <w:sz w:val="24"/>
          <w:szCs w:val="24"/>
        </w:rPr>
        <w:t xml:space="preserve"> </w:t>
      </w:r>
      <w:r>
        <w:rPr>
          <w:rFonts w:ascii="宋体" w:hAnsi="宋体" w:eastAsia="宋体" w:cs="宋体"/>
          <w:spacing w:val="-1"/>
          <w:sz w:val="24"/>
          <w:szCs w:val="24"/>
        </w:rPr>
        <w:t>因此本项目不会对区域地表水环境造成影响。</w:t>
      </w:r>
    </w:p>
    <w:p w14:paraId="7520696B">
      <w:pPr>
        <w:spacing w:before="293" w:line="219" w:lineRule="auto"/>
        <w:ind w:left="18"/>
        <w:outlineLvl w:val="2"/>
        <w:rPr>
          <w:rFonts w:ascii="宋体" w:hAnsi="宋体" w:eastAsia="宋体" w:cs="宋体"/>
          <w:sz w:val="24"/>
          <w:szCs w:val="24"/>
        </w:rPr>
      </w:pPr>
      <w:r>
        <w:rPr>
          <w:rFonts w:ascii="Times New Roman" w:hAnsi="Times New Roman" w:eastAsia="Times New Roman" w:cs="Times New Roman"/>
          <w:b/>
          <w:bCs/>
          <w:spacing w:val="-3"/>
          <w:sz w:val="24"/>
          <w:szCs w:val="24"/>
        </w:rPr>
        <w:t>1.6.2</w:t>
      </w:r>
      <w:r>
        <w:rPr>
          <w:rFonts w:ascii="宋体" w:hAnsi="宋体" w:eastAsia="宋体" w:cs="宋体"/>
          <w:b/>
          <w:bCs/>
          <w:spacing w:val="-3"/>
          <w:sz w:val="24"/>
          <w:szCs w:val="24"/>
        </w:rPr>
        <w:t>营运期地下水环境评价结论</w:t>
      </w:r>
    </w:p>
    <w:p w14:paraId="2CC12E73">
      <w:pPr>
        <w:pStyle w:val="2"/>
        <w:spacing w:line="282" w:lineRule="auto"/>
      </w:pPr>
    </w:p>
    <w:p w14:paraId="79D61389">
      <w:pPr>
        <w:spacing w:before="78" w:line="219" w:lineRule="auto"/>
        <w:ind w:left="491"/>
        <w:rPr>
          <w:rFonts w:ascii="宋体" w:hAnsi="宋体" w:eastAsia="宋体" w:cs="宋体"/>
          <w:sz w:val="24"/>
          <w:szCs w:val="24"/>
        </w:rPr>
      </w:pPr>
      <w:r>
        <w:rPr>
          <w:rFonts w:ascii="宋体" w:hAnsi="宋体" w:eastAsia="宋体" w:cs="宋体"/>
          <w:spacing w:val="2"/>
          <w:sz w:val="24"/>
          <w:szCs w:val="24"/>
        </w:rPr>
        <w:t>在企业严格落实对污水明渠硬底化、环保处理设施采用防渗漏措施以及加强管</w:t>
      </w:r>
    </w:p>
    <w:p w14:paraId="7578BA9E">
      <w:pPr>
        <w:spacing w:line="219" w:lineRule="auto"/>
        <w:rPr>
          <w:rFonts w:ascii="宋体" w:hAnsi="宋体" w:eastAsia="宋体" w:cs="宋体"/>
          <w:sz w:val="24"/>
          <w:szCs w:val="24"/>
        </w:rPr>
        <w:sectPr>
          <w:footerReference r:id="rId25" w:type="default"/>
          <w:pgSz w:w="11906" w:h="16839"/>
          <w:pgMar w:top="1431" w:right="1507" w:bottom="1485" w:left="1585" w:header="0" w:footer="1249" w:gutter="0"/>
          <w:cols w:space="720" w:num="1"/>
        </w:sectPr>
      </w:pPr>
    </w:p>
    <w:p w14:paraId="6ED47AFB">
      <w:pPr>
        <w:spacing w:before="109" w:line="379" w:lineRule="auto"/>
        <w:ind w:left="7" w:right="81" w:hanging="4"/>
        <w:rPr>
          <w:rFonts w:ascii="宋体" w:hAnsi="宋体" w:eastAsia="宋体" w:cs="宋体"/>
          <w:sz w:val="24"/>
          <w:szCs w:val="24"/>
        </w:rPr>
      </w:pPr>
      <w:r>
        <w:rPr>
          <w:rFonts w:ascii="宋体" w:hAnsi="宋体" w:eastAsia="宋体" w:cs="宋体"/>
          <w:spacing w:val="2"/>
          <w:sz w:val="24"/>
          <w:szCs w:val="24"/>
        </w:rPr>
        <w:t>理下，项目养殖粪污不会对地下水环境造成不良影响，可认为，本项目的建设对地</w:t>
      </w:r>
      <w:r>
        <w:rPr>
          <w:rFonts w:ascii="宋体" w:hAnsi="宋体" w:eastAsia="宋体" w:cs="宋体"/>
          <w:spacing w:val="3"/>
          <w:sz w:val="24"/>
          <w:szCs w:val="24"/>
        </w:rPr>
        <w:t xml:space="preserve"> </w:t>
      </w:r>
      <w:r>
        <w:rPr>
          <w:rFonts w:ascii="宋体" w:hAnsi="宋体" w:eastAsia="宋体" w:cs="宋体"/>
          <w:spacing w:val="-3"/>
          <w:sz w:val="24"/>
          <w:szCs w:val="24"/>
        </w:rPr>
        <w:t>下水的影响不大。</w:t>
      </w:r>
    </w:p>
    <w:p w14:paraId="24F24518">
      <w:pPr>
        <w:spacing w:before="291" w:line="219" w:lineRule="auto"/>
        <w:ind w:left="7"/>
        <w:outlineLvl w:val="2"/>
        <w:rPr>
          <w:rFonts w:ascii="宋体" w:hAnsi="宋体" w:eastAsia="宋体" w:cs="宋体"/>
          <w:sz w:val="24"/>
          <w:szCs w:val="24"/>
        </w:rPr>
      </w:pPr>
      <w:r>
        <w:rPr>
          <w:rFonts w:ascii="Times New Roman" w:hAnsi="Times New Roman" w:eastAsia="Times New Roman" w:cs="Times New Roman"/>
          <w:b/>
          <w:bCs/>
          <w:spacing w:val="-3"/>
          <w:sz w:val="24"/>
          <w:szCs w:val="24"/>
        </w:rPr>
        <w:t>1.6.3</w:t>
      </w:r>
      <w:r>
        <w:rPr>
          <w:rFonts w:ascii="宋体" w:hAnsi="宋体" w:eastAsia="宋体" w:cs="宋体"/>
          <w:b/>
          <w:bCs/>
          <w:spacing w:val="-3"/>
          <w:sz w:val="24"/>
          <w:szCs w:val="24"/>
        </w:rPr>
        <w:t>运营期大气环境影响评价结论</w:t>
      </w:r>
    </w:p>
    <w:p w14:paraId="4B98EC3B">
      <w:pPr>
        <w:pStyle w:val="2"/>
        <w:spacing w:line="244" w:lineRule="auto"/>
      </w:pPr>
    </w:p>
    <w:p w14:paraId="77DFF541">
      <w:pPr>
        <w:spacing w:before="78" w:line="360" w:lineRule="exact"/>
        <w:ind w:left="499"/>
        <w:rPr>
          <w:rFonts w:ascii="宋体" w:hAnsi="宋体" w:eastAsia="宋体" w:cs="宋体"/>
          <w:sz w:val="24"/>
          <w:szCs w:val="24"/>
        </w:rPr>
      </w:pPr>
      <w:r>
        <w:rPr>
          <w:rFonts w:ascii="Times New Roman" w:hAnsi="Times New Roman" w:eastAsia="Times New Roman" w:cs="Times New Roman"/>
          <w:spacing w:val="-14"/>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14"/>
          <w:position w:val="2"/>
          <w:sz w:val="24"/>
          <w:szCs w:val="24"/>
        </w:rPr>
        <w:t>、臭气</w:t>
      </w:r>
    </w:p>
    <w:p w14:paraId="713E04DE">
      <w:pPr>
        <w:spacing w:before="164" w:line="362" w:lineRule="auto"/>
        <w:ind w:firstLine="481"/>
        <w:rPr>
          <w:rFonts w:ascii="宋体" w:hAnsi="宋体" w:eastAsia="宋体" w:cs="宋体"/>
          <w:sz w:val="24"/>
          <w:szCs w:val="24"/>
        </w:rPr>
      </w:pPr>
      <w:r>
        <w:rPr>
          <w:rFonts w:ascii="宋体" w:hAnsi="宋体" w:eastAsia="宋体" w:cs="宋体"/>
          <w:spacing w:val="2"/>
          <w:sz w:val="24"/>
          <w:szCs w:val="24"/>
        </w:rPr>
        <w:t>本项目猪只养殖区、有机肥发酵车间的臭气经过预测，各种污染物的最大落地</w:t>
      </w:r>
      <w:r>
        <w:rPr>
          <w:rFonts w:ascii="宋体" w:hAnsi="宋体" w:eastAsia="宋体" w:cs="宋体"/>
          <w:spacing w:val="9"/>
          <w:sz w:val="24"/>
          <w:szCs w:val="24"/>
        </w:rPr>
        <w:t xml:space="preserve"> </w:t>
      </w:r>
      <w:r>
        <w:rPr>
          <w:rFonts w:ascii="宋体" w:hAnsi="宋体" w:eastAsia="宋体" w:cs="宋体"/>
          <w:spacing w:val="-6"/>
          <w:sz w:val="24"/>
          <w:szCs w:val="24"/>
        </w:rPr>
        <w:t>浓度占标率均小于</w:t>
      </w:r>
      <w:r>
        <w:rPr>
          <w:rFonts w:ascii="宋体" w:hAnsi="宋体" w:eastAsia="宋体" w:cs="宋体"/>
          <w:spacing w:val="-14"/>
          <w:sz w:val="24"/>
          <w:szCs w:val="24"/>
        </w:rPr>
        <w:t xml:space="preserve"> </w:t>
      </w:r>
      <w:r>
        <w:rPr>
          <w:rFonts w:ascii="Times New Roman" w:hAnsi="Times New Roman" w:eastAsia="Times New Roman" w:cs="Times New Roman"/>
          <w:spacing w:val="-6"/>
          <w:sz w:val="24"/>
          <w:szCs w:val="24"/>
        </w:rPr>
        <w:t>10%</w:t>
      </w:r>
      <w:r>
        <w:rPr>
          <w:rFonts w:ascii="宋体" w:hAnsi="宋体" w:eastAsia="宋体" w:cs="宋体"/>
          <w:spacing w:val="-6"/>
          <w:sz w:val="24"/>
          <w:szCs w:val="24"/>
        </w:rPr>
        <w:t>，且最大落地浓度出现点均在距源中心</w:t>
      </w:r>
      <w:r>
        <w:rPr>
          <w:rFonts w:ascii="宋体" w:hAnsi="宋体" w:eastAsia="宋体" w:cs="宋体"/>
          <w:spacing w:val="-35"/>
          <w:sz w:val="24"/>
          <w:szCs w:val="24"/>
        </w:rPr>
        <w:t xml:space="preserve"> </w:t>
      </w:r>
      <w:r>
        <w:rPr>
          <w:rFonts w:ascii="Times New Roman" w:hAnsi="Times New Roman" w:eastAsia="Times New Roman" w:cs="Times New Roman"/>
          <w:spacing w:val="-6"/>
          <w:sz w:val="24"/>
          <w:szCs w:val="24"/>
        </w:rPr>
        <w:t>100m</w:t>
      </w:r>
      <w:r>
        <w:rPr>
          <w:rFonts w:ascii="Times New Roman" w:hAnsi="Times New Roman" w:eastAsia="Times New Roman" w:cs="Times New Roman"/>
          <w:spacing w:val="38"/>
          <w:sz w:val="24"/>
          <w:szCs w:val="24"/>
        </w:rPr>
        <w:t xml:space="preserve"> </w:t>
      </w:r>
      <w:r>
        <w:rPr>
          <w:rFonts w:ascii="宋体" w:hAnsi="宋体" w:eastAsia="宋体" w:cs="宋体"/>
          <w:spacing w:val="-6"/>
          <w:sz w:val="24"/>
          <w:szCs w:val="24"/>
        </w:rPr>
        <w:t>以内。项目下风</w:t>
      </w:r>
      <w:r>
        <w:rPr>
          <w:rFonts w:ascii="宋体" w:hAnsi="宋体" w:eastAsia="宋体" w:cs="宋体"/>
          <w:sz w:val="24"/>
          <w:szCs w:val="24"/>
        </w:rPr>
        <w:t xml:space="preserve"> </w:t>
      </w:r>
      <w:r>
        <w:rPr>
          <w:rFonts w:ascii="宋体" w:hAnsi="宋体" w:eastAsia="宋体" w:cs="宋体"/>
          <w:spacing w:val="-3"/>
          <w:sz w:val="24"/>
          <w:szCs w:val="24"/>
        </w:rPr>
        <w:t>向</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100m </w:t>
      </w:r>
      <w:r>
        <w:rPr>
          <w:rFonts w:ascii="宋体" w:hAnsi="宋体" w:eastAsia="宋体" w:cs="宋体"/>
          <w:spacing w:val="-3"/>
          <w:sz w:val="24"/>
          <w:szCs w:val="24"/>
        </w:rPr>
        <w:t>范围内无敏感目标，因此本项目大气污</w:t>
      </w:r>
      <w:r>
        <w:rPr>
          <w:rFonts w:ascii="宋体" w:hAnsi="宋体" w:eastAsia="宋体" w:cs="宋体"/>
          <w:spacing w:val="-4"/>
          <w:sz w:val="24"/>
          <w:szCs w:val="24"/>
        </w:rPr>
        <w:t>染物对周围环境影响较小。猪舍、有</w:t>
      </w:r>
      <w:r>
        <w:rPr>
          <w:rFonts w:ascii="宋体" w:hAnsi="宋体" w:eastAsia="宋体" w:cs="宋体"/>
          <w:sz w:val="24"/>
          <w:szCs w:val="24"/>
        </w:rPr>
        <w:t xml:space="preserve"> </w:t>
      </w:r>
      <w:r>
        <w:rPr>
          <w:rFonts w:ascii="宋体" w:hAnsi="宋体" w:eastAsia="宋体" w:cs="宋体"/>
          <w:spacing w:val="-2"/>
          <w:sz w:val="24"/>
          <w:szCs w:val="24"/>
        </w:rPr>
        <w:t>机肥发酵车间设有绿化带且喷洒除臭剂，排放的臭气较少，对周围环境</w:t>
      </w:r>
      <w:r>
        <w:rPr>
          <w:rFonts w:ascii="宋体" w:hAnsi="宋体" w:eastAsia="宋体" w:cs="宋体"/>
          <w:spacing w:val="-3"/>
          <w:sz w:val="24"/>
          <w:szCs w:val="24"/>
        </w:rPr>
        <w:t>的影响较小。</w:t>
      </w:r>
    </w:p>
    <w:p w14:paraId="54C52DF8">
      <w:pPr>
        <w:spacing w:before="39" w:line="360" w:lineRule="exact"/>
        <w:ind w:left="476"/>
        <w:outlineLvl w:val="0"/>
        <w:rPr>
          <w:rFonts w:ascii="宋体" w:hAnsi="宋体" w:eastAsia="宋体" w:cs="宋体"/>
          <w:sz w:val="24"/>
          <w:szCs w:val="24"/>
        </w:rPr>
      </w:pP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34"/>
          <w:position w:val="2"/>
          <w:sz w:val="24"/>
          <w:szCs w:val="24"/>
        </w:rPr>
        <w:t xml:space="preserve"> </w:t>
      </w:r>
      <w:r>
        <w:rPr>
          <w:rFonts w:ascii="宋体" w:hAnsi="宋体" w:eastAsia="宋体" w:cs="宋体"/>
          <w:spacing w:val="-4"/>
          <w:position w:val="2"/>
          <w:sz w:val="24"/>
          <w:szCs w:val="24"/>
        </w:rPr>
        <w:t>、饲料加工粉尘</w:t>
      </w:r>
    </w:p>
    <w:p w14:paraId="5F6FD314">
      <w:pPr>
        <w:spacing w:before="164" w:line="362" w:lineRule="auto"/>
        <w:ind w:right="15" w:firstLine="481"/>
        <w:jc w:val="both"/>
        <w:rPr>
          <w:rFonts w:ascii="宋体" w:hAnsi="宋体" w:eastAsia="宋体" w:cs="宋体"/>
          <w:sz w:val="24"/>
          <w:szCs w:val="24"/>
        </w:rPr>
      </w:pPr>
      <w:r>
        <w:rPr>
          <w:rFonts w:ascii="宋体" w:hAnsi="宋体" w:eastAsia="宋体" w:cs="宋体"/>
          <w:spacing w:val="2"/>
          <w:sz w:val="24"/>
          <w:szCs w:val="24"/>
        </w:rPr>
        <w:t>本项目饲料加工设备为密闭设备，产生的粉尘较小，呈无组织排放，其排放符</w:t>
      </w:r>
      <w:r>
        <w:rPr>
          <w:rFonts w:ascii="宋体" w:hAnsi="宋体" w:eastAsia="宋体" w:cs="宋体"/>
          <w:spacing w:val="9"/>
          <w:sz w:val="24"/>
          <w:szCs w:val="24"/>
        </w:rPr>
        <w:t xml:space="preserve"> </w:t>
      </w:r>
      <w:r>
        <w:rPr>
          <w:rFonts w:ascii="宋体" w:hAnsi="宋体" w:eastAsia="宋体" w:cs="宋体"/>
          <w:spacing w:val="-2"/>
          <w:sz w:val="24"/>
          <w:szCs w:val="24"/>
        </w:rPr>
        <w:t>合广东省《大气污染物排放限值》（</w:t>
      </w:r>
      <w:r>
        <w:rPr>
          <w:rFonts w:ascii="Times New Roman" w:hAnsi="Times New Roman" w:eastAsia="Times New Roman" w:cs="Times New Roman"/>
          <w:spacing w:val="-2"/>
          <w:sz w:val="24"/>
          <w:szCs w:val="24"/>
        </w:rPr>
        <w:t>DB44/27-2001</w:t>
      </w:r>
      <w:r>
        <w:rPr>
          <w:rFonts w:ascii="宋体" w:hAnsi="宋体" w:eastAsia="宋体" w:cs="宋体"/>
          <w:spacing w:val="-2"/>
          <w:sz w:val="24"/>
          <w:szCs w:val="24"/>
        </w:rPr>
        <w:t>）第二时段二</w:t>
      </w:r>
      <w:r>
        <w:rPr>
          <w:rFonts w:ascii="宋体" w:hAnsi="宋体" w:eastAsia="宋体" w:cs="宋体"/>
          <w:spacing w:val="-3"/>
          <w:sz w:val="24"/>
          <w:szCs w:val="24"/>
        </w:rPr>
        <w:t>级无组织排放标准，</w:t>
      </w:r>
      <w:r>
        <w:rPr>
          <w:rFonts w:ascii="宋体" w:hAnsi="宋体" w:eastAsia="宋体" w:cs="宋体"/>
          <w:sz w:val="24"/>
          <w:szCs w:val="24"/>
        </w:rPr>
        <w:t xml:space="preserve"> </w:t>
      </w:r>
      <w:r>
        <w:rPr>
          <w:rFonts w:ascii="宋体" w:hAnsi="宋体" w:eastAsia="宋体" w:cs="宋体"/>
          <w:spacing w:val="-2"/>
          <w:sz w:val="24"/>
          <w:szCs w:val="24"/>
        </w:rPr>
        <w:t>达标排放。</w:t>
      </w:r>
    </w:p>
    <w:p w14:paraId="58CF89E8">
      <w:pPr>
        <w:spacing w:before="56" w:line="219" w:lineRule="auto"/>
        <w:ind w:left="481"/>
        <w:rPr>
          <w:rFonts w:ascii="宋体" w:hAnsi="宋体" w:eastAsia="宋体" w:cs="宋体"/>
          <w:sz w:val="24"/>
          <w:szCs w:val="24"/>
        </w:rPr>
      </w:pPr>
      <w:r>
        <w:rPr>
          <w:rFonts w:ascii="宋体" w:hAnsi="宋体" w:eastAsia="宋体" w:cs="宋体"/>
          <w:sz w:val="24"/>
          <w:szCs w:val="24"/>
        </w:rPr>
        <w:t>本项目产生的饲料加工粉尘废气能达标排放</w:t>
      </w:r>
      <w:r>
        <w:rPr>
          <w:rFonts w:ascii="宋体" w:hAnsi="宋体" w:eastAsia="宋体" w:cs="宋体"/>
          <w:spacing w:val="-1"/>
          <w:sz w:val="24"/>
          <w:szCs w:val="24"/>
        </w:rPr>
        <w:t>，对周围环境的影响较小。</w:t>
      </w:r>
    </w:p>
    <w:p w14:paraId="0B1DA737">
      <w:pPr>
        <w:spacing w:before="169" w:line="359" w:lineRule="exact"/>
        <w:ind w:left="481"/>
        <w:rPr>
          <w:rFonts w:ascii="宋体" w:hAnsi="宋体" w:eastAsia="宋体" w:cs="宋体"/>
          <w:sz w:val="24"/>
          <w:szCs w:val="24"/>
        </w:rPr>
      </w:pPr>
      <w:r>
        <w:rPr>
          <w:rFonts w:ascii="Times New Roman" w:hAnsi="Times New Roman" w:eastAsia="Times New Roman" w:cs="Times New Roman"/>
          <w:spacing w:val="-4"/>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4"/>
          <w:position w:val="2"/>
          <w:sz w:val="24"/>
          <w:szCs w:val="24"/>
        </w:rPr>
        <w:t>、备用发电机尾气</w:t>
      </w:r>
    </w:p>
    <w:p w14:paraId="3D0F71EA">
      <w:pPr>
        <w:spacing w:before="131" w:line="366" w:lineRule="auto"/>
        <w:ind w:left="1" w:right="15" w:firstLine="480"/>
        <w:rPr>
          <w:rFonts w:ascii="宋体" w:hAnsi="宋体" w:eastAsia="宋体" w:cs="宋体"/>
          <w:sz w:val="24"/>
          <w:szCs w:val="24"/>
        </w:rPr>
      </w:pPr>
      <w:r>
        <w:rPr>
          <w:rFonts w:ascii="宋体" w:hAnsi="宋体" w:eastAsia="宋体" w:cs="宋体"/>
          <w:sz w:val="24"/>
          <w:szCs w:val="24"/>
        </w:rPr>
        <w:t>本项目柴油发电机房使用时间短暂，且使用含硫量低于</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0</w:t>
      </w:r>
      <w:r>
        <w:rPr>
          <w:rFonts w:ascii="Times New Roman" w:hAnsi="Times New Roman" w:eastAsia="Times New Roman" w:cs="Times New Roman"/>
          <w:spacing w:val="-1"/>
          <w:sz w:val="24"/>
          <w:szCs w:val="24"/>
        </w:rPr>
        <w:t>.035%</w:t>
      </w:r>
      <w:r>
        <w:rPr>
          <w:rFonts w:ascii="宋体" w:hAnsi="宋体" w:eastAsia="宋体" w:cs="宋体"/>
          <w:spacing w:val="-1"/>
          <w:sz w:val="24"/>
          <w:szCs w:val="24"/>
        </w:rPr>
        <w:t>的柴油，项目设</w:t>
      </w:r>
      <w:r>
        <w:rPr>
          <w:rFonts w:ascii="宋体" w:hAnsi="宋体" w:eastAsia="宋体" w:cs="宋体"/>
          <w:sz w:val="24"/>
          <w:szCs w:val="24"/>
        </w:rPr>
        <w:t xml:space="preserve"> </w:t>
      </w:r>
      <w:r>
        <w:rPr>
          <w:rFonts w:ascii="宋体" w:hAnsi="宋体" w:eastAsia="宋体" w:cs="宋体"/>
          <w:spacing w:val="-5"/>
          <w:sz w:val="24"/>
          <w:szCs w:val="24"/>
        </w:rPr>
        <w:t>有尾气收集设备，柴油发电机尾气收集后引至高空排放（建</w:t>
      </w:r>
      <w:r>
        <w:rPr>
          <w:rFonts w:ascii="宋体" w:hAnsi="宋体" w:eastAsia="宋体" w:cs="宋体"/>
          <w:spacing w:val="-6"/>
          <w:sz w:val="24"/>
          <w:szCs w:val="24"/>
        </w:rPr>
        <w:t>议排放高度不低于</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15m</w:t>
      </w:r>
      <w:r>
        <w:rPr>
          <w:rFonts w:ascii="宋体" w:hAnsi="宋体" w:eastAsia="宋体" w:cs="宋体"/>
          <w:spacing w:val="-54"/>
          <w:w w:val="85"/>
          <w:sz w:val="24"/>
          <w:szCs w:val="24"/>
        </w:rPr>
        <w:t>），</w:t>
      </w:r>
      <w:r>
        <w:rPr>
          <w:rFonts w:ascii="宋体" w:hAnsi="宋体" w:eastAsia="宋体" w:cs="宋体"/>
          <w:sz w:val="24"/>
          <w:szCs w:val="24"/>
        </w:rPr>
        <w:t xml:space="preserve"> </w:t>
      </w:r>
      <w:r>
        <w:rPr>
          <w:rFonts w:ascii="宋体" w:hAnsi="宋体" w:eastAsia="宋体" w:cs="宋体"/>
          <w:spacing w:val="2"/>
          <w:sz w:val="24"/>
          <w:szCs w:val="24"/>
        </w:rPr>
        <w:t>其污染物浓度能够达到广东省《大气污染物排放限值》（</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44/27-2001</w:t>
      </w:r>
      <w:r>
        <w:rPr>
          <w:rFonts w:ascii="宋体" w:hAnsi="宋体" w:eastAsia="宋体" w:cs="宋体"/>
          <w:spacing w:val="2"/>
          <w:sz w:val="24"/>
          <w:szCs w:val="24"/>
        </w:rPr>
        <w:t>）第二时段</w:t>
      </w:r>
      <w:r>
        <w:rPr>
          <w:rFonts w:ascii="宋体" w:hAnsi="宋体" w:eastAsia="宋体" w:cs="宋体"/>
          <w:sz w:val="24"/>
          <w:szCs w:val="24"/>
        </w:rPr>
        <w:t xml:space="preserve"> 二级标准限值，因此，本项目备用发电机尾</w:t>
      </w:r>
      <w:r>
        <w:rPr>
          <w:rFonts w:ascii="宋体" w:hAnsi="宋体" w:eastAsia="宋体" w:cs="宋体"/>
          <w:spacing w:val="-1"/>
          <w:sz w:val="24"/>
          <w:szCs w:val="24"/>
        </w:rPr>
        <w:t>气对周围环境的影响较小。</w:t>
      </w:r>
    </w:p>
    <w:p w14:paraId="483D6AAF">
      <w:pPr>
        <w:pStyle w:val="2"/>
        <w:spacing w:line="304" w:lineRule="auto"/>
      </w:pPr>
    </w:p>
    <w:p w14:paraId="4C7486AE">
      <w:pPr>
        <w:spacing w:before="79" w:line="219" w:lineRule="auto"/>
        <w:ind w:left="7"/>
        <w:outlineLvl w:val="1"/>
        <w:rPr>
          <w:rFonts w:ascii="宋体" w:hAnsi="宋体" w:eastAsia="宋体" w:cs="宋体"/>
          <w:sz w:val="24"/>
          <w:szCs w:val="24"/>
        </w:rPr>
      </w:pPr>
      <w:r>
        <w:rPr>
          <w:rFonts w:ascii="Times New Roman" w:hAnsi="Times New Roman" w:eastAsia="Times New Roman" w:cs="Times New Roman"/>
          <w:b/>
          <w:bCs/>
          <w:spacing w:val="-3"/>
          <w:sz w:val="24"/>
          <w:szCs w:val="24"/>
        </w:rPr>
        <w:t>1.6.4</w:t>
      </w:r>
      <w:r>
        <w:rPr>
          <w:rFonts w:ascii="宋体" w:hAnsi="宋体" w:eastAsia="宋体" w:cs="宋体"/>
          <w:b/>
          <w:bCs/>
          <w:spacing w:val="-3"/>
          <w:sz w:val="24"/>
          <w:szCs w:val="24"/>
        </w:rPr>
        <w:t>运营期声环境影响评价结论</w:t>
      </w:r>
    </w:p>
    <w:p w14:paraId="28445248">
      <w:pPr>
        <w:pStyle w:val="2"/>
        <w:spacing w:line="280" w:lineRule="auto"/>
      </w:pPr>
    </w:p>
    <w:p w14:paraId="22B2E76B">
      <w:pPr>
        <w:spacing w:before="78" w:line="379" w:lineRule="auto"/>
        <w:ind w:left="5" w:right="81" w:firstLine="476"/>
        <w:rPr>
          <w:rFonts w:ascii="宋体" w:hAnsi="宋体" w:eastAsia="宋体" w:cs="宋体"/>
          <w:sz w:val="24"/>
          <w:szCs w:val="24"/>
        </w:rPr>
      </w:pPr>
      <w:r>
        <w:rPr>
          <w:rFonts w:ascii="宋体" w:hAnsi="宋体" w:eastAsia="宋体" w:cs="宋体"/>
          <w:spacing w:val="2"/>
          <w:sz w:val="24"/>
          <w:szCs w:val="24"/>
        </w:rPr>
        <w:t>本项目对各噪声源采取有效的隔声、消声、减震措施，再经自然衰减，对周边</w:t>
      </w:r>
      <w:r>
        <w:rPr>
          <w:rFonts w:ascii="宋体" w:hAnsi="宋体" w:eastAsia="宋体" w:cs="宋体"/>
          <w:spacing w:val="9"/>
          <w:sz w:val="24"/>
          <w:szCs w:val="24"/>
        </w:rPr>
        <w:t xml:space="preserve"> </w:t>
      </w:r>
      <w:r>
        <w:rPr>
          <w:rFonts w:ascii="宋体" w:hAnsi="宋体" w:eastAsia="宋体" w:cs="宋体"/>
          <w:spacing w:val="-2"/>
          <w:sz w:val="24"/>
          <w:szCs w:val="24"/>
        </w:rPr>
        <w:t>声环境影响不明显。</w:t>
      </w:r>
    </w:p>
    <w:p w14:paraId="7B6B71F0">
      <w:pPr>
        <w:spacing w:before="292" w:line="219" w:lineRule="auto"/>
        <w:ind w:left="7"/>
        <w:outlineLvl w:val="1"/>
        <w:rPr>
          <w:rFonts w:ascii="宋体" w:hAnsi="宋体" w:eastAsia="宋体" w:cs="宋体"/>
          <w:sz w:val="24"/>
          <w:szCs w:val="24"/>
        </w:rPr>
      </w:pPr>
      <w:r>
        <w:rPr>
          <w:rFonts w:ascii="Times New Roman" w:hAnsi="Times New Roman" w:eastAsia="Times New Roman" w:cs="Times New Roman"/>
          <w:b/>
          <w:bCs/>
          <w:spacing w:val="-3"/>
          <w:sz w:val="24"/>
          <w:szCs w:val="24"/>
        </w:rPr>
        <w:t>1.6.5</w:t>
      </w:r>
      <w:r>
        <w:rPr>
          <w:rFonts w:ascii="宋体" w:hAnsi="宋体" w:eastAsia="宋体" w:cs="宋体"/>
          <w:b/>
          <w:bCs/>
          <w:spacing w:val="-3"/>
          <w:sz w:val="24"/>
          <w:szCs w:val="24"/>
        </w:rPr>
        <w:t>运营期固废环境影响评价结论</w:t>
      </w:r>
    </w:p>
    <w:p w14:paraId="03587895">
      <w:pPr>
        <w:pStyle w:val="2"/>
        <w:spacing w:line="282" w:lineRule="auto"/>
      </w:pPr>
    </w:p>
    <w:p w14:paraId="7A677DC2">
      <w:pPr>
        <w:spacing w:before="79" w:line="392" w:lineRule="auto"/>
        <w:ind w:left="1" w:right="81" w:firstLine="480"/>
        <w:jc w:val="both"/>
        <w:rPr>
          <w:rFonts w:ascii="宋体" w:hAnsi="宋体" w:eastAsia="宋体" w:cs="宋体"/>
          <w:sz w:val="24"/>
          <w:szCs w:val="24"/>
        </w:rPr>
      </w:pPr>
      <w:r>
        <w:rPr>
          <w:rFonts w:ascii="宋体" w:hAnsi="宋体" w:eastAsia="宋体" w:cs="宋体"/>
          <w:spacing w:val="2"/>
          <w:sz w:val="24"/>
          <w:szCs w:val="24"/>
        </w:rPr>
        <w:t>本项目养殖场的猪只粪便与猪只尿液、猪舍冲洗水一起收集，经异位发酵床好</w:t>
      </w:r>
      <w:r>
        <w:rPr>
          <w:rFonts w:ascii="宋体" w:hAnsi="宋体" w:eastAsia="宋体" w:cs="宋体"/>
          <w:spacing w:val="9"/>
          <w:sz w:val="24"/>
          <w:szCs w:val="24"/>
        </w:rPr>
        <w:t xml:space="preserve"> </w:t>
      </w:r>
      <w:r>
        <w:rPr>
          <w:rFonts w:ascii="宋体" w:hAnsi="宋体" w:eastAsia="宋体" w:cs="宋体"/>
          <w:spacing w:val="2"/>
          <w:sz w:val="24"/>
          <w:szCs w:val="24"/>
        </w:rPr>
        <w:t>氧高温发酵制成有机肥半成品，外售给肥料生产企业进行进一步加工成有机肥。病</w:t>
      </w:r>
      <w:r>
        <w:rPr>
          <w:rFonts w:ascii="宋体" w:hAnsi="宋体" w:eastAsia="宋体" w:cs="宋体"/>
          <w:spacing w:val="5"/>
          <w:sz w:val="24"/>
          <w:szCs w:val="24"/>
        </w:rPr>
        <w:t xml:space="preserve"> </w:t>
      </w:r>
      <w:r>
        <w:rPr>
          <w:rFonts w:ascii="宋体" w:hAnsi="宋体" w:eastAsia="宋体" w:cs="宋体"/>
          <w:spacing w:val="-6"/>
          <w:sz w:val="24"/>
          <w:szCs w:val="24"/>
        </w:rPr>
        <w:t>死猪尸体按《病死及病害动物无害化处理技术规范》（农医发〔</w:t>
      </w:r>
      <w:r>
        <w:rPr>
          <w:rFonts w:ascii="Times New Roman" w:hAnsi="Times New Roman" w:eastAsia="Times New Roman" w:cs="Times New Roman"/>
          <w:spacing w:val="-6"/>
          <w:sz w:val="24"/>
          <w:szCs w:val="24"/>
        </w:rPr>
        <w:t>2017</w:t>
      </w:r>
      <w:r>
        <w:rPr>
          <w:rFonts w:ascii="宋体" w:hAnsi="宋体" w:eastAsia="宋体" w:cs="宋体"/>
          <w:spacing w:val="-6"/>
          <w:sz w:val="24"/>
          <w:szCs w:val="24"/>
        </w:rPr>
        <w:t>〕</w:t>
      </w:r>
      <w:r>
        <w:rPr>
          <w:rFonts w:ascii="Times New Roman" w:hAnsi="Times New Roman" w:eastAsia="Times New Roman" w:cs="Times New Roman"/>
          <w:spacing w:val="-6"/>
          <w:sz w:val="24"/>
          <w:szCs w:val="24"/>
        </w:rPr>
        <w:t>25</w:t>
      </w:r>
      <w:r>
        <w:rPr>
          <w:rFonts w:ascii="Times New Roman" w:hAnsi="Times New Roman" w:eastAsia="Times New Roman" w:cs="Times New Roman"/>
          <w:spacing w:val="17"/>
          <w:sz w:val="24"/>
          <w:szCs w:val="24"/>
        </w:rPr>
        <w:t xml:space="preserve"> </w:t>
      </w:r>
      <w:r>
        <w:rPr>
          <w:rFonts w:ascii="宋体" w:hAnsi="宋体" w:eastAsia="宋体" w:cs="宋体"/>
          <w:spacing w:val="-6"/>
          <w:sz w:val="24"/>
          <w:szCs w:val="24"/>
        </w:rPr>
        <w:t>号）和《畜</w:t>
      </w:r>
    </w:p>
    <w:p w14:paraId="69232763">
      <w:pPr>
        <w:spacing w:line="392" w:lineRule="auto"/>
        <w:rPr>
          <w:rFonts w:ascii="宋体" w:hAnsi="宋体" w:eastAsia="宋体" w:cs="宋体"/>
          <w:sz w:val="24"/>
          <w:szCs w:val="24"/>
        </w:rPr>
        <w:sectPr>
          <w:footerReference r:id="rId26" w:type="default"/>
          <w:pgSz w:w="11906" w:h="16839"/>
          <w:pgMar w:top="1431" w:right="1507" w:bottom="1485" w:left="1597" w:header="0" w:footer="1249" w:gutter="0"/>
          <w:cols w:space="720" w:num="1"/>
        </w:sectPr>
      </w:pPr>
    </w:p>
    <w:p w14:paraId="10CB28E3">
      <w:pPr>
        <w:spacing w:before="73" w:line="382" w:lineRule="auto"/>
        <w:ind w:right="63" w:firstLine="1"/>
        <w:jc w:val="both"/>
        <w:rPr>
          <w:rFonts w:ascii="宋体" w:hAnsi="宋体" w:eastAsia="宋体" w:cs="宋体"/>
          <w:sz w:val="24"/>
          <w:szCs w:val="24"/>
        </w:rPr>
      </w:pPr>
      <w:r>
        <w:rPr>
          <w:rFonts w:ascii="宋体" w:hAnsi="宋体" w:eastAsia="宋体" w:cs="宋体"/>
          <w:sz w:val="24"/>
          <w:szCs w:val="24"/>
        </w:rPr>
        <w:t>禽养殖业污染防治技术规范》（</w:t>
      </w:r>
      <w:r>
        <w:rPr>
          <w:rFonts w:ascii="Times New Roman" w:hAnsi="Times New Roman" w:eastAsia="Times New Roman" w:cs="Times New Roman"/>
          <w:sz w:val="24"/>
          <w:szCs w:val="24"/>
        </w:rPr>
        <w:t>HJ/T81-2001</w:t>
      </w:r>
      <w:r>
        <w:rPr>
          <w:rFonts w:ascii="宋体" w:hAnsi="宋体" w:eastAsia="宋体" w:cs="宋体"/>
          <w:sz w:val="24"/>
          <w:szCs w:val="24"/>
        </w:rPr>
        <w:t>）进行填埋处理。生活垃圾设置固</w:t>
      </w:r>
      <w:r>
        <w:rPr>
          <w:rFonts w:ascii="宋体" w:hAnsi="宋体" w:eastAsia="宋体" w:cs="宋体"/>
          <w:spacing w:val="-1"/>
          <w:sz w:val="24"/>
          <w:szCs w:val="24"/>
        </w:rPr>
        <w:t>定的</w:t>
      </w:r>
      <w:r>
        <w:rPr>
          <w:rFonts w:ascii="宋体" w:hAnsi="宋体" w:eastAsia="宋体" w:cs="宋体"/>
          <w:sz w:val="24"/>
          <w:szCs w:val="24"/>
        </w:rPr>
        <w:t xml:space="preserve"> </w:t>
      </w:r>
      <w:r>
        <w:rPr>
          <w:rFonts w:ascii="宋体" w:hAnsi="宋体" w:eastAsia="宋体" w:cs="宋体"/>
          <w:spacing w:val="2"/>
          <w:sz w:val="24"/>
          <w:szCs w:val="24"/>
        </w:rPr>
        <w:t>垃圾堆放点，定期由环卫部门清运处理。疫苗针头等医疗废物设置专用储存容器，</w:t>
      </w:r>
      <w:r>
        <w:rPr>
          <w:rFonts w:ascii="宋体" w:hAnsi="宋体" w:eastAsia="宋体" w:cs="宋体"/>
          <w:spacing w:val="8"/>
          <w:sz w:val="24"/>
          <w:szCs w:val="24"/>
        </w:rPr>
        <w:t xml:space="preserve"> </w:t>
      </w:r>
      <w:r>
        <w:rPr>
          <w:rFonts w:ascii="宋体" w:hAnsi="宋体" w:eastAsia="宋体" w:cs="宋体"/>
          <w:spacing w:val="2"/>
          <w:sz w:val="24"/>
          <w:szCs w:val="24"/>
        </w:rPr>
        <w:t>并存放于医疗废物暂存间，收集到一定数量后交由有资质单位进行安全处置。废包</w:t>
      </w:r>
      <w:r>
        <w:rPr>
          <w:rFonts w:ascii="宋体" w:hAnsi="宋体" w:eastAsia="宋体" w:cs="宋体"/>
          <w:spacing w:val="6"/>
          <w:sz w:val="24"/>
          <w:szCs w:val="24"/>
        </w:rPr>
        <w:t xml:space="preserve"> </w:t>
      </w:r>
      <w:r>
        <w:rPr>
          <w:rFonts w:ascii="宋体" w:hAnsi="宋体" w:eastAsia="宋体" w:cs="宋体"/>
          <w:spacing w:val="2"/>
          <w:sz w:val="24"/>
          <w:szCs w:val="24"/>
        </w:rPr>
        <w:t>装收集后交由供应商处理。经上述处理后，本项目产生固体废物不会对环境造成明</w:t>
      </w:r>
      <w:r>
        <w:rPr>
          <w:rFonts w:ascii="宋体" w:hAnsi="宋体" w:eastAsia="宋体" w:cs="宋体"/>
          <w:spacing w:val="6"/>
          <w:sz w:val="24"/>
          <w:szCs w:val="24"/>
        </w:rPr>
        <w:t xml:space="preserve"> </w:t>
      </w:r>
      <w:r>
        <w:rPr>
          <w:rFonts w:ascii="宋体" w:hAnsi="宋体" w:eastAsia="宋体" w:cs="宋体"/>
          <w:spacing w:val="-2"/>
          <w:sz w:val="24"/>
          <w:szCs w:val="24"/>
        </w:rPr>
        <w:t>显不良影响。</w:t>
      </w:r>
    </w:p>
    <w:p w14:paraId="10C33AB3">
      <w:pPr>
        <w:spacing w:before="297" w:line="219" w:lineRule="auto"/>
        <w:ind w:left="6"/>
        <w:outlineLvl w:val="1"/>
        <w:rPr>
          <w:rFonts w:ascii="宋体" w:hAnsi="宋体" w:eastAsia="宋体" w:cs="宋体"/>
          <w:sz w:val="24"/>
          <w:szCs w:val="24"/>
        </w:rPr>
      </w:pPr>
      <w:r>
        <w:rPr>
          <w:rFonts w:ascii="Times New Roman" w:hAnsi="Times New Roman" w:eastAsia="Times New Roman" w:cs="Times New Roman"/>
          <w:b/>
          <w:bCs/>
          <w:spacing w:val="-3"/>
          <w:sz w:val="24"/>
          <w:szCs w:val="24"/>
        </w:rPr>
        <w:t>1.6.6</w:t>
      </w:r>
      <w:r>
        <w:rPr>
          <w:rFonts w:ascii="宋体" w:hAnsi="宋体" w:eastAsia="宋体" w:cs="宋体"/>
          <w:b/>
          <w:bCs/>
          <w:spacing w:val="-3"/>
          <w:sz w:val="24"/>
          <w:szCs w:val="24"/>
        </w:rPr>
        <w:t>施工期大气环境影响评价结论</w:t>
      </w:r>
    </w:p>
    <w:p w14:paraId="5A162A38">
      <w:pPr>
        <w:pStyle w:val="2"/>
        <w:spacing w:line="247" w:lineRule="auto"/>
      </w:pPr>
    </w:p>
    <w:p w14:paraId="506A544E">
      <w:pPr>
        <w:spacing w:before="78" w:line="378" w:lineRule="auto"/>
        <w:ind w:firstLine="480"/>
        <w:jc w:val="both"/>
        <w:rPr>
          <w:rFonts w:ascii="宋体" w:hAnsi="宋体" w:eastAsia="宋体" w:cs="宋体"/>
          <w:sz w:val="24"/>
          <w:szCs w:val="24"/>
        </w:rPr>
      </w:pPr>
      <w:r>
        <w:rPr>
          <w:rFonts w:ascii="宋体" w:hAnsi="宋体" w:eastAsia="宋体" w:cs="宋体"/>
          <w:spacing w:val="-5"/>
          <w:sz w:val="24"/>
          <w:szCs w:val="24"/>
        </w:rPr>
        <w:t>根据项目工程分析，施工期无组织排放扬尘影响的范围主要集中在</w:t>
      </w:r>
      <w:r>
        <w:rPr>
          <w:rFonts w:ascii="宋体" w:hAnsi="宋体" w:eastAsia="宋体" w:cs="宋体"/>
          <w:spacing w:val="-18"/>
          <w:sz w:val="24"/>
          <w:szCs w:val="24"/>
        </w:rPr>
        <w:t xml:space="preserve"> </w:t>
      </w:r>
      <w:r>
        <w:rPr>
          <w:rFonts w:ascii="Times New Roman" w:hAnsi="Times New Roman" w:eastAsia="Times New Roman" w:cs="Times New Roman"/>
          <w:spacing w:val="-5"/>
          <w:sz w:val="24"/>
          <w:szCs w:val="24"/>
        </w:rPr>
        <w:t>100m</w:t>
      </w:r>
      <w:r>
        <w:rPr>
          <w:rFonts w:ascii="Times New Roman" w:hAnsi="Times New Roman" w:eastAsia="Times New Roman" w:cs="Times New Roman"/>
          <w:spacing w:val="17"/>
          <w:w w:val="101"/>
          <w:sz w:val="24"/>
          <w:szCs w:val="24"/>
        </w:rPr>
        <w:t xml:space="preserve">  </w:t>
      </w:r>
      <w:r>
        <w:rPr>
          <w:rFonts w:ascii="宋体" w:hAnsi="宋体" w:eastAsia="宋体" w:cs="宋体"/>
          <w:spacing w:val="-5"/>
          <w:sz w:val="24"/>
          <w:szCs w:val="24"/>
        </w:rPr>
        <w:t>以内，</w:t>
      </w:r>
      <w:r>
        <w:rPr>
          <w:rFonts w:ascii="宋体" w:hAnsi="宋体" w:eastAsia="宋体" w:cs="宋体"/>
          <w:sz w:val="24"/>
          <w:szCs w:val="24"/>
        </w:rPr>
        <w:t xml:space="preserve"> </w:t>
      </w:r>
      <w:r>
        <w:rPr>
          <w:rFonts w:ascii="宋体" w:hAnsi="宋体" w:eastAsia="宋体" w:cs="宋体"/>
          <w:spacing w:val="3"/>
          <w:sz w:val="24"/>
          <w:szCs w:val="24"/>
        </w:rPr>
        <w:t>本项目场区地势开阔，距离本项目主体工程最近的敏感点为东南侧</w:t>
      </w:r>
      <w:r>
        <w:rPr>
          <w:rFonts w:ascii="Times New Roman" w:hAnsi="Times New Roman" w:eastAsia="Times New Roman" w:cs="Times New Roman"/>
          <w:spacing w:val="3"/>
          <w:sz w:val="24"/>
          <w:szCs w:val="24"/>
        </w:rPr>
        <w:t xml:space="preserve">292m  </w:t>
      </w:r>
      <w:r>
        <w:rPr>
          <w:rFonts w:ascii="宋体" w:hAnsi="宋体" w:eastAsia="宋体" w:cs="宋体"/>
          <w:spacing w:val="3"/>
          <w:sz w:val="24"/>
          <w:szCs w:val="24"/>
        </w:rPr>
        <w:t>处的龙岗</w:t>
      </w:r>
      <w:r>
        <w:rPr>
          <w:rFonts w:ascii="宋体" w:hAnsi="宋体" w:eastAsia="宋体" w:cs="宋体"/>
          <w:spacing w:val="14"/>
          <w:sz w:val="24"/>
          <w:szCs w:val="24"/>
        </w:rPr>
        <w:t xml:space="preserve"> </w:t>
      </w:r>
      <w:r>
        <w:rPr>
          <w:rFonts w:ascii="宋体" w:hAnsi="宋体" w:eastAsia="宋体" w:cs="宋体"/>
          <w:spacing w:val="2"/>
          <w:sz w:val="24"/>
          <w:szCs w:val="24"/>
        </w:rPr>
        <w:t>村，在采取洒水降尘等措施后，项目施工扬尘对周围环境的影响很小，且施工期扬</w:t>
      </w:r>
      <w:r>
        <w:rPr>
          <w:rFonts w:ascii="宋体" w:hAnsi="宋体" w:eastAsia="宋体" w:cs="宋体"/>
          <w:spacing w:val="6"/>
          <w:sz w:val="24"/>
          <w:szCs w:val="24"/>
        </w:rPr>
        <w:t xml:space="preserve"> </w:t>
      </w:r>
      <w:r>
        <w:rPr>
          <w:rFonts w:ascii="宋体" w:hAnsi="宋体" w:eastAsia="宋体" w:cs="宋体"/>
          <w:spacing w:val="2"/>
          <w:sz w:val="24"/>
          <w:szCs w:val="24"/>
        </w:rPr>
        <w:t>尘污染是短期影响，会随施工活动的结束而消除。项目机械燃油废气，污染物排放</w:t>
      </w:r>
      <w:r>
        <w:rPr>
          <w:rFonts w:ascii="宋体" w:hAnsi="宋体" w:eastAsia="宋体" w:cs="宋体"/>
          <w:spacing w:val="6"/>
          <w:sz w:val="24"/>
          <w:szCs w:val="24"/>
        </w:rPr>
        <w:t xml:space="preserve"> </w:t>
      </w:r>
      <w:r>
        <w:rPr>
          <w:rFonts w:ascii="宋体" w:hAnsi="宋体" w:eastAsia="宋体" w:cs="宋体"/>
          <w:spacing w:val="2"/>
          <w:sz w:val="24"/>
          <w:szCs w:val="24"/>
        </w:rPr>
        <w:t>量不大，且表现为间歇特征。装修时油漆废气产生量较少，装修阶段的油漆废气排</w:t>
      </w:r>
      <w:r>
        <w:rPr>
          <w:rFonts w:ascii="宋体" w:hAnsi="宋体" w:eastAsia="宋体" w:cs="宋体"/>
          <w:spacing w:val="6"/>
          <w:sz w:val="24"/>
          <w:szCs w:val="24"/>
        </w:rPr>
        <w:t xml:space="preserve"> </w:t>
      </w:r>
      <w:r>
        <w:rPr>
          <w:rFonts w:ascii="宋体" w:hAnsi="宋体" w:eastAsia="宋体" w:cs="宋体"/>
          <w:spacing w:val="2"/>
          <w:sz w:val="24"/>
          <w:szCs w:val="24"/>
        </w:rPr>
        <w:t>放周期短，且作业分散，在装修期间应加强室内的通风换气。建设项目施工期大气</w:t>
      </w:r>
      <w:r>
        <w:rPr>
          <w:rFonts w:ascii="宋体" w:hAnsi="宋体" w:eastAsia="宋体" w:cs="宋体"/>
          <w:spacing w:val="6"/>
          <w:sz w:val="24"/>
          <w:szCs w:val="24"/>
        </w:rPr>
        <w:t xml:space="preserve"> </w:t>
      </w:r>
      <w:r>
        <w:rPr>
          <w:rFonts w:ascii="宋体" w:hAnsi="宋体" w:eastAsia="宋体" w:cs="宋体"/>
          <w:spacing w:val="-1"/>
          <w:sz w:val="24"/>
          <w:szCs w:val="24"/>
        </w:rPr>
        <w:t>污染对评价区域环境空气质量和周围关心点的影响较小。</w:t>
      </w:r>
    </w:p>
    <w:p w14:paraId="16BAB773">
      <w:pPr>
        <w:spacing w:before="314" w:line="219" w:lineRule="auto"/>
        <w:ind w:left="6"/>
        <w:outlineLvl w:val="1"/>
        <w:rPr>
          <w:rFonts w:ascii="宋体" w:hAnsi="宋体" w:eastAsia="宋体" w:cs="宋体"/>
          <w:sz w:val="24"/>
          <w:szCs w:val="24"/>
        </w:rPr>
      </w:pPr>
      <w:r>
        <w:rPr>
          <w:rFonts w:ascii="Times New Roman" w:hAnsi="Times New Roman" w:eastAsia="Times New Roman" w:cs="Times New Roman"/>
          <w:b/>
          <w:bCs/>
          <w:spacing w:val="-3"/>
          <w:sz w:val="24"/>
          <w:szCs w:val="24"/>
        </w:rPr>
        <w:t>1.6.7</w:t>
      </w:r>
      <w:r>
        <w:rPr>
          <w:rFonts w:ascii="宋体" w:hAnsi="宋体" w:eastAsia="宋体" w:cs="宋体"/>
          <w:b/>
          <w:bCs/>
          <w:spacing w:val="-3"/>
          <w:sz w:val="24"/>
          <w:szCs w:val="24"/>
        </w:rPr>
        <w:t>施工期地表水环境影响评价结论</w:t>
      </w:r>
    </w:p>
    <w:p w14:paraId="24CDE9D8">
      <w:pPr>
        <w:pStyle w:val="2"/>
        <w:spacing w:line="283" w:lineRule="auto"/>
      </w:pPr>
    </w:p>
    <w:p w14:paraId="46DCDBE6">
      <w:pPr>
        <w:spacing w:before="78" w:line="377" w:lineRule="auto"/>
        <w:ind w:right="66" w:firstLine="479"/>
        <w:jc w:val="both"/>
        <w:rPr>
          <w:rFonts w:ascii="宋体" w:hAnsi="宋体" w:eastAsia="宋体" w:cs="宋体"/>
          <w:sz w:val="24"/>
          <w:szCs w:val="24"/>
        </w:rPr>
      </w:pPr>
      <w:r>
        <w:rPr>
          <w:rFonts w:ascii="宋体" w:hAnsi="宋体" w:eastAsia="宋体" w:cs="宋体"/>
          <w:spacing w:val="2"/>
          <w:sz w:val="24"/>
          <w:szCs w:val="24"/>
        </w:rPr>
        <w:t>施工期废水通过沟渠收集排入沉淀池进行沉淀等处理，处理后的废水全部回用</w:t>
      </w:r>
      <w:r>
        <w:rPr>
          <w:rFonts w:ascii="宋体" w:hAnsi="宋体" w:eastAsia="宋体" w:cs="宋体"/>
          <w:spacing w:val="11"/>
          <w:sz w:val="24"/>
          <w:szCs w:val="24"/>
        </w:rPr>
        <w:t xml:space="preserve"> </w:t>
      </w:r>
      <w:r>
        <w:rPr>
          <w:rFonts w:ascii="宋体" w:hAnsi="宋体" w:eastAsia="宋体" w:cs="宋体"/>
          <w:spacing w:val="2"/>
          <w:sz w:val="24"/>
          <w:szCs w:val="24"/>
        </w:rPr>
        <w:t>于施工过程和场地洒水抑尘，不外排。本项目施工场区面积较大，施工场地抑尘需</w:t>
      </w:r>
      <w:r>
        <w:rPr>
          <w:rFonts w:ascii="宋体" w:hAnsi="宋体" w:eastAsia="宋体" w:cs="宋体"/>
          <w:spacing w:val="6"/>
          <w:sz w:val="24"/>
          <w:szCs w:val="24"/>
        </w:rPr>
        <w:t xml:space="preserve"> </w:t>
      </w:r>
      <w:r>
        <w:rPr>
          <w:rFonts w:ascii="宋体" w:hAnsi="宋体" w:eastAsia="宋体" w:cs="宋体"/>
          <w:spacing w:val="2"/>
          <w:sz w:val="24"/>
          <w:szCs w:val="24"/>
        </w:rPr>
        <w:t>要消耗大量的水，施工废水、机械车辆清洗废水和施工人员清洁废水等水量较小，</w:t>
      </w:r>
      <w:r>
        <w:rPr>
          <w:rFonts w:ascii="宋体" w:hAnsi="宋体" w:eastAsia="宋体" w:cs="宋体"/>
          <w:spacing w:val="6"/>
          <w:sz w:val="24"/>
          <w:szCs w:val="24"/>
        </w:rPr>
        <w:t xml:space="preserve"> </w:t>
      </w:r>
      <w:r>
        <w:rPr>
          <w:rFonts w:ascii="宋体" w:hAnsi="宋体" w:eastAsia="宋体" w:cs="宋体"/>
          <w:spacing w:val="2"/>
          <w:sz w:val="24"/>
          <w:szCs w:val="24"/>
        </w:rPr>
        <w:t>通过沉淀池沉淀、澄清处理后可全部回用。施工期生活污水经临时化粪池处理后，</w:t>
      </w:r>
      <w:r>
        <w:rPr>
          <w:rFonts w:ascii="宋体" w:hAnsi="宋体" w:eastAsia="宋体" w:cs="宋体"/>
          <w:spacing w:val="6"/>
          <w:sz w:val="24"/>
          <w:szCs w:val="24"/>
        </w:rPr>
        <w:t xml:space="preserve"> </w:t>
      </w:r>
      <w:r>
        <w:rPr>
          <w:rFonts w:ascii="宋体" w:hAnsi="宋体" w:eastAsia="宋体" w:cs="宋体"/>
          <w:sz w:val="24"/>
          <w:szCs w:val="24"/>
        </w:rPr>
        <w:t>用于周边林地灌溉，不外排。项目施工期废水对</w:t>
      </w:r>
      <w:r>
        <w:rPr>
          <w:rFonts w:ascii="宋体" w:hAnsi="宋体" w:eastAsia="宋体" w:cs="宋体"/>
          <w:spacing w:val="-1"/>
          <w:sz w:val="24"/>
          <w:szCs w:val="24"/>
        </w:rPr>
        <w:t>周围水环境的影响不大。</w:t>
      </w:r>
    </w:p>
    <w:p w14:paraId="3829433F">
      <w:pPr>
        <w:spacing w:before="290" w:line="219" w:lineRule="auto"/>
        <w:ind w:left="6"/>
        <w:outlineLvl w:val="1"/>
        <w:rPr>
          <w:rFonts w:ascii="宋体" w:hAnsi="宋体" w:eastAsia="宋体" w:cs="宋体"/>
          <w:sz w:val="24"/>
          <w:szCs w:val="24"/>
        </w:rPr>
      </w:pPr>
      <w:r>
        <w:rPr>
          <w:rFonts w:ascii="Times New Roman" w:hAnsi="Times New Roman" w:eastAsia="Times New Roman" w:cs="Times New Roman"/>
          <w:b/>
          <w:bCs/>
          <w:spacing w:val="-3"/>
          <w:sz w:val="24"/>
          <w:szCs w:val="24"/>
        </w:rPr>
        <w:t>1.6.8</w:t>
      </w:r>
      <w:r>
        <w:rPr>
          <w:rFonts w:ascii="宋体" w:hAnsi="宋体" w:eastAsia="宋体" w:cs="宋体"/>
          <w:b/>
          <w:bCs/>
          <w:spacing w:val="-3"/>
          <w:sz w:val="24"/>
          <w:szCs w:val="24"/>
        </w:rPr>
        <w:t>施工期地下水环境影响评价结论</w:t>
      </w:r>
    </w:p>
    <w:p w14:paraId="751AC5F7">
      <w:pPr>
        <w:pStyle w:val="2"/>
        <w:spacing w:line="283" w:lineRule="auto"/>
      </w:pPr>
    </w:p>
    <w:p w14:paraId="001303DA">
      <w:pPr>
        <w:spacing w:before="78" w:line="377" w:lineRule="auto"/>
        <w:ind w:right="66" w:firstLine="479"/>
        <w:rPr>
          <w:rFonts w:ascii="宋体" w:hAnsi="宋体" w:eastAsia="宋体" w:cs="宋体"/>
          <w:sz w:val="24"/>
          <w:szCs w:val="24"/>
        </w:rPr>
      </w:pPr>
      <w:r>
        <w:rPr>
          <w:rFonts w:ascii="宋体" w:hAnsi="宋体" w:eastAsia="宋体" w:cs="宋体"/>
          <w:spacing w:val="2"/>
          <w:sz w:val="24"/>
          <w:szCs w:val="24"/>
        </w:rPr>
        <w:t>施工期车辆冲洗在地面进行混凝土硬化，产生的废水汇集到沉淀池沉淀，并且</w:t>
      </w:r>
      <w:r>
        <w:rPr>
          <w:rFonts w:ascii="宋体" w:hAnsi="宋体" w:eastAsia="宋体" w:cs="宋体"/>
          <w:spacing w:val="11"/>
          <w:sz w:val="24"/>
          <w:szCs w:val="24"/>
        </w:rPr>
        <w:t xml:space="preserve"> </w:t>
      </w:r>
      <w:r>
        <w:rPr>
          <w:rFonts w:ascii="宋体" w:hAnsi="宋体" w:eastAsia="宋体" w:cs="宋体"/>
          <w:spacing w:val="2"/>
          <w:sz w:val="24"/>
          <w:szCs w:val="24"/>
        </w:rPr>
        <w:t>沉淀后回用，减少污水产生量，同事采用混凝土对沉淀池壁及底面进行硬化，及时</w:t>
      </w:r>
      <w:r>
        <w:rPr>
          <w:rFonts w:ascii="宋体" w:hAnsi="宋体" w:eastAsia="宋体" w:cs="宋体"/>
          <w:spacing w:val="6"/>
          <w:sz w:val="24"/>
          <w:szCs w:val="24"/>
        </w:rPr>
        <w:t xml:space="preserve"> </w:t>
      </w:r>
      <w:r>
        <w:rPr>
          <w:rFonts w:ascii="宋体" w:hAnsi="宋体" w:eastAsia="宋体" w:cs="宋体"/>
          <w:spacing w:val="2"/>
          <w:sz w:val="24"/>
          <w:szCs w:val="24"/>
        </w:rPr>
        <w:t>清运沉淀池内的泥沙。及时对建筑垃圾及生活垃圾进行清运，避免其成为污染源。</w:t>
      </w:r>
      <w:r>
        <w:rPr>
          <w:rFonts w:ascii="宋体" w:hAnsi="宋体" w:eastAsia="宋体" w:cs="宋体"/>
          <w:spacing w:val="6"/>
          <w:sz w:val="24"/>
          <w:szCs w:val="24"/>
        </w:rPr>
        <w:t xml:space="preserve"> </w:t>
      </w:r>
      <w:r>
        <w:rPr>
          <w:rFonts w:ascii="宋体" w:hAnsi="宋体" w:eastAsia="宋体" w:cs="宋体"/>
          <w:spacing w:val="2"/>
          <w:sz w:val="24"/>
          <w:szCs w:val="24"/>
        </w:rPr>
        <w:t>车辆维修点地面进行硬化，滴漏在底面的油污及时进行清理，加强机械设备维护。</w:t>
      </w:r>
      <w:r>
        <w:rPr>
          <w:rFonts w:ascii="宋体" w:hAnsi="宋体" w:eastAsia="宋体" w:cs="宋体"/>
          <w:spacing w:val="6"/>
          <w:sz w:val="24"/>
          <w:szCs w:val="24"/>
        </w:rPr>
        <w:t xml:space="preserve"> </w:t>
      </w:r>
      <w:r>
        <w:rPr>
          <w:rFonts w:ascii="宋体" w:hAnsi="宋体" w:eastAsia="宋体" w:cs="宋体"/>
          <w:spacing w:val="-1"/>
          <w:sz w:val="24"/>
          <w:szCs w:val="24"/>
        </w:rPr>
        <w:t>因此，项目施工期对地下水环境影响不大。</w:t>
      </w:r>
    </w:p>
    <w:p w14:paraId="51884B83">
      <w:pPr>
        <w:spacing w:line="377" w:lineRule="auto"/>
        <w:rPr>
          <w:rFonts w:ascii="宋体" w:hAnsi="宋体" w:eastAsia="宋体" w:cs="宋体"/>
          <w:sz w:val="24"/>
          <w:szCs w:val="24"/>
        </w:rPr>
        <w:sectPr>
          <w:footerReference r:id="rId27" w:type="default"/>
          <w:pgSz w:w="11906" w:h="16839"/>
          <w:pgMar w:top="1431" w:right="1522" w:bottom="1485" w:left="1598" w:header="0" w:footer="1249" w:gutter="0"/>
          <w:cols w:space="720" w:num="1"/>
        </w:sectPr>
      </w:pPr>
    </w:p>
    <w:p w14:paraId="22D7B529">
      <w:pPr>
        <w:spacing w:before="148" w:line="219" w:lineRule="auto"/>
        <w:ind w:left="8"/>
        <w:outlineLvl w:val="1"/>
        <w:rPr>
          <w:rFonts w:ascii="宋体" w:hAnsi="宋体" w:eastAsia="宋体" w:cs="宋体"/>
          <w:sz w:val="24"/>
          <w:szCs w:val="24"/>
        </w:rPr>
      </w:pPr>
      <w:r>
        <w:rPr>
          <w:rFonts w:ascii="Times New Roman" w:hAnsi="Times New Roman" w:eastAsia="Times New Roman" w:cs="Times New Roman"/>
          <w:b/>
          <w:bCs/>
          <w:spacing w:val="-3"/>
          <w:sz w:val="24"/>
          <w:szCs w:val="24"/>
        </w:rPr>
        <w:t>1.6.9</w:t>
      </w:r>
      <w:r>
        <w:rPr>
          <w:rFonts w:ascii="宋体" w:hAnsi="宋体" w:eastAsia="宋体" w:cs="宋体"/>
          <w:b/>
          <w:bCs/>
          <w:spacing w:val="-3"/>
          <w:sz w:val="24"/>
          <w:szCs w:val="24"/>
        </w:rPr>
        <w:t>施工期声环境影响评价结论</w:t>
      </w:r>
    </w:p>
    <w:p w14:paraId="400CA7CD">
      <w:pPr>
        <w:pStyle w:val="2"/>
        <w:spacing w:line="279" w:lineRule="auto"/>
      </w:pPr>
    </w:p>
    <w:p w14:paraId="270F1F09">
      <w:pPr>
        <w:spacing w:before="78" w:line="371" w:lineRule="auto"/>
        <w:ind w:right="101" w:firstLine="480"/>
        <w:jc w:val="both"/>
        <w:rPr>
          <w:rFonts w:ascii="宋体" w:hAnsi="宋体" w:eastAsia="宋体" w:cs="宋体"/>
          <w:sz w:val="24"/>
          <w:szCs w:val="24"/>
        </w:rPr>
      </w:pPr>
      <w:r>
        <w:rPr>
          <w:rFonts w:ascii="宋体" w:hAnsi="宋体" w:eastAsia="宋体" w:cs="宋体"/>
          <w:spacing w:val="2"/>
          <w:sz w:val="24"/>
          <w:szCs w:val="24"/>
        </w:rPr>
        <w:t>施工机械的噪声较高，根据估算，白天施工噪声不能满足《建筑施工场界噪声</w:t>
      </w:r>
      <w:r>
        <w:rPr>
          <w:rFonts w:ascii="宋体" w:hAnsi="宋体" w:eastAsia="宋体" w:cs="宋体"/>
          <w:spacing w:val="11"/>
          <w:sz w:val="24"/>
          <w:szCs w:val="24"/>
        </w:rPr>
        <w:t xml:space="preserve"> </w:t>
      </w:r>
      <w:r>
        <w:rPr>
          <w:rFonts w:ascii="宋体" w:hAnsi="宋体" w:eastAsia="宋体" w:cs="宋体"/>
          <w:spacing w:val="-1"/>
          <w:sz w:val="24"/>
          <w:szCs w:val="24"/>
        </w:rPr>
        <w:t>排放标准限值》（</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
          <w:sz w:val="24"/>
          <w:szCs w:val="24"/>
        </w:rPr>
        <w:t>12523-2011</w:t>
      </w:r>
      <w:r>
        <w:rPr>
          <w:rFonts w:ascii="宋体" w:hAnsi="宋体" w:eastAsia="宋体" w:cs="宋体"/>
          <w:spacing w:val="-1"/>
          <w:sz w:val="24"/>
          <w:szCs w:val="24"/>
        </w:rPr>
        <w:t xml:space="preserve">）的点出现在距声源 </w:t>
      </w:r>
      <w:r>
        <w:rPr>
          <w:rFonts w:ascii="Times New Roman" w:hAnsi="Times New Roman" w:eastAsia="Times New Roman" w:cs="Times New Roman"/>
          <w:spacing w:val="-1"/>
          <w:sz w:val="24"/>
          <w:szCs w:val="24"/>
        </w:rPr>
        <w:t>50m</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的范围内，夜间项目不</w:t>
      </w:r>
      <w:r>
        <w:rPr>
          <w:rFonts w:ascii="宋体" w:hAnsi="宋体" w:eastAsia="宋体" w:cs="宋体"/>
          <w:sz w:val="24"/>
          <w:szCs w:val="24"/>
        </w:rPr>
        <w:t xml:space="preserve"> </w:t>
      </w:r>
      <w:r>
        <w:rPr>
          <w:rFonts w:ascii="宋体" w:hAnsi="宋体" w:eastAsia="宋体" w:cs="宋体"/>
          <w:spacing w:val="3"/>
          <w:sz w:val="24"/>
          <w:szCs w:val="24"/>
        </w:rPr>
        <w:t>进行施工。距离本项目主体工程最近的敏感点为西北侧</w:t>
      </w:r>
      <w:r>
        <w:rPr>
          <w:rFonts w:ascii="Times New Roman" w:hAnsi="Times New Roman" w:eastAsia="Times New Roman" w:cs="Times New Roman"/>
          <w:spacing w:val="3"/>
          <w:sz w:val="24"/>
          <w:szCs w:val="24"/>
        </w:rPr>
        <w:t xml:space="preserve">292m  </w:t>
      </w:r>
      <w:r>
        <w:rPr>
          <w:rFonts w:ascii="宋体" w:hAnsi="宋体" w:eastAsia="宋体" w:cs="宋体"/>
          <w:spacing w:val="3"/>
          <w:sz w:val="24"/>
          <w:szCs w:val="24"/>
        </w:rPr>
        <w:t>处的龙岗村，距离较</w:t>
      </w:r>
      <w:r>
        <w:rPr>
          <w:rFonts w:ascii="宋体" w:hAnsi="宋体" w:eastAsia="宋体" w:cs="宋体"/>
          <w:spacing w:val="16"/>
          <w:sz w:val="24"/>
          <w:szCs w:val="24"/>
        </w:rPr>
        <w:t xml:space="preserve"> </w:t>
      </w:r>
      <w:r>
        <w:rPr>
          <w:rFonts w:ascii="宋体" w:hAnsi="宋体" w:eastAsia="宋体" w:cs="宋体"/>
          <w:spacing w:val="2"/>
          <w:sz w:val="24"/>
          <w:szCs w:val="24"/>
        </w:rPr>
        <w:t>远，且项目于村民住宅之间为林地，能够一定程度的阻隔噪声，因此评价认为拟建</w:t>
      </w:r>
      <w:r>
        <w:rPr>
          <w:rFonts w:ascii="宋体" w:hAnsi="宋体" w:eastAsia="宋体" w:cs="宋体"/>
          <w:spacing w:val="8"/>
          <w:sz w:val="24"/>
          <w:szCs w:val="24"/>
        </w:rPr>
        <w:t xml:space="preserve"> </w:t>
      </w:r>
      <w:r>
        <w:rPr>
          <w:rFonts w:ascii="宋体" w:hAnsi="宋体" w:eastAsia="宋体" w:cs="宋体"/>
          <w:spacing w:val="2"/>
          <w:sz w:val="24"/>
          <w:szCs w:val="24"/>
        </w:rPr>
        <w:t>工程施工期间，施工噪声对周边声环境的影响可接受，不会发生噪声扰民现象，且</w:t>
      </w:r>
      <w:r>
        <w:rPr>
          <w:rFonts w:ascii="宋体" w:hAnsi="宋体" w:eastAsia="宋体" w:cs="宋体"/>
          <w:spacing w:val="8"/>
          <w:sz w:val="24"/>
          <w:szCs w:val="24"/>
        </w:rPr>
        <w:t xml:space="preserve"> </w:t>
      </w:r>
      <w:r>
        <w:rPr>
          <w:rFonts w:ascii="宋体" w:hAnsi="宋体" w:eastAsia="宋体" w:cs="宋体"/>
          <w:spacing w:val="-1"/>
          <w:sz w:val="24"/>
          <w:szCs w:val="24"/>
        </w:rPr>
        <w:t>随着施工期的结束，噪声的影响也随之结束。</w:t>
      </w:r>
    </w:p>
    <w:p w14:paraId="576D05B8">
      <w:pPr>
        <w:spacing w:before="41" w:line="378" w:lineRule="auto"/>
        <w:ind w:left="2" w:right="104" w:firstLine="480"/>
        <w:jc w:val="both"/>
        <w:rPr>
          <w:rFonts w:ascii="宋体" w:hAnsi="宋体" w:eastAsia="宋体" w:cs="宋体"/>
          <w:sz w:val="24"/>
          <w:szCs w:val="24"/>
        </w:rPr>
      </w:pPr>
      <w:r>
        <w:rPr>
          <w:rFonts w:ascii="宋体" w:hAnsi="宋体" w:eastAsia="宋体" w:cs="宋体"/>
          <w:spacing w:val="2"/>
          <w:sz w:val="24"/>
          <w:szCs w:val="24"/>
        </w:rPr>
        <w:t>本工程建筑物料从厂区附近的乡道输送进场，运输车辆产生的流动噪声可能对</w:t>
      </w:r>
      <w:r>
        <w:rPr>
          <w:rFonts w:ascii="宋体" w:hAnsi="宋体" w:eastAsia="宋体" w:cs="宋体"/>
          <w:spacing w:val="9"/>
          <w:sz w:val="24"/>
          <w:szCs w:val="24"/>
        </w:rPr>
        <w:t xml:space="preserve"> </w:t>
      </w:r>
      <w:r>
        <w:rPr>
          <w:rFonts w:ascii="宋体" w:hAnsi="宋体" w:eastAsia="宋体" w:cs="宋体"/>
          <w:spacing w:val="2"/>
          <w:sz w:val="24"/>
          <w:szCs w:val="24"/>
        </w:rPr>
        <w:t>周围村庄的居民产生影响。评价要求车辆经过村庄时应减速慢行，禁止鸣笛，禁止</w:t>
      </w:r>
      <w:r>
        <w:rPr>
          <w:rFonts w:ascii="宋体" w:hAnsi="宋体" w:eastAsia="宋体" w:cs="宋体"/>
          <w:spacing w:val="5"/>
          <w:sz w:val="24"/>
          <w:szCs w:val="24"/>
        </w:rPr>
        <w:t xml:space="preserve"> </w:t>
      </w:r>
      <w:r>
        <w:rPr>
          <w:rFonts w:ascii="宋体" w:hAnsi="宋体" w:eastAsia="宋体" w:cs="宋体"/>
          <w:spacing w:val="-1"/>
          <w:sz w:val="24"/>
          <w:szCs w:val="24"/>
        </w:rPr>
        <w:t>夜间运输，尽量减少对居民的噪声影响。</w:t>
      </w:r>
    </w:p>
    <w:p w14:paraId="276951E9">
      <w:pPr>
        <w:spacing w:before="291" w:line="219" w:lineRule="auto"/>
        <w:ind w:left="8"/>
        <w:outlineLvl w:val="1"/>
        <w:rPr>
          <w:rFonts w:ascii="宋体" w:hAnsi="宋体" w:eastAsia="宋体" w:cs="宋体"/>
          <w:sz w:val="24"/>
          <w:szCs w:val="24"/>
        </w:rPr>
      </w:pPr>
      <w:r>
        <w:rPr>
          <w:rFonts w:ascii="Times New Roman" w:hAnsi="Times New Roman" w:eastAsia="Times New Roman" w:cs="Times New Roman"/>
          <w:b/>
          <w:bCs/>
          <w:spacing w:val="-2"/>
          <w:sz w:val="24"/>
          <w:szCs w:val="24"/>
        </w:rPr>
        <w:t>1.6.10</w:t>
      </w:r>
      <w:r>
        <w:rPr>
          <w:rFonts w:ascii="宋体" w:hAnsi="宋体" w:eastAsia="宋体" w:cs="宋体"/>
          <w:b/>
          <w:bCs/>
          <w:spacing w:val="-2"/>
          <w:sz w:val="24"/>
          <w:szCs w:val="24"/>
        </w:rPr>
        <w:t>施工期固废环境影响评价结论</w:t>
      </w:r>
    </w:p>
    <w:p w14:paraId="5A1BF639">
      <w:pPr>
        <w:pStyle w:val="2"/>
        <w:spacing w:line="283" w:lineRule="auto"/>
      </w:pPr>
    </w:p>
    <w:p w14:paraId="1DCF5C23">
      <w:pPr>
        <w:spacing w:before="79" w:line="378" w:lineRule="auto"/>
        <w:ind w:right="113" w:firstLine="504"/>
        <w:jc w:val="both"/>
        <w:rPr>
          <w:rFonts w:ascii="宋体" w:hAnsi="宋体" w:eastAsia="宋体" w:cs="宋体"/>
          <w:sz w:val="24"/>
          <w:szCs w:val="24"/>
        </w:rPr>
      </w:pPr>
      <w:r>
        <w:rPr>
          <w:rFonts w:ascii="宋体" w:hAnsi="宋体" w:eastAsia="宋体" w:cs="宋体"/>
          <w:spacing w:val="9"/>
          <w:sz w:val="24"/>
          <w:szCs w:val="24"/>
        </w:rPr>
        <w:t>施工期建筑垃圾部分回收利用，不能回收利</w:t>
      </w:r>
      <w:r>
        <w:rPr>
          <w:rFonts w:ascii="宋体" w:hAnsi="宋体" w:eastAsia="宋体" w:cs="宋体"/>
          <w:spacing w:val="8"/>
          <w:sz w:val="24"/>
          <w:szCs w:val="24"/>
        </w:rPr>
        <w:t>用部分主要为废弃沙石、废包装</w:t>
      </w:r>
      <w:r>
        <w:rPr>
          <w:rFonts w:ascii="宋体" w:hAnsi="宋体" w:eastAsia="宋体" w:cs="宋体"/>
          <w:sz w:val="24"/>
          <w:szCs w:val="24"/>
        </w:rPr>
        <w:t xml:space="preserve"> </w:t>
      </w:r>
      <w:r>
        <w:rPr>
          <w:rFonts w:ascii="宋体" w:hAnsi="宋体" w:eastAsia="宋体" w:cs="宋体"/>
          <w:spacing w:val="9"/>
          <w:sz w:val="24"/>
          <w:szCs w:val="24"/>
        </w:rPr>
        <w:t>等，均不含有毒有害物质，向相关市政管理部门申报，妥善弃置消纳</w:t>
      </w:r>
      <w:r>
        <w:rPr>
          <w:rFonts w:ascii="宋体" w:hAnsi="宋体" w:eastAsia="宋体" w:cs="宋体"/>
          <w:spacing w:val="8"/>
          <w:sz w:val="24"/>
          <w:szCs w:val="24"/>
        </w:rPr>
        <w:t>，防止污染</w:t>
      </w:r>
      <w:r>
        <w:rPr>
          <w:rFonts w:ascii="宋体" w:hAnsi="宋体" w:eastAsia="宋体" w:cs="宋体"/>
          <w:sz w:val="24"/>
          <w:szCs w:val="24"/>
        </w:rPr>
        <w:t xml:space="preserve"> </w:t>
      </w:r>
      <w:r>
        <w:rPr>
          <w:rFonts w:ascii="宋体" w:hAnsi="宋体" w:eastAsia="宋体" w:cs="宋体"/>
          <w:spacing w:val="9"/>
          <w:sz w:val="24"/>
          <w:szCs w:val="24"/>
        </w:rPr>
        <w:t>环境；施工人员生活垃圾集中后运至乡镇垃圾收集点，委托环卫</w:t>
      </w:r>
      <w:r>
        <w:rPr>
          <w:rFonts w:ascii="宋体" w:hAnsi="宋体" w:eastAsia="宋体" w:cs="宋体"/>
          <w:spacing w:val="8"/>
          <w:sz w:val="24"/>
          <w:szCs w:val="24"/>
        </w:rPr>
        <w:t>部门统一清运处</w:t>
      </w:r>
      <w:r>
        <w:rPr>
          <w:rFonts w:ascii="宋体" w:hAnsi="宋体" w:eastAsia="宋体" w:cs="宋体"/>
          <w:sz w:val="24"/>
          <w:szCs w:val="24"/>
        </w:rPr>
        <w:t xml:space="preserve"> </w:t>
      </w:r>
      <w:r>
        <w:rPr>
          <w:rFonts w:ascii="宋体" w:hAnsi="宋体" w:eastAsia="宋体" w:cs="宋体"/>
          <w:spacing w:val="-4"/>
          <w:sz w:val="24"/>
          <w:szCs w:val="24"/>
        </w:rPr>
        <w:t>置。</w:t>
      </w:r>
    </w:p>
    <w:p w14:paraId="01413FB1">
      <w:pPr>
        <w:spacing w:before="285" w:line="219" w:lineRule="auto"/>
        <w:ind w:left="8"/>
        <w:outlineLvl w:val="1"/>
        <w:rPr>
          <w:rFonts w:ascii="宋体" w:hAnsi="宋体" w:eastAsia="宋体" w:cs="宋体"/>
          <w:sz w:val="24"/>
          <w:szCs w:val="24"/>
        </w:rPr>
      </w:pPr>
      <w:r>
        <w:rPr>
          <w:rFonts w:ascii="Times New Roman" w:hAnsi="Times New Roman" w:eastAsia="Times New Roman" w:cs="Times New Roman"/>
          <w:b/>
          <w:bCs/>
          <w:spacing w:val="-3"/>
          <w:sz w:val="24"/>
          <w:szCs w:val="24"/>
        </w:rPr>
        <w:t>1.6.11</w:t>
      </w:r>
      <w:r>
        <w:rPr>
          <w:rFonts w:ascii="宋体" w:hAnsi="宋体" w:eastAsia="宋体" w:cs="宋体"/>
          <w:b/>
          <w:bCs/>
          <w:spacing w:val="-3"/>
          <w:sz w:val="24"/>
          <w:szCs w:val="24"/>
        </w:rPr>
        <w:t>施工期生态环境影响评价结论</w:t>
      </w:r>
    </w:p>
    <w:p w14:paraId="1F44163B">
      <w:pPr>
        <w:pStyle w:val="2"/>
        <w:spacing w:line="281" w:lineRule="auto"/>
      </w:pPr>
    </w:p>
    <w:p w14:paraId="3B150F0B">
      <w:pPr>
        <w:spacing w:before="79" w:line="377" w:lineRule="auto"/>
        <w:ind w:right="104" w:firstLine="484"/>
        <w:jc w:val="both"/>
        <w:rPr>
          <w:rFonts w:ascii="宋体" w:hAnsi="宋体" w:eastAsia="宋体" w:cs="宋体"/>
          <w:sz w:val="24"/>
          <w:szCs w:val="24"/>
        </w:rPr>
      </w:pPr>
      <w:r>
        <w:rPr>
          <w:rFonts w:ascii="宋体" w:hAnsi="宋体" w:eastAsia="宋体" w:cs="宋体"/>
          <w:spacing w:val="2"/>
          <w:sz w:val="24"/>
          <w:szCs w:val="24"/>
        </w:rPr>
        <w:t>项目的施工建设，会对周围的生态环境带来一定的破坏影响，使现有的土地利</w:t>
      </w:r>
      <w:r>
        <w:rPr>
          <w:rFonts w:ascii="宋体" w:hAnsi="宋体" w:eastAsia="宋体" w:cs="宋体"/>
          <w:spacing w:val="6"/>
          <w:sz w:val="24"/>
          <w:szCs w:val="24"/>
        </w:rPr>
        <w:t xml:space="preserve"> </w:t>
      </w:r>
      <w:r>
        <w:rPr>
          <w:rFonts w:ascii="宋体" w:hAnsi="宋体" w:eastAsia="宋体" w:cs="宋体"/>
          <w:spacing w:val="2"/>
          <w:sz w:val="24"/>
          <w:szCs w:val="24"/>
        </w:rPr>
        <w:t>用类型发生变化，许多地表植被会消失，同时各种机械车辆碾压和施工人员的践踏</w:t>
      </w:r>
      <w:r>
        <w:rPr>
          <w:rFonts w:ascii="宋体" w:hAnsi="宋体" w:eastAsia="宋体" w:cs="宋体"/>
          <w:spacing w:val="7"/>
          <w:sz w:val="24"/>
          <w:szCs w:val="24"/>
        </w:rPr>
        <w:t xml:space="preserve"> </w:t>
      </w:r>
      <w:r>
        <w:rPr>
          <w:rFonts w:ascii="宋体" w:hAnsi="宋体" w:eastAsia="宋体" w:cs="宋体"/>
          <w:spacing w:val="2"/>
          <w:sz w:val="24"/>
          <w:szCs w:val="24"/>
        </w:rPr>
        <w:t>及土石的堆放，也会对植被造成较为严重的破坏和影响。随着施工期的进行，用地</w:t>
      </w:r>
      <w:r>
        <w:rPr>
          <w:rFonts w:ascii="宋体" w:hAnsi="宋体" w:eastAsia="宋体" w:cs="宋体"/>
          <w:spacing w:val="7"/>
          <w:sz w:val="24"/>
          <w:szCs w:val="24"/>
        </w:rPr>
        <w:t xml:space="preserve"> </w:t>
      </w:r>
      <w:r>
        <w:rPr>
          <w:rFonts w:ascii="宋体" w:hAnsi="宋体" w:eastAsia="宋体" w:cs="宋体"/>
          <w:spacing w:val="2"/>
          <w:sz w:val="24"/>
          <w:szCs w:val="24"/>
        </w:rPr>
        <w:t>范围内的一些植物种类将会消失，绝大部分的植物种类数量将会大大减少。随着施</w:t>
      </w:r>
      <w:r>
        <w:rPr>
          <w:rFonts w:ascii="宋体" w:hAnsi="宋体" w:eastAsia="宋体" w:cs="宋体"/>
          <w:spacing w:val="7"/>
          <w:sz w:val="24"/>
          <w:szCs w:val="24"/>
        </w:rPr>
        <w:t xml:space="preserve"> </w:t>
      </w:r>
      <w:r>
        <w:rPr>
          <w:rFonts w:ascii="宋体" w:hAnsi="宋体" w:eastAsia="宋体" w:cs="宋体"/>
          <w:spacing w:val="2"/>
          <w:sz w:val="24"/>
          <w:szCs w:val="24"/>
        </w:rPr>
        <w:t>工期的建设，经过绿化建设，植被会得到逐步恢复。因此，项目施工期对周围生态</w:t>
      </w:r>
      <w:r>
        <w:rPr>
          <w:rFonts w:ascii="宋体" w:hAnsi="宋体" w:eastAsia="宋体" w:cs="宋体"/>
          <w:spacing w:val="7"/>
          <w:sz w:val="24"/>
          <w:szCs w:val="24"/>
        </w:rPr>
        <w:t xml:space="preserve"> </w:t>
      </w:r>
      <w:r>
        <w:rPr>
          <w:rFonts w:ascii="宋体" w:hAnsi="宋体" w:eastAsia="宋体" w:cs="宋体"/>
          <w:spacing w:val="-2"/>
          <w:sz w:val="24"/>
          <w:szCs w:val="24"/>
        </w:rPr>
        <w:t>环境影响较小。</w:t>
      </w:r>
    </w:p>
    <w:p w14:paraId="1B32AA05">
      <w:pPr>
        <w:spacing w:before="291" w:line="219" w:lineRule="auto"/>
        <w:ind w:left="8"/>
        <w:outlineLvl w:val="1"/>
        <w:rPr>
          <w:rFonts w:ascii="宋体" w:hAnsi="宋体" w:eastAsia="宋体" w:cs="宋体"/>
          <w:sz w:val="24"/>
          <w:szCs w:val="24"/>
        </w:rPr>
      </w:pPr>
      <w:r>
        <w:rPr>
          <w:rFonts w:ascii="Times New Roman" w:hAnsi="Times New Roman" w:eastAsia="Times New Roman" w:cs="Times New Roman"/>
          <w:b/>
          <w:bCs/>
          <w:spacing w:val="-3"/>
          <w:sz w:val="24"/>
          <w:szCs w:val="24"/>
        </w:rPr>
        <w:t>1.6.12</w:t>
      </w:r>
      <w:r>
        <w:rPr>
          <w:rFonts w:ascii="宋体" w:hAnsi="宋体" w:eastAsia="宋体" w:cs="宋体"/>
          <w:b/>
          <w:bCs/>
          <w:spacing w:val="-3"/>
          <w:sz w:val="24"/>
          <w:szCs w:val="24"/>
        </w:rPr>
        <w:t>环境影响评价总结论</w:t>
      </w:r>
    </w:p>
    <w:p w14:paraId="35C76F57">
      <w:pPr>
        <w:spacing w:before="273" w:line="368" w:lineRule="auto"/>
        <w:ind w:left="21" w:firstLine="461"/>
        <w:rPr>
          <w:rFonts w:ascii="宋体" w:hAnsi="宋体" w:eastAsia="宋体" w:cs="宋体"/>
          <w:sz w:val="24"/>
          <w:szCs w:val="24"/>
        </w:rPr>
      </w:pPr>
      <w:r>
        <w:rPr>
          <w:rFonts w:ascii="宋体" w:hAnsi="宋体" w:eastAsia="宋体" w:cs="宋体"/>
          <w:spacing w:val="2"/>
          <w:sz w:val="24"/>
          <w:szCs w:val="24"/>
        </w:rPr>
        <w:t>本项目选址基本合理，项目建设性质、规模，所采用的生产工艺符合产业政策</w:t>
      </w:r>
      <w:r>
        <w:rPr>
          <w:rFonts w:ascii="宋体" w:hAnsi="宋体" w:eastAsia="宋体" w:cs="宋体"/>
          <w:spacing w:val="3"/>
          <w:sz w:val="24"/>
          <w:szCs w:val="24"/>
        </w:rPr>
        <w:t xml:space="preserve">  </w:t>
      </w:r>
      <w:r>
        <w:rPr>
          <w:rFonts w:ascii="宋体" w:hAnsi="宋体" w:eastAsia="宋体" w:cs="宋体"/>
          <w:spacing w:val="-10"/>
          <w:sz w:val="24"/>
          <w:szCs w:val="24"/>
        </w:rPr>
        <w:t>的要求，拟采取的污染防治措施符合《畜禽养殖业污染防治技术规范》（</w:t>
      </w:r>
      <w:r>
        <w:rPr>
          <w:rFonts w:ascii="Times New Roman" w:hAnsi="Times New Roman" w:eastAsia="Times New Roman" w:cs="Times New Roman"/>
          <w:spacing w:val="-10"/>
          <w:sz w:val="24"/>
          <w:szCs w:val="24"/>
        </w:rPr>
        <w:t xml:space="preserve">HJ/T </w:t>
      </w:r>
      <w:r>
        <w:rPr>
          <w:rFonts w:ascii="Times New Roman" w:hAnsi="Times New Roman" w:eastAsia="Times New Roman" w:cs="Times New Roman"/>
          <w:spacing w:val="-11"/>
          <w:sz w:val="24"/>
          <w:szCs w:val="24"/>
        </w:rPr>
        <w:t>81-2001</w:t>
      </w:r>
      <w:r>
        <w:rPr>
          <w:rFonts w:ascii="宋体" w:hAnsi="宋体" w:eastAsia="宋体" w:cs="宋体"/>
          <w:spacing w:val="-11"/>
          <w:sz w:val="24"/>
          <w:szCs w:val="24"/>
        </w:rPr>
        <w:t>）</w:t>
      </w:r>
    </w:p>
    <w:p w14:paraId="2AEC6401">
      <w:pPr>
        <w:spacing w:line="368" w:lineRule="auto"/>
        <w:rPr>
          <w:rFonts w:ascii="宋体" w:hAnsi="宋体" w:eastAsia="宋体" w:cs="宋体"/>
          <w:sz w:val="24"/>
          <w:szCs w:val="24"/>
        </w:rPr>
        <w:sectPr>
          <w:footerReference r:id="rId28" w:type="default"/>
          <w:pgSz w:w="11906" w:h="16839"/>
          <w:pgMar w:top="1431" w:right="1484" w:bottom="1485" w:left="1596" w:header="0" w:footer="1249" w:gutter="0"/>
          <w:cols w:space="720" w:num="1"/>
        </w:sectPr>
      </w:pPr>
    </w:p>
    <w:p w14:paraId="06F66A7F">
      <w:pPr>
        <w:spacing w:before="62" w:line="361" w:lineRule="exact"/>
        <w:rPr>
          <w:rFonts w:ascii="宋体" w:hAnsi="宋体" w:eastAsia="宋体" w:cs="宋体"/>
          <w:sz w:val="24"/>
          <w:szCs w:val="24"/>
        </w:rPr>
      </w:pPr>
      <w:r>
        <w:rPr>
          <w:rFonts w:ascii="宋体" w:hAnsi="宋体" w:eastAsia="宋体" w:cs="宋体"/>
          <w:spacing w:val="-1"/>
          <w:position w:val="2"/>
          <w:sz w:val="24"/>
          <w:szCs w:val="24"/>
        </w:rPr>
        <w:t>和《粪便无害化卫生标准》（</w:t>
      </w:r>
      <w:r>
        <w:rPr>
          <w:rFonts w:ascii="Times New Roman" w:hAnsi="Times New Roman" w:eastAsia="Times New Roman" w:cs="Times New Roman"/>
          <w:spacing w:val="-1"/>
          <w:position w:val="2"/>
          <w:sz w:val="24"/>
          <w:szCs w:val="24"/>
        </w:rPr>
        <w:t>GB7959-87</w:t>
      </w:r>
      <w:r>
        <w:rPr>
          <w:rFonts w:ascii="宋体" w:hAnsi="宋体" w:eastAsia="宋体" w:cs="宋体"/>
          <w:spacing w:val="-1"/>
          <w:position w:val="2"/>
          <w:sz w:val="24"/>
          <w:szCs w:val="24"/>
        </w:rPr>
        <w:t>）的要求。</w:t>
      </w:r>
    </w:p>
    <w:p w14:paraId="5619248F">
      <w:pPr>
        <w:spacing w:before="139" w:line="360" w:lineRule="auto"/>
        <w:ind w:firstLine="481"/>
        <w:jc w:val="both"/>
        <w:rPr>
          <w:rFonts w:ascii="宋体" w:hAnsi="宋体" w:eastAsia="宋体" w:cs="宋体"/>
          <w:sz w:val="24"/>
          <w:szCs w:val="24"/>
        </w:rPr>
      </w:pPr>
      <w:r>
        <w:rPr>
          <w:rFonts w:ascii="宋体" w:hAnsi="宋体" w:eastAsia="宋体" w:cs="宋体"/>
          <w:spacing w:val="1"/>
          <w:sz w:val="24"/>
          <w:szCs w:val="24"/>
        </w:rPr>
        <w:t>建设单位必须严格遵守“三同时</w:t>
      </w:r>
      <w:r>
        <w:rPr>
          <w:rFonts w:ascii="宋体" w:hAnsi="宋体" w:eastAsia="宋体" w:cs="宋体"/>
          <w:spacing w:val="-82"/>
          <w:sz w:val="24"/>
          <w:szCs w:val="24"/>
        </w:rPr>
        <w:t xml:space="preserve"> </w:t>
      </w:r>
      <w:r>
        <w:rPr>
          <w:rFonts w:ascii="宋体" w:hAnsi="宋体" w:eastAsia="宋体" w:cs="宋体"/>
          <w:spacing w:val="1"/>
          <w:sz w:val="24"/>
          <w:szCs w:val="24"/>
        </w:rPr>
        <w:t>”的管理规定，完成各项报建手续，确实保证</w:t>
      </w:r>
      <w:r>
        <w:rPr>
          <w:rFonts w:ascii="宋体" w:hAnsi="宋体" w:eastAsia="宋体" w:cs="宋体"/>
          <w:sz w:val="24"/>
          <w:szCs w:val="24"/>
        </w:rPr>
        <w:t xml:space="preserve"> </w:t>
      </w:r>
      <w:r>
        <w:rPr>
          <w:rFonts w:ascii="宋体" w:hAnsi="宋体" w:eastAsia="宋体" w:cs="宋体"/>
          <w:spacing w:val="2"/>
          <w:sz w:val="24"/>
          <w:szCs w:val="24"/>
        </w:rPr>
        <w:t>本报告提出的各项环保措施的落实，并尽一切可能确保本项目所在区域的环境质量</w:t>
      </w:r>
      <w:r>
        <w:rPr>
          <w:rFonts w:ascii="宋体" w:hAnsi="宋体" w:eastAsia="宋体" w:cs="宋体"/>
          <w:spacing w:val="5"/>
          <w:sz w:val="24"/>
          <w:szCs w:val="24"/>
        </w:rPr>
        <w:t xml:space="preserve"> </w:t>
      </w:r>
      <w:r>
        <w:rPr>
          <w:rFonts w:ascii="宋体" w:hAnsi="宋体" w:eastAsia="宋体" w:cs="宋体"/>
          <w:spacing w:val="2"/>
          <w:sz w:val="24"/>
          <w:szCs w:val="24"/>
        </w:rPr>
        <w:t>不因本项目的建设而受到不良影响，真正实现环境保护与经济建设的可持续协调发</w:t>
      </w:r>
      <w:r>
        <w:rPr>
          <w:rFonts w:ascii="宋体" w:hAnsi="宋体" w:eastAsia="宋体" w:cs="宋体"/>
          <w:spacing w:val="5"/>
          <w:sz w:val="24"/>
          <w:szCs w:val="24"/>
        </w:rPr>
        <w:t xml:space="preserve"> </w:t>
      </w:r>
      <w:r>
        <w:rPr>
          <w:rFonts w:ascii="宋体" w:hAnsi="宋体" w:eastAsia="宋体" w:cs="宋体"/>
          <w:spacing w:val="2"/>
          <w:sz w:val="24"/>
          <w:szCs w:val="24"/>
        </w:rPr>
        <w:t>展。项目建成后，须经过环境保护主管部门验收合格后方可投入使用，在投入使用</w:t>
      </w:r>
      <w:r>
        <w:rPr>
          <w:rFonts w:ascii="宋体" w:hAnsi="宋体" w:eastAsia="宋体" w:cs="宋体"/>
          <w:spacing w:val="5"/>
          <w:sz w:val="24"/>
          <w:szCs w:val="24"/>
        </w:rPr>
        <w:t xml:space="preserve"> </w:t>
      </w:r>
      <w:r>
        <w:rPr>
          <w:rFonts w:ascii="宋体" w:hAnsi="宋体" w:eastAsia="宋体" w:cs="宋体"/>
          <w:spacing w:val="2"/>
          <w:sz w:val="24"/>
          <w:szCs w:val="24"/>
        </w:rPr>
        <w:t>后，应加强对设备的维修保养，确保环保设施的正常运转。在达到本报告所提出的</w:t>
      </w:r>
      <w:r>
        <w:rPr>
          <w:rFonts w:ascii="宋体" w:hAnsi="宋体" w:eastAsia="宋体" w:cs="宋体"/>
          <w:spacing w:val="5"/>
          <w:sz w:val="24"/>
          <w:szCs w:val="24"/>
        </w:rPr>
        <w:t xml:space="preserve"> </w:t>
      </w:r>
      <w:r>
        <w:rPr>
          <w:rFonts w:ascii="宋体" w:hAnsi="宋体" w:eastAsia="宋体" w:cs="宋体"/>
          <w:spacing w:val="-1"/>
          <w:sz w:val="24"/>
          <w:szCs w:val="24"/>
        </w:rPr>
        <w:t>各项要求后，该项目对周围环境将不会产生明显的不利影响。</w:t>
      </w:r>
    </w:p>
    <w:p w14:paraId="49D9E8B2">
      <w:pPr>
        <w:spacing w:before="85" w:line="219" w:lineRule="auto"/>
        <w:ind w:left="481"/>
        <w:rPr>
          <w:rFonts w:ascii="宋体" w:hAnsi="宋体" w:eastAsia="宋体" w:cs="宋体"/>
          <w:sz w:val="24"/>
          <w:szCs w:val="24"/>
        </w:rPr>
      </w:pPr>
      <w:r>
        <w:rPr>
          <w:rFonts w:ascii="宋体" w:hAnsi="宋体" w:eastAsia="宋体" w:cs="宋体"/>
          <w:spacing w:val="-1"/>
          <w:sz w:val="24"/>
          <w:szCs w:val="24"/>
        </w:rPr>
        <w:t>从环保的角度看，该项目的建设是可行的。</w:t>
      </w:r>
    </w:p>
    <w:p w14:paraId="2125FD6D">
      <w:pPr>
        <w:spacing w:line="219" w:lineRule="auto"/>
        <w:rPr>
          <w:rFonts w:ascii="宋体" w:hAnsi="宋体" w:eastAsia="宋体" w:cs="宋体"/>
          <w:sz w:val="24"/>
          <w:szCs w:val="24"/>
        </w:rPr>
        <w:sectPr>
          <w:footerReference r:id="rId29" w:type="default"/>
          <w:pgSz w:w="11906" w:h="16839"/>
          <w:pgMar w:top="1354" w:right="1588" w:bottom="1485" w:left="1599" w:header="0" w:footer="1249" w:gutter="0"/>
          <w:cols w:space="720" w:num="1"/>
        </w:sectPr>
      </w:pPr>
    </w:p>
    <w:p w14:paraId="1B7DC65F">
      <w:pPr>
        <w:spacing w:before="115" w:line="637" w:lineRule="exact"/>
        <w:ind w:left="3830"/>
        <w:outlineLvl w:val="0"/>
        <w:rPr>
          <w:rFonts w:ascii="黑体" w:hAnsi="黑体" w:eastAsia="黑体" w:cs="黑体"/>
          <w:sz w:val="43"/>
          <w:szCs w:val="43"/>
        </w:rPr>
      </w:pPr>
      <w:bookmarkStart w:id="8" w:name="bookmark8"/>
      <w:bookmarkEnd w:id="8"/>
      <w:bookmarkStart w:id="9" w:name="bookmark9"/>
      <w:bookmarkEnd w:id="9"/>
      <w:r>
        <w:rPr>
          <w:rFonts w:ascii="Calibri" w:hAnsi="Calibri" w:eastAsia="Calibri" w:cs="Calibri"/>
          <w:spacing w:val="-1"/>
          <w:position w:val="4"/>
          <w:sz w:val="43"/>
          <w:szCs w:val="43"/>
        </w:rPr>
        <w:t>2</w:t>
      </w:r>
      <w:r>
        <w:rPr>
          <w:rFonts w:ascii="黑体" w:hAnsi="黑体" w:eastAsia="黑体" w:cs="黑体"/>
          <w:spacing w:val="-1"/>
          <w:position w:val="4"/>
          <w:sz w:val="43"/>
          <w:szCs w:val="43"/>
        </w:rPr>
        <w:t>总则</w:t>
      </w:r>
    </w:p>
    <w:p w14:paraId="5E1CE98D">
      <w:pPr>
        <w:pStyle w:val="2"/>
        <w:spacing w:line="413" w:lineRule="auto"/>
      </w:pPr>
    </w:p>
    <w:p w14:paraId="06BA983B">
      <w:pPr>
        <w:spacing w:before="101" w:line="225" w:lineRule="auto"/>
        <w:ind w:left="2"/>
        <w:outlineLvl w:val="1"/>
        <w:rPr>
          <w:rFonts w:ascii="宋体" w:hAnsi="宋体" w:eastAsia="宋体" w:cs="宋体"/>
          <w:sz w:val="31"/>
          <w:szCs w:val="31"/>
        </w:rPr>
      </w:pPr>
      <w:bookmarkStart w:id="10" w:name="bookmark58"/>
      <w:bookmarkEnd w:id="10"/>
      <w:r>
        <w:rPr>
          <w:rFonts w:ascii="Times New Roman" w:hAnsi="Times New Roman" w:eastAsia="Times New Roman" w:cs="Times New Roman"/>
          <w:b/>
          <w:bCs/>
          <w:spacing w:val="4"/>
          <w:sz w:val="31"/>
          <w:szCs w:val="31"/>
        </w:rPr>
        <w:t>2.1</w:t>
      </w:r>
      <w:r>
        <w:rPr>
          <w:rFonts w:ascii="宋体" w:hAnsi="宋体" w:eastAsia="宋体" w:cs="宋体"/>
          <w:b/>
          <w:bCs/>
          <w:spacing w:val="4"/>
          <w:sz w:val="31"/>
          <w:szCs w:val="31"/>
        </w:rPr>
        <w:t>编制依据</w:t>
      </w:r>
    </w:p>
    <w:p w14:paraId="656CDCBE">
      <w:pPr>
        <w:pStyle w:val="2"/>
        <w:spacing w:line="411" w:lineRule="auto"/>
      </w:pPr>
    </w:p>
    <w:p w14:paraId="06C5CDB4">
      <w:pPr>
        <w:spacing w:before="78"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2.1.1</w:t>
      </w:r>
      <w:r>
        <w:rPr>
          <w:rFonts w:ascii="宋体" w:hAnsi="宋体" w:eastAsia="宋体" w:cs="宋体"/>
          <w:b/>
          <w:bCs/>
          <w:spacing w:val="-2"/>
          <w:sz w:val="24"/>
          <w:szCs w:val="24"/>
        </w:rPr>
        <w:t>国家法律、法规及相关政策</w:t>
      </w:r>
    </w:p>
    <w:p w14:paraId="1CC35513">
      <w:pPr>
        <w:spacing w:before="165" w:line="359" w:lineRule="exact"/>
        <w:ind w:left="495"/>
        <w:rPr>
          <w:rFonts w:ascii="宋体" w:hAnsi="宋体" w:eastAsia="宋体" w:cs="宋体"/>
          <w:sz w:val="24"/>
          <w:szCs w:val="24"/>
        </w:rPr>
      </w:pPr>
      <w:r>
        <w:rPr>
          <w:rFonts w:ascii="宋体" w:hAnsi="宋体" w:eastAsia="宋体" w:cs="宋体"/>
          <w:spacing w:val="-4"/>
          <w:position w:val="2"/>
          <w:sz w:val="24"/>
          <w:szCs w:val="24"/>
        </w:rPr>
        <w:t>（</w:t>
      </w:r>
      <w:r>
        <w:rPr>
          <w:rFonts w:ascii="Times New Roman" w:hAnsi="Times New Roman" w:eastAsia="Times New Roman" w:cs="Times New Roman"/>
          <w:spacing w:val="-4"/>
          <w:position w:val="2"/>
          <w:sz w:val="24"/>
          <w:szCs w:val="24"/>
        </w:rPr>
        <w:t>1</w:t>
      </w:r>
      <w:r>
        <w:rPr>
          <w:rFonts w:ascii="宋体" w:hAnsi="宋体" w:eastAsia="宋体" w:cs="宋体"/>
          <w:spacing w:val="-4"/>
          <w:position w:val="2"/>
          <w:sz w:val="24"/>
          <w:szCs w:val="24"/>
        </w:rPr>
        <w:t>）《中华人民共和国环境影响评价法》（</w:t>
      </w:r>
      <w:r>
        <w:rPr>
          <w:rFonts w:ascii="Times New Roman" w:hAnsi="Times New Roman" w:eastAsia="Times New Roman" w:cs="Times New Roman"/>
          <w:spacing w:val="-4"/>
          <w:position w:val="2"/>
          <w:sz w:val="24"/>
          <w:szCs w:val="24"/>
        </w:rPr>
        <w:t xml:space="preserve">2018 </w:t>
      </w:r>
      <w:r>
        <w:rPr>
          <w:rFonts w:ascii="宋体" w:hAnsi="宋体" w:eastAsia="宋体" w:cs="宋体"/>
          <w:spacing w:val="-4"/>
          <w:position w:val="2"/>
          <w:sz w:val="24"/>
          <w:szCs w:val="24"/>
        </w:rPr>
        <w:t>年</w:t>
      </w:r>
      <w:r>
        <w:rPr>
          <w:rFonts w:ascii="宋体" w:hAnsi="宋体" w:eastAsia="宋体" w:cs="宋体"/>
          <w:spacing w:val="-31"/>
          <w:position w:val="2"/>
          <w:sz w:val="24"/>
          <w:szCs w:val="24"/>
        </w:rPr>
        <w:t xml:space="preserve"> </w:t>
      </w:r>
      <w:r>
        <w:rPr>
          <w:rFonts w:ascii="Times New Roman" w:hAnsi="Times New Roman" w:eastAsia="Times New Roman" w:cs="Times New Roman"/>
          <w:spacing w:val="-4"/>
          <w:position w:val="2"/>
          <w:sz w:val="24"/>
          <w:szCs w:val="24"/>
        </w:rPr>
        <w:t>12</w:t>
      </w:r>
      <w:r>
        <w:rPr>
          <w:rFonts w:ascii="Times New Roman" w:hAnsi="Times New Roman" w:eastAsia="Times New Roman" w:cs="Times New Roman"/>
          <w:spacing w:val="16"/>
          <w:position w:val="2"/>
          <w:sz w:val="24"/>
          <w:szCs w:val="24"/>
        </w:rPr>
        <w:t xml:space="preserve"> </w:t>
      </w:r>
      <w:r>
        <w:rPr>
          <w:rFonts w:ascii="宋体" w:hAnsi="宋体" w:eastAsia="宋体" w:cs="宋体"/>
          <w:spacing w:val="-4"/>
          <w:position w:val="2"/>
          <w:sz w:val="24"/>
          <w:szCs w:val="24"/>
        </w:rPr>
        <w:t>月</w:t>
      </w:r>
      <w:r>
        <w:rPr>
          <w:rFonts w:ascii="宋体" w:hAnsi="宋体" w:eastAsia="宋体" w:cs="宋体"/>
          <w:spacing w:val="-55"/>
          <w:position w:val="2"/>
          <w:sz w:val="24"/>
          <w:szCs w:val="24"/>
        </w:rPr>
        <w:t xml:space="preserve"> </w:t>
      </w:r>
      <w:r>
        <w:rPr>
          <w:rFonts w:ascii="Times New Roman" w:hAnsi="Times New Roman" w:eastAsia="Times New Roman" w:cs="Times New Roman"/>
          <w:spacing w:val="-4"/>
          <w:position w:val="2"/>
          <w:sz w:val="24"/>
          <w:szCs w:val="24"/>
        </w:rPr>
        <w:t xml:space="preserve">29  </w:t>
      </w:r>
      <w:r>
        <w:rPr>
          <w:rFonts w:ascii="宋体" w:hAnsi="宋体" w:eastAsia="宋体" w:cs="宋体"/>
          <w:spacing w:val="-4"/>
          <w:position w:val="2"/>
          <w:sz w:val="24"/>
          <w:szCs w:val="24"/>
        </w:rPr>
        <w:t>日修订</w:t>
      </w:r>
      <w:r>
        <w:rPr>
          <w:rFonts w:ascii="宋体" w:hAnsi="宋体" w:eastAsia="宋体" w:cs="宋体"/>
          <w:spacing w:val="6"/>
          <w:position w:val="2"/>
          <w:sz w:val="24"/>
          <w:szCs w:val="24"/>
        </w:rPr>
        <w:t>）；</w:t>
      </w:r>
    </w:p>
    <w:p w14:paraId="2523E00A">
      <w:pPr>
        <w:spacing w:before="131" w:line="312" w:lineRule="auto"/>
        <w:ind w:left="45" w:right="104" w:firstLine="45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）《中华人民共和国环境保护法》（</w:t>
      </w:r>
      <w:r>
        <w:rPr>
          <w:rFonts w:ascii="Times New Roman" w:hAnsi="Times New Roman" w:eastAsia="Times New Roman" w:cs="Times New Roman"/>
          <w:spacing w:val="-4"/>
          <w:sz w:val="24"/>
          <w:szCs w:val="24"/>
        </w:rPr>
        <w:t xml:space="preserve">2014 </w:t>
      </w:r>
      <w:r>
        <w:rPr>
          <w:rFonts w:ascii="宋体" w:hAnsi="宋体" w:eastAsia="宋体" w:cs="宋体"/>
          <w:spacing w:val="-4"/>
          <w:sz w:val="24"/>
          <w:szCs w:val="24"/>
        </w:rPr>
        <w:t>年</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24  </w:t>
      </w:r>
      <w:r>
        <w:rPr>
          <w:rFonts w:ascii="宋体" w:hAnsi="宋体" w:eastAsia="宋体" w:cs="宋体"/>
          <w:spacing w:val="-4"/>
          <w:sz w:val="24"/>
          <w:szCs w:val="24"/>
        </w:rPr>
        <w:t>日修订，</w:t>
      </w:r>
      <w:r>
        <w:rPr>
          <w:rFonts w:ascii="Times New Roman" w:hAnsi="Times New Roman" w:eastAsia="Times New Roman" w:cs="Times New Roman"/>
          <w:spacing w:val="-4"/>
          <w:sz w:val="24"/>
          <w:szCs w:val="24"/>
        </w:rPr>
        <w:t>20</w:t>
      </w:r>
      <w:r>
        <w:rPr>
          <w:rFonts w:ascii="Times New Roman" w:hAnsi="Times New Roman" w:eastAsia="Times New Roman" w:cs="Times New Roman"/>
          <w:spacing w:val="-5"/>
          <w:sz w:val="24"/>
          <w:szCs w:val="24"/>
        </w:rPr>
        <w:t xml:space="preserve">15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z w:val="24"/>
          <w:szCs w:val="24"/>
        </w:rPr>
        <w:t xml:space="preserve"> </w:t>
      </w:r>
      <w:r>
        <w:rPr>
          <w:rFonts w:ascii="宋体" w:hAnsi="宋体" w:eastAsia="宋体" w:cs="宋体"/>
          <w:spacing w:val="-17"/>
          <w:sz w:val="24"/>
          <w:szCs w:val="24"/>
        </w:rPr>
        <w:t>日施行</w:t>
      </w:r>
      <w:r>
        <w:rPr>
          <w:rFonts w:ascii="宋体" w:hAnsi="宋体" w:eastAsia="宋体" w:cs="宋体"/>
          <w:sz w:val="24"/>
          <w:szCs w:val="24"/>
        </w:rPr>
        <w:t>）；</w:t>
      </w:r>
    </w:p>
    <w:p w14:paraId="52B4CD1F">
      <w:pPr>
        <w:spacing w:before="165" w:line="358" w:lineRule="exact"/>
        <w:ind w:left="495"/>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）《建设项目环境影响评价分类管理名录》（部令第</w:t>
      </w:r>
      <w:r>
        <w:rPr>
          <w:rFonts w:ascii="宋体" w:hAnsi="宋体" w:eastAsia="宋体" w:cs="宋体"/>
          <w:spacing w:val="-31"/>
          <w:position w:val="2"/>
          <w:sz w:val="24"/>
          <w:szCs w:val="24"/>
        </w:rPr>
        <w:t xml:space="preserve"> </w:t>
      </w:r>
      <w:r>
        <w:rPr>
          <w:rFonts w:ascii="Times New Roman" w:hAnsi="Times New Roman" w:eastAsia="Times New Roman" w:cs="Times New Roman"/>
          <w:spacing w:val="-3"/>
          <w:position w:val="2"/>
          <w:sz w:val="24"/>
          <w:szCs w:val="24"/>
        </w:rPr>
        <w:t>16</w:t>
      </w:r>
      <w:r>
        <w:rPr>
          <w:rFonts w:ascii="Times New Roman" w:hAnsi="Times New Roman" w:eastAsia="Times New Roman" w:cs="Times New Roman"/>
          <w:spacing w:val="15"/>
          <w:position w:val="2"/>
          <w:sz w:val="24"/>
          <w:szCs w:val="24"/>
        </w:rPr>
        <w:t xml:space="preserve"> </w:t>
      </w:r>
      <w:r>
        <w:rPr>
          <w:rFonts w:ascii="宋体" w:hAnsi="宋体" w:eastAsia="宋体" w:cs="宋体"/>
          <w:spacing w:val="-3"/>
          <w:position w:val="2"/>
          <w:sz w:val="24"/>
          <w:szCs w:val="24"/>
        </w:rPr>
        <w:t>号</w:t>
      </w:r>
      <w:r>
        <w:rPr>
          <w:rFonts w:ascii="宋体" w:hAnsi="宋体" w:eastAsia="宋体" w:cs="宋体"/>
          <w:spacing w:val="9"/>
          <w:position w:val="2"/>
          <w:sz w:val="24"/>
          <w:szCs w:val="24"/>
        </w:rPr>
        <w:t>）；</w:t>
      </w:r>
    </w:p>
    <w:p w14:paraId="143A0C13">
      <w:pPr>
        <w:spacing w:before="131" w:line="359" w:lineRule="exact"/>
        <w:ind w:left="495"/>
        <w:rPr>
          <w:rFonts w:ascii="宋体" w:hAnsi="宋体" w:eastAsia="宋体" w:cs="宋体"/>
          <w:sz w:val="24"/>
          <w:szCs w:val="24"/>
        </w:rPr>
      </w:pPr>
      <w:r>
        <w:rPr>
          <w:rFonts w:ascii="宋体" w:hAnsi="宋体" w:eastAsia="宋体" w:cs="宋体"/>
          <w:spacing w:val="-4"/>
          <w:position w:val="2"/>
          <w:sz w:val="24"/>
          <w:szCs w:val="24"/>
        </w:rPr>
        <w:t>（</w:t>
      </w:r>
      <w:r>
        <w:rPr>
          <w:rFonts w:ascii="Times New Roman" w:hAnsi="Times New Roman" w:eastAsia="Times New Roman" w:cs="Times New Roman"/>
          <w:spacing w:val="-4"/>
          <w:position w:val="2"/>
          <w:sz w:val="24"/>
          <w:szCs w:val="24"/>
        </w:rPr>
        <w:t>4</w:t>
      </w:r>
      <w:r>
        <w:rPr>
          <w:rFonts w:ascii="宋体" w:hAnsi="宋体" w:eastAsia="宋体" w:cs="宋体"/>
          <w:spacing w:val="-4"/>
          <w:position w:val="2"/>
          <w:sz w:val="24"/>
          <w:szCs w:val="24"/>
        </w:rPr>
        <w:t>）《中华人民共和国清洁生产促进法》（</w:t>
      </w:r>
      <w:r>
        <w:rPr>
          <w:rFonts w:ascii="Times New Roman" w:hAnsi="Times New Roman" w:eastAsia="Times New Roman" w:cs="Times New Roman"/>
          <w:spacing w:val="-4"/>
          <w:position w:val="2"/>
          <w:sz w:val="24"/>
          <w:szCs w:val="24"/>
        </w:rPr>
        <w:t xml:space="preserve">2012 </w:t>
      </w:r>
      <w:r>
        <w:rPr>
          <w:rFonts w:ascii="宋体" w:hAnsi="宋体" w:eastAsia="宋体" w:cs="宋体"/>
          <w:spacing w:val="-4"/>
          <w:position w:val="2"/>
          <w:sz w:val="24"/>
          <w:szCs w:val="24"/>
        </w:rPr>
        <w:t>年</w:t>
      </w:r>
      <w:r>
        <w:rPr>
          <w:rFonts w:ascii="宋体" w:hAnsi="宋体" w:eastAsia="宋体" w:cs="宋体"/>
          <w:spacing w:val="-52"/>
          <w:position w:val="2"/>
          <w:sz w:val="24"/>
          <w:szCs w:val="24"/>
        </w:rPr>
        <w:t xml:space="preserve"> </w:t>
      </w:r>
      <w:r>
        <w:rPr>
          <w:rFonts w:ascii="Times New Roman" w:hAnsi="Times New Roman" w:eastAsia="Times New Roman" w:cs="Times New Roman"/>
          <w:spacing w:val="-4"/>
          <w:position w:val="2"/>
          <w:sz w:val="24"/>
          <w:szCs w:val="24"/>
        </w:rPr>
        <w:t>7</w:t>
      </w:r>
      <w:r>
        <w:rPr>
          <w:rFonts w:ascii="Times New Roman" w:hAnsi="Times New Roman" w:eastAsia="Times New Roman" w:cs="Times New Roman"/>
          <w:spacing w:val="16"/>
          <w:position w:val="2"/>
          <w:sz w:val="24"/>
          <w:szCs w:val="24"/>
        </w:rPr>
        <w:t xml:space="preserve"> </w:t>
      </w:r>
      <w:r>
        <w:rPr>
          <w:rFonts w:ascii="宋体" w:hAnsi="宋体" w:eastAsia="宋体" w:cs="宋体"/>
          <w:spacing w:val="-4"/>
          <w:position w:val="2"/>
          <w:sz w:val="24"/>
          <w:szCs w:val="24"/>
        </w:rPr>
        <w:t>月</w:t>
      </w:r>
      <w:r>
        <w:rPr>
          <w:rFonts w:ascii="宋体" w:hAnsi="宋体" w:eastAsia="宋体" w:cs="宋体"/>
          <w:spacing w:val="-32"/>
          <w:position w:val="2"/>
          <w:sz w:val="24"/>
          <w:szCs w:val="24"/>
        </w:rPr>
        <w:t xml:space="preserve"> </w:t>
      </w:r>
      <w:r>
        <w:rPr>
          <w:rFonts w:ascii="Times New Roman" w:hAnsi="Times New Roman" w:eastAsia="Times New Roman" w:cs="Times New Roman"/>
          <w:spacing w:val="-4"/>
          <w:position w:val="2"/>
          <w:sz w:val="24"/>
          <w:szCs w:val="24"/>
        </w:rPr>
        <w:t xml:space="preserve">1  </w:t>
      </w:r>
      <w:r>
        <w:rPr>
          <w:rFonts w:ascii="宋体" w:hAnsi="宋体" w:eastAsia="宋体" w:cs="宋体"/>
          <w:spacing w:val="-4"/>
          <w:position w:val="2"/>
          <w:sz w:val="24"/>
          <w:szCs w:val="24"/>
        </w:rPr>
        <w:t>日施行</w:t>
      </w:r>
      <w:r>
        <w:rPr>
          <w:rFonts w:ascii="宋体" w:hAnsi="宋体" w:eastAsia="宋体" w:cs="宋体"/>
          <w:spacing w:val="1"/>
          <w:position w:val="2"/>
          <w:sz w:val="24"/>
          <w:szCs w:val="24"/>
        </w:rPr>
        <w:t>）；</w:t>
      </w:r>
    </w:p>
    <w:p w14:paraId="1D230C57">
      <w:pPr>
        <w:spacing w:before="131" w:line="359"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5</w:t>
      </w:r>
      <w:r>
        <w:rPr>
          <w:rFonts w:ascii="宋体" w:hAnsi="宋体" w:eastAsia="宋体" w:cs="宋体"/>
          <w:spacing w:val="-2"/>
          <w:position w:val="2"/>
          <w:sz w:val="24"/>
          <w:szCs w:val="24"/>
        </w:rPr>
        <w:t>）《中华人民共和国循环经济促进法》（</w:t>
      </w:r>
      <w:r>
        <w:rPr>
          <w:rFonts w:ascii="Times New Roman" w:hAnsi="Times New Roman" w:eastAsia="Times New Roman" w:cs="Times New Roman"/>
          <w:spacing w:val="-2"/>
          <w:position w:val="2"/>
          <w:sz w:val="24"/>
          <w:szCs w:val="24"/>
        </w:rPr>
        <w:t xml:space="preserve">2018 </w:t>
      </w:r>
      <w:r>
        <w:rPr>
          <w:rFonts w:ascii="宋体" w:hAnsi="宋体" w:eastAsia="宋体" w:cs="宋体"/>
          <w:spacing w:val="-2"/>
          <w:position w:val="2"/>
          <w:sz w:val="24"/>
          <w:szCs w:val="24"/>
        </w:rPr>
        <w:t>年</w:t>
      </w:r>
      <w:r>
        <w:rPr>
          <w:rFonts w:ascii="宋体" w:hAnsi="宋体" w:eastAsia="宋体" w:cs="宋体"/>
          <w:spacing w:val="-31"/>
          <w:position w:val="2"/>
          <w:sz w:val="24"/>
          <w:szCs w:val="24"/>
        </w:rPr>
        <w:t xml:space="preserve"> </w:t>
      </w:r>
      <w:r>
        <w:rPr>
          <w:rFonts w:ascii="Times New Roman" w:hAnsi="Times New Roman" w:eastAsia="Times New Roman" w:cs="Times New Roman"/>
          <w:spacing w:val="-2"/>
          <w:position w:val="2"/>
          <w:sz w:val="24"/>
          <w:szCs w:val="24"/>
        </w:rPr>
        <w:t>10</w:t>
      </w:r>
      <w:r>
        <w:rPr>
          <w:rFonts w:ascii="Times New Roman" w:hAnsi="Times New Roman" w:eastAsia="Times New Roman" w:cs="Times New Roman"/>
          <w:spacing w:val="15"/>
          <w:position w:val="2"/>
          <w:sz w:val="24"/>
          <w:szCs w:val="24"/>
        </w:rPr>
        <w:t xml:space="preserve"> </w:t>
      </w:r>
      <w:r>
        <w:rPr>
          <w:rFonts w:ascii="宋体" w:hAnsi="宋体" w:eastAsia="宋体" w:cs="宋体"/>
          <w:spacing w:val="-2"/>
          <w:position w:val="2"/>
          <w:sz w:val="24"/>
          <w:szCs w:val="24"/>
        </w:rPr>
        <w:t>月</w:t>
      </w:r>
      <w:r>
        <w:rPr>
          <w:rFonts w:ascii="Times New Roman" w:hAnsi="Times New Roman" w:eastAsia="Times New Roman" w:cs="Times New Roman"/>
          <w:spacing w:val="-2"/>
          <w:position w:val="2"/>
          <w:sz w:val="24"/>
          <w:szCs w:val="24"/>
        </w:rPr>
        <w:t xml:space="preserve">26  </w:t>
      </w:r>
      <w:r>
        <w:rPr>
          <w:rFonts w:ascii="宋体" w:hAnsi="宋体" w:eastAsia="宋体" w:cs="宋体"/>
          <w:spacing w:val="-2"/>
          <w:position w:val="2"/>
          <w:sz w:val="24"/>
          <w:szCs w:val="24"/>
        </w:rPr>
        <w:t>日修正</w:t>
      </w:r>
      <w:r>
        <w:rPr>
          <w:rFonts w:ascii="宋体" w:hAnsi="宋体" w:eastAsia="宋体" w:cs="宋体"/>
          <w:spacing w:val="3"/>
          <w:position w:val="2"/>
          <w:sz w:val="24"/>
          <w:szCs w:val="24"/>
        </w:rPr>
        <w:t>）；</w:t>
      </w:r>
    </w:p>
    <w:p w14:paraId="6B219F5D">
      <w:pPr>
        <w:spacing w:before="130" w:line="361" w:lineRule="exact"/>
        <w:ind w:left="495"/>
        <w:rPr>
          <w:rFonts w:ascii="宋体" w:hAnsi="宋体" w:eastAsia="宋体" w:cs="宋体"/>
          <w:sz w:val="24"/>
          <w:szCs w:val="24"/>
        </w:rPr>
      </w:pPr>
      <w:r>
        <w:rPr>
          <w:rFonts w:ascii="宋体" w:hAnsi="宋体" w:eastAsia="宋体" w:cs="宋体"/>
          <w:spacing w:val="-4"/>
          <w:position w:val="2"/>
          <w:sz w:val="24"/>
          <w:szCs w:val="24"/>
        </w:rPr>
        <w:t>（</w:t>
      </w:r>
      <w:r>
        <w:rPr>
          <w:rFonts w:ascii="Times New Roman" w:hAnsi="Times New Roman" w:eastAsia="Times New Roman" w:cs="Times New Roman"/>
          <w:spacing w:val="-4"/>
          <w:position w:val="2"/>
          <w:sz w:val="24"/>
          <w:szCs w:val="24"/>
        </w:rPr>
        <w:t>6</w:t>
      </w:r>
      <w:r>
        <w:rPr>
          <w:rFonts w:ascii="宋体" w:hAnsi="宋体" w:eastAsia="宋体" w:cs="宋体"/>
          <w:spacing w:val="-4"/>
          <w:position w:val="2"/>
          <w:sz w:val="24"/>
          <w:szCs w:val="24"/>
        </w:rPr>
        <w:t>）《中华人民共和国节约能源法》（</w:t>
      </w:r>
      <w:r>
        <w:rPr>
          <w:rFonts w:ascii="Times New Roman" w:hAnsi="Times New Roman" w:eastAsia="Times New Roman" w:cs="Times New Roman"/>
          <w:spacing w:val="-4"/>
          <w:position w:val="2"/>
          <w:sz w:val="24"/>
          <w:szCs w:val="24"/>
        </w:rPr>
        <w:t xml:space="preserve">2018 </w:t>
      </w:r>
      <w:r>
        <w:rPr>
          <w:rFonts w:ascii="宋体" w:hAnsi="宋体" w:eastAsia="宋体" w:cs="宋体"/>
          <w:spacing w:val="-4"/>
          <w:position w:val="2"/>
          <w:sz w:val="24"/>
          <w:szCs w:val="24"/>
        </w:rPr>
        <w:t>年</w:t>
      </w:r>
      <w:r>
        <w:rPr>
          <w:rFonts w:ascii="宋体" w:hAnsi="宋体" w:eastAsia="宋体" w:cs="宋体"/>
          <w:spacing w:val="-31"/>
          <w:position w:val="2"/>
          <w:sz w:val="24"/>
          <w:szCs w:val="24"/>
        </w:rPr>
        <w:t xml:space="preserve"> </w:t>
      </w:r>
      <w:r>
        <w:rPr>
          <w:rFonts w:ascii="Times New Roman" w:hAnsi="Times New Roman" w:eastAsia="Times New Roman" w:cs="Times New Roman"/>
          <w:spacing w:val="-4"/>
          <w:position w:val="2"/>
          <w:sz w:val="24"/>
          <w:szCs w:val="24"/>
        </w:rPr>
        <w:t>10</w:t>
      </w:r>
      <w:r>
        <w:rPr>
          <w:rFonts w:ascii="Times New Roman" w:hAnsi="Times New Roman" w:eastAsia="Times New Roman" w:cs="Times New Roman"/>
          <w:spacing w:val="16"/>
          <w:position w:val="2"/>
          <w:sz w:val="24"/>
          <w:szCs w:val="24"/>
        </w:rPr>
        <w:t xml:space="preserve"> </w:t>
      </w:r>
      <w:r>
        <w:rPr>
          <w:rFonts w:ascii="宋体" w:hAnsi="宋体" w:eastAsia="宋体" w:cs="宋体"/>
          <w:spacing w:val="-4"/>
          <w:position w:val="2"/>
          <w:sz w:val="24"/>
          <w:szCs w:val="24"/>
        </w:rPr>
        <w:t>月</w:t>
      </w:r>
      <w:r>
        <w:rPr>
          <w:rFonts w:ascii="宋体" w:hAnsi="宋体" w:eastAsia="宋体" w:cs="宋体"/>
          <w:spacing w:val="-55"/>
          <w:position w:val="2"/>
          <w:sz w:val="24"/>
          <w:szCs w:val="24"/>
        </w:rPr>
        <w:t xml:space="preserve"> </w:t>
      </w:r>
      <w:r>
        <w:rPr>
          <w:rFonts w:ascii="Times New Roman" w:hAnsi="Times New Roman" w:eastAsia="Times New Roman" w:cs="Times New Roman"/>
          <w:spacing w:val="-4"/>
          <w:position w:val="2"/>
          <w:sz w:val="24"/>
          <w:szCs w:val="24"/>
        </w:rPr>
        <w:t xml:space="preserve">26  </w:t>
      </w:r>
      <w:r>
        <w:rPr>
          <w:rFonts w:ascii="宋体" w:hAnsi="宋体" w:eastAsia="宋体" w:cs="宋体"/>
          <w:spacing w:val="-4"/>
          <w:position w:val="2"/>
          <w:sz w:val="24"/>
          <w:szCs w:val="24"/>
        </w:rPr>
        <w:t>日修正</w:t>
      </w:r>
      <w:r>
        <w:rPr>
          <w:rFonts w:ascii="宋体" w:hAnsi="宋体" w:eastAsia="宋体" w:cs="宋体"/>
          <w:spacing w:val="2"/>
          <w:position w:val="2"/>
          <w:sz w:val="24"/>
          <w:szCs w:val="24"/>
        </w:rPr>
        <w:t>）；</w:t>
      </w:r>
    </w:p>
    <w:p w14:paraId="71B76253">
      <w:pPr>
        <w:spacing w:before="127" w:line="360" w:lineRule="exact"/>
        <w:jc w:val="right"/>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7</w:t>
      </w:r>
      <w:r>
        <w:rPr>
          <w:rFonts w:ascii="宋体" w:hAnsi="宋体" w:eastAsia="宋体" w:cs="宋体"/>
          <w:spacing w:val="-2"/>
          <w:position w:val="2"/>
          <w:sz w:val="24"/>
          <w:szCs w:val="24"/>
        </w:rPr>
        <w:t>）《中华人民共和国大气污染防治法》（</w:t>
      </w:r>
      <w:r>
        <w:rPr>
          <w:rFonts w:ascii="Times New Roman" w:hAnsi="Times New Roman" w:eastAsia="Times New Roman" w:cs="Times New Roman"/>
          <w:spacing w:val="-2"/>
          <w:position w:val="2"/>
          <w:sz w:val="24"/>
          <w:szCs w:val="24"/>
        </w:rPr>
        <w:t xml:space="preserve">2018 </w:t>
      </w:r>
      <w:r>
        <w:rPr>
          <w:rFonts w:ascii="宋体" w:hAnsi="宋体" w:eastAsia="宋体" w:cs="宋体"/>
          <w:spacing w:val="-2"/>
          <w:position w:val="2"/>
          <w:sz w:val="24"/>
          <w:szCs w:val="24"/>
        </w:rPr>
        <w:t>年</w:t>
      </w:r>
      <w:r>
        <w:rPr>
          <w:rFonts w:ascii="宋体" w:hAnsi="宋体" w:eastAsia="宋体" w:cs="宋体"/>
          <w:spacing w:val="-32"/>
          <w:position w:val="2"/>
          <w:sz w:val="24"/>
          <w:szCs w:val="24"/>
        </w:rPr>
        <w:t xml:space="preserve"> </w:t>
      </w:r>
      <w:r>
        <w:rPr>
          <w:rFonts w:ascii="Times New Roman" w:hAnsi="Times New Roman" w:eastAsia="Times New Roman" w:cs="Times New Roman"/>
          <w:spacing w:val="-2"/>
          <w:position w:val="2"/>
          <w:sz w:val="24"/>
          <w:szCs w:val="24"/>
        </w:rPr>
        <w:t>10</w:t>
      </w:r>
      <w:r>
        <w:rPr>
          <w:rFonts w:ascii="Times New Roman" w:hAnsi="Times New Roman" w:eastAsia="Times New Roman" w:cs="Times New Roman"/>
          <w:spacing w:val="15"/>
          <w:w w:val="101"/>
          <w:position w:val="2"/>
          <w:sz w:val="24"/>
          <w:szCs w:val="24"/>
        </w:rPr>
        <w:t xml:space="preserve"> </w:t>
      </w:r>
      <w:r>
        <w:rPr>
          <w:rFonts w:ascii="宋体" w:hAnsi="宋体" w:eastAsia="宋体" w:cs="宋体"/>
          <w:spacing w:val="-2"/>
          <w:position w:val="2"/>
          <w:sz w:val="24"/>
          <w:szCs w:val="24"/>
        </w:rPr>
        <w:t>月</w:t>
      </w:r>
      <w:r>
        <w:rPr>
          <w:rFonts w:ascii="Times New Roman" w:hAnsi="Times New Roman" w:eastAsia="Times New Roman" w:cs="Times New Roman"/>
          <w:spacing w:val="-2"/>
          <w:position w:val="2"/>
          <w:sz w:val="24"/>
          <w:szCs w:val="24"/>
        </w:rPr>
        <w:t xml:space="preserve">26  </w:t>
      </w:r>
      <w:r>
        <w:rPr>
          <w:rFonts w:ascii="宋体" w:hAnsi="宋体" w:eastAsia="宋体" w:cs="宋体"/>
          <w:spacing w:val="-2"/>
          <w:position w:val="2"/>
          <w:sz w:val="24"/>
          <w:szCs w:val="24"/>
        </w:rPr>
        <w:t>日第二次修正</w:t>
      </w:r>
      <w:r>
        <w:rPr>
          <w:rFonts w:ascii="宋体" w:hAnsi="宋体" w:eastAsia="宋体" w:cs="宋体"/>
          <w:spacing w:val="-24"/>
          <w:position w:val="2"/>
          <w:sz w:val="24"/>
          <w:szCs w:val="24"/>
        </w:rPr>
        <w:t>）；</w:t>
      </w:r>
    </w:p>
    <w:p w14:paraId="04EEB5CF">
      <w:pPr>
        <w:spacing w:before="129" w:line="360"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8</w:t>
      </w:r>
      <w:r>
        <w:rPr>
          <w:rFonts w:ascii="宋体" w:hAnsi="宋体" w:eastAsia="宋体" w:cs="宋体"/>
          <w:spacing w:val="-2"/>
          <w:position w:val="2"/>
          <w:sz w:val="24"/>
          <w:szCs w:val="24"/>
        </w:rPr>
        <w:t>）《中华人民共和国水污染防治法》（</w:t>
      </w:r>
      <w:r>
        <w:rPr>
          <w:rFonts w:ascii="Times New Roman" w:hAnsi="Times New Roman" w:eastAsia="Times New Roman" w:cs="Times New Roman"/>
          <w:spacing w:val="-2"/>
          <w:position w:val="2"/>
          <w:sz w:val="24"/>
          <w:szCs w:val="24"/>
        </w:rPr>
        <w:t xml:space="preserve">2017 </w:t>
      </w:r>
      <w:r>
        <w:rPr>
          <w:rFonts w:ascii="宋体" w:hAnsi="宋体" w:eastAsia="宋体" w:cs="宋体"/>
          <w:spacing w:val="-2"/>
          <w:position w:val="2"/>
          <w:sz w:val="24"/>
          <w:szCs w:val="24"/>
        </w:rPr>
        <w:t>年</w:t>
      </w:r>
      <w:r>
        <w:rPr>
          <w:rFonts w:ascii="宋体" w:hAnsi="宋体" w:eastAsia="宋体" w:cs="宋体"/>
          <w:spacing w:val="-49"/>
          <w:position w:val="2"/>
          <w:sz w:val="24"/>
          <w:szCs w:val="24"/>
        </w:rPr>
        <w:t xml:space="preserve"> </w:t>
      </w:r>
      <w:r>
        <w:rPr>
          <w:rFonts w:ascii="Times New Roman" w:hAnsi="Times New Roman" w:eastAsia="Times New Roman" w:cs="Times New Roman"/>
          <w:spacing w:val="-2"/>
          <w:position w:val="2"/>
          <w:sz w:val="24"/>
          <w:szCs w:val="24"/>
        </w:rPr>
        <w:t>6</w:t>
      </w:r>
      <w:r>
        <w:rPr>
          <w:rFonts w:ascii="Times New Roman" w:hAnsi="Times New Roman" w:eastAsia="Times New Roman" w:cs="Times New Roman"/>
          <w:spacing w:val="15"/>
          <w:position w:val="2"/>
          <w:sz w:val="24"/>
          <w:szCs w:val="24"/>
        </w:rPr>
        <w:t xml:space="preserve"> </w:t>
      </w:r>
      <w:r>
        <w:rPr>
          <w:rFonts w:ascii="宋体" w:hAnsi="宋体" w:eastAsia="宋体" w:cs="宋体"/>
          <w:spacing w:val="-2"/>
          <w:position w:val="2"/>
          <w:sz w:val="24"/>
          <w:szCs w:val="24"/>
        </w:rPr>
        <w:t>月修订</w:t>
      </w:r>
      <w:r>
        <w:rPr>
          <w:rFonts w:ascii="宋体" w:hAnsi="宋体" w:eastAsia="宋体" w:cs="宋体"/>
          <w:spacing w:val="5"/>
          <w:position w:val="2"/>
          <w:sz w:val="24"/>
          <w:szCs w:val="24"/>
        </w:rPr>
        <w:t>）；</w:t>
      </w:r>
    </w:p>
    <w:p w14:paraId="00CAEF3E">
      <w:pPr>
        <w:spacing w:before="130" w:line="360" w:lineRule="exact"/>
        <w:jc w:val="right"/>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9</w:t>
      </w:r>
      <w:r>
        <w:rPr>
          <w:rFonts w:ascii="宋体" w:hAnsi="宋体" w:eastAsia="宋体" w:cs="宋体"/>
          <w:spacing w:val="-3"/>
          <w:position w:val="2"/>
          <w:sz w:val="24"/>
          <w:szCs w:val="24"/>
        </w:rPr>
        <w:t>）《中华人民共和国固体废物污染环境防治法》（</w:t>
      </w:r>
      <w:r>
        <w:rPr>
          <w:rFonts w:ascii="Times New Roman" w:hAnsi="Times New Roman" w:eastAsia="Times New Roman" w:cs="Times New Roman"/>
          <w:spacing w:val="-3"/>
          <w:position w:val="2"/>
          <w:sz w:val="24"/>
          <w:szCs w:val="24"/>
        </w:rPr>
        <w:t xml:space="preserve">2020 </w:t>
      </w:r>
      <w:r>
        <w:rPr>
          <w:rFonts w:ascii="宋体" w:hAnsi="宋体" w:eastAsia="宋体" w:cs="宋体"/>
          <w:spacing w:val="-3"/>
          <w:position w:val="2"/>
          <w:sz w:val="24"/>
          <w:szCs w:val="24"/>
        </w:rPr>
        <w:t>年</w:t>
      </w:r>
      <w:r>
        <w:rPr>
          <w:rFonts w:ascii="宋体" w:hAnsi="宋体" w:eastAsia="宋体" w:cs="宋体"/>
          <w:spacing w:val="-56"/>
          <w:position w:val="2"/>
          <w:sz w:val="24"/>
          <w:szCs w:val="24"/>
        </w:rPr>
        <w:t xml:space="preserve"> </w:t>
      </w:r>
      <w:r>
        <w:rPr>
          <w:rFonts w:ascii="Times New Roman" w:hAnsi="Times New Roman" w:eastAsia="Times New Roman" w:cs="Times New Roman"/>
          <w:spacing w:val="-3"/>
          <w:position w:val="2"/>
          <w:sz w:val="24"/>
          <w:szCs w:val="24"/>
        </w:rPr>
        <w:t>4</w:t>
      </w:r>
      <w:r>
        <w:rPr>
          <w:rFonts w:ascii="Times New Roman" w:hAnsi="Times New Roman" w:eastAsia="Times New Roman" w:cs="Times New Roman"/>
          <w:spacing w:val="15"/>
          <w:w w:val="101"/>
          <w:position w:val="2"/>
          <w:sz w:val="24"/>
          <w:szCs w:val="24"/>
        </w:rPr>
        <w:t xml:space="preserve"> </w:t>
      </w:r>
      <w:r>
        <w:rPr>
          <w:rFonts w:ascii="宋体" w:hAnsi="宋体" w:eastAsia="宋体" w:cs="宋体"/>
          <w:spacing w:val="-3"/>
          <w:position w:val="2"/>
          <w:sz w:val="24"/>
          <w:szCs w:val="24"/>
        </w:rPr>
        <w:t>月</w:t>
      </w:r>
      <w:r>
        <w:rPr>
          <w:rFonts w:ascii="Times New Roman" w:hAnsi="Times New Roman" w:eastAsia="Times New Roman" w:cs="Times New Roman"/>
          <w:spacing w:val="-3"/>
          <w:position w:val="2"/>
          <w:sz w:val="24"/>
          <w:szCs w:val="24"/>
        </w:rPr>
        <w:t xml:space="preserve">29  </w:t>
      </w:r>
      <w:r>
        <w:rPr>
          <w:rFonts w:ascii="宋体" w:hAnsi="宋体" w:eastAsia="宋体" w:cs="宋体"/>
          <w:spacing w:val="-3"/>
          <w:position w:val="2"/>
          <w:sz w:val="24"/>
          <w:szCs w:val="24"/>
        </w:rPr>
        <w:t>日修订</w:t>
      </w:r>
      <w:r>
        <w:rPr>
          <w:rFonts w:ascii="宋体" w:hAnsi="宋体" w:eastAsia="宋体" w:cs="宋体"/>
          <w:spacing w:val="-38"/>
          <w:position w:val="2"/>
          <w:sz w:val="24"/>
          <w:szCs w:val="24"/>
        </w:rPr>
        <w:t>）；</w:t>
      </w:r>
    </w:p>
    <w:p w14:paraId="6C2D30F6">
      <w:pPr>
        <w:spacing w:before="129" w:line="361" w:lineRule="exact"/>
        <w:ind w:left="495"/>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10</w:t>
      </w:r>
      <w:r>
        <w:rPr>
          <w:rFonts w:ascii="宋体" w:hAnsi="宋体" w:eastAsia="宋体" w:cs="宋体"/>
          <w:spacing w:val="-3"/>
          <w:position w:val="2"/>
          <w:sz w:val="24"/>
          <w:szCs w:val="24"/>
        </w:rPr>
        <w:t>）《中华人民共和国环境噪声污染防治法》（</w:t>
      </w:r>
      <w:r>
        <w:rPr>
          <w:rFonts w:ascii="Times New Roman" w:hAnsi="Times New Roman" w:eastAsia="Times New Roman" w:cs="Times New Roman"/>
          <w:spacing w:val="-3"/>
          <w:position w:val="2"/>
          <w:sz w:val="24"/>
          <w:szCs w:val="24"/>
        </w:rPr>
        <w:t>20</w:t>
      </w:r>
      <w:r>
        <w:rPr>
          <w:rFonts w:ascii="Times New Roman" w:hAnsi="Times New Roman" w:eastAsia="Times New Roman" w:cs="Times New Roman"/>
          <w:spacing w:val="-4"/>
          <w:position w:val="2"/>
          <w:sz w:val="24"/>
          <w:szCs w:val="24"/>
        </w:rPr>
        <w:t xml:space="preserve">18 </w:t>
      </w:r>
      <w:r>
        <w:rPr>
          <w:rFonts w:ascii="宋体" w:hAnsi="宋体" w:eastAsia="宋体" w:cs="宋体"/>
          <w:spacing w:val="-4"/>
          <w:position w:val="2"/>
          <w:sz w:val="24"/>
          <w:szCs w:val="24"/>
        </w:rPr>
        <w:t>年</w:t>
      </w:r>
      <w:r>
        <w:rPr>
          <w:rFonts w:ascii="宋体" w:hAnsi="宋体" w:eastAsia="宋体" w:cs="宋体"/>
          <w:spacing w:val="-32"/>
          <w:position w:val="2"/>
          <w:sz w:val="24"/>
          <w:szCs w:val="24"/>
        </w:rPr>
        <w:t xml:space="preserve"> </w:t>
      </w:r>
      <w:r>
        <w:rPr>
          <w:rFonts w:ascii="Times New Roman" w:hAnsi="Times New Roman" w:eastAsia="Times New Roman" w:cs="Times New Roman"/>
          <w:spacing w:val="-4"/>
          <w:position w:val="2"/>
          <w:sz w:val="24"/>
          <w:szCs w:val="24"/>
        </w:rPr>
        <w:t>12</w:t>
      </w:r>
      <w:r>
        <w:rPr>
          <w:rFonts w:ascii="Times New Roman" w:hAnsi="Times New Roman" w:eastAsia="Times New Roman" w:cs="Times New Roman"/>
          <w:spacing w:val="16"/>
          <w:position w:val="2"/>
          <w:sz w:val="24"/>
          <w:szCs w:val="24"/>
        </w:rPr>
        <w:t xml:space="preserve"> </w:t>
      </w:r>
      <w:r>
        <w:rPr>
          <w:rFonts w:ascii="宋体" w:hAnsi="宋体" w:eastAsia="宋体" w:cs="宋体"/>
          <w:spacing w:val="-4"/>
          <w:position w:val="2"/>
          <w:sz w:val="24"/>
          <w:szCs w:val="24"/>
        </w:rPr>
        <w:t>月</w:t>
      </w:r>
      <w:r>
        <w:rPr>
          <w:rFonts w:ascii="宋体" w:hAnsi="宋体" w:eastAsia="宋体" w:cs="宋体"/>
          <w:spacing w:val="-55"/>
          <w:position w:val="2"/>
          <w:sz w:val="24"/>
          <w:szCs w:val="24"/>
        </w:rPr>
        <w:t xml:space="preserve"> </w:t>
      </w:r>
      <w:r>
        <w:rPr>
          <w:rFonts w:ascii="Times New Roman" w:hAnsi="Times New Roman" w:eastAsia="Times New Roman" w:cs="Times New Roman"/>
          <w:spacing w:val="-4"/>
          <w:position w:val="2"/>
          <w:sz w:val="24"/>
          <w:szCs w:val="24"/>
        </w:rPr>
        <w:t xml:space="preserve">29  </w:t>
      </w:r>
      <w:r>
        <w:rPr>
          <w:rFonts w:ascii="宋体" w:hAnsi="宋体" w:eastAsia="宋体" w:cs="宋体"/>
          <w:spacing w:val="-4"/>
          <w:position w:val="2"/>
          <w:sz w:val="24"/>
          <w:szCs w:val="24"/>
        </w:rPr>
        <w:t>日修正</w:t>
      </w:r>
      <w:r>
        <w:rPr>
          <w:rFonts w:ascii="宋体" w:hAnsi="宋体" w:eastAsia="宋体" w:cs="宋体"/>
          <w:position w:val="2"/>
          <w:sz w:val="24"/>
          <w:szCs w:val="24"/>
        </w:rPr>
        <w:t>）；</w:t>
      </w:r>
    </w:p>
    <w:p w14:paraId="0AE43A76">
      <w:pPr>
        <w:spacing w:before="125" w:line="314" w:lineRule="auto"/>
        <w:ind w:left="3" w:right="2" w:firstLine="491"/>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11</w:t>
      </w:r>
      <w:r>
        <w:rPr>
          <w:rFonts w:ascii="宋体" w:hAnsi="宋体" w:eastAsia="宋体" w:cs="宋体"/>
          <w:spacing w:val="-9"/>
          <w:sz w:val="24"/>
          <w:szCs w:val="24"/>
        </w:rPr>
        <w:t>）《关于进一步加强环境影响评价管理防范环境风险的通知》（环发〔</w:t>
      </w:r>
      <w:r>
        <w:rPr>
          <w:rFonts w:ascii="Times New Roman" w:hAnsi="Times New Roman" w:eastAsia="Times New Roman" w:cs="Times New Roman"/>
          <w:spacing w:val="-9"/>
          <w:sz w:val="24"/>
          <w:szCs w:val="24"/>
        </w:rPr>
        <w:t>2012</w:t>
      </w:r>
      <w:r>
        <w:rPr>
          <w:rFonts w:ascii="宋体" w:hAnsi="宋体" w:eastAsia="宋体" w:cs="宋体"/>
          <w:spacing w:val="-9"/>
          <w:sz w:val="24"/>
          <w:szCs w:val="24"/>
        </w:rPr>
        <w:t>〕</w:t>
      </w:r>
      <w:r>
        <w:rPr>
          <w:rFonts w:ascii="宋体" w:hAnsi="宋体" w:eastAsia="宋体" w:cs="宋体"/>
          <w:spacing w:val="11"/>
          <w:sz w:val="24"/>
          <w:szCs w:val="24"/>
        </w:rPr>
        <w:t xml:space="preserve"> </w:t>
      </w:r>
      <w:r>
        <w:rPr>
          <w:rFonts w:ascii="Times New Roman" w:hAnsi="Times New Roman" w:eastAsia="Times New Roman" w:cs="Times New Roman"/>
          <w:spacing w:val="-8"/>
          <w:sz w:val="24"/>
          <w:szCs w:val="24"/>
        </w:rPr>
        <w:t>77</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号</w:t>
      </w:r>
      <w:r>
        <w:rPr>
          <w:rFonts w:ascii="宋体" w:hAnsi="宋体" w:eastAsia="宋体" w:cs="宋体"/>
          <w:sz w:val="24"/>
          <w:szCs w:val="24"/>
        </w:rPr>
        <w:t>）；</w:t>
      </w:r>
    </w:p>
    <w:p w14:paraId="66A0BFAD">
      <w:pPr>
        <w:spacing w:before="163" w:line="328" w:lineRule="auto"/>
        <w:ind w:left="4" w:firstLine="49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12</w:t>
      </w:r>
      <w:r>
        <w:rPr>
          <w:rFonts w:ascii="宋体" w:hAnsi="宋体" w:eastAsia="宋体" w:cs="宋体"/>
          <w:spacing w:val="-3"/>
          <w:sz w:val="24"/>
          <w:szCs w:val="24"/>
        </w:rPr>
        <w:t>）《关于切实加强风险防范严格环境影响评价管理的通知》（环发〔</w:t>
      </w:r>
      <w:r>
        <w:rPr>
          <w:rFonts w:ascii="Times New Roman" w:hAnsi="Times New Roman" w:eastAsia="Times New Roman" w:cs="Times New Roman"/>
          <w:spacing w:val="-3"/>
          <w:sz w:val="24"/>
          <w:szCs w:val="24"/>
        </w:rPr>
        <w:t>2012</w:t>
      </w:r>
      <w:r>
        <w:rPr>
          <w:rFonts w:ascii="宋体" w:hAnsi="宋体" w:eastAsia="宋体" w:cs="宋体"/>
          <w:spacing w:val="-3"/>
          <w:sz w:val="24"/>
          <w:szCs w:val="24"/>
        </w:rPr>
        <w:t>〕</w:t>
      </w:r>
      <w:r>
        <w:rPr>
          <w:rFonts w:ascii="宋体" w:hAnsi="宋体" w:eastAsia="宋体" w:cs="宋体"/>
          <w:spacing w:val="16"/>
          <w:sz w:val="24"/>
          <w:szCs w:val="24"/>
        </w:rPr>
        <w:t xml:space="preserve"> </w:t>
      </w:r>
      <w:r>
        <w:rPr>
          <w:rFonts w:ascii="Times New Roman" w:hAnsi="Times New Roman" w:eastAsia="Times New Roman" w:cs="Times New Roman"/>
          <w:spacing w:val="-9"/>
          <w:sz w:val="24"/>
          <w:szCs w:val="24"/>
        </w:rPr>
        <w:t>98</w:t>
      </w:r>
      <w:r>
        <w:rPr>
          <w:rFonts w:ascii="Times New Roman" w:hAnsi="Times New Roman" w:eastAsia="Times New Roman" w:cs="Times New Roman"/>
          <w:spacing w:val="16"/>
          <w:sz w:val="24"/>
          <w:szCs w:val="24"/>
        </w:rPr>
        <w:t xml:space="preserve"> </w:t>
      </w:r>
      <w:r>
        <w:rPr>
          <w:rFonts w:ascii="宋体" w:hAnsi="宋体" w:eastAsia="宋体" w:cs="宋体"/>
          <w:spacing w:val="-9"/>
          <w:sz w:val="24"/>
          <w:szCs w:val="24"/>
        </w:rPr>
        <w:t>号</w:t>
      </w:r>
      <w:r>
        <w:rPr>
          <w:rFonts w:ascii="宋体" w:hAnsi="宋体" w:eastAsia="宋体" w:cs="宋体"/>
          <w:sz w:val="24"/>
          <w:szCs w:val="24"/>
        </w:rPr>
        <w:t>）；</w:t>
      </w:r>
    </w:p>
    <w:p w14:paraId="39DFB0DD">
      <w:pPr>
        <w:spacing w:before="125" w:line="359"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13</w:t>
      </w:r>
      <w:r>
        <w:rPr>
          <w:rFonts w:ascii="宋体" w:hAnsi="宋体" w:eastAsia="宋体" w:cs="宋体"/>
          <w:spacing w:val="-1"/>
          <w:position w:val="2"/>
          <w:sz w:val="24"/>
          <w:szCs w:val="24"/>
        </w:rPr>
        <w:t>）《企业突发环境事件风险评估指南（试行）》（环办〔</w:t>
      </w:r>
      <w:r>
        <w:rPr>
          <w:rFonts w:ascii="Times New Roman" w:hAnsi="Times New Roman" w:eastAsia="Times New Roman" w:cs="Times New Roman"/>
          <w:spacing w:val="-1"/>
          <w:position w:val="2"/>
          <w:sz w:val="24"/>
          <w:szCs w:val="24"/>
        </w:rPr>
        <w:t>2014</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34</w:t>
      </w:r>
      <w:r>
        <w:rPr>
          <w:rFonts w:ascii="Times New Roman" w:hAnsi="Times New Roman" w:eastAsia="Times New Roman" w:cs="Times New Roman"/>
          <w:spacing w:val="16"/>
          <w:position w:val="2"/>
          <w:sz w:val="24"/>
          <w:szCs w:val="24"/>
        </w:rPr>
        <w:t xml:space="preserve"> </w:t>
      </w:r>
      <w:r>
        <w:rPr>
          <w:rFonts w:ascii="宋体" w:hAnsi="宋体" w:eastAsia="宋体" w:cs="宋体"/>
          <w:spacing w:val="-1"/>
          <w:position w:val="2"/>
          <w:sz w:val="24"/>
          <w:szCs w:val="24"/>
        </w:rPr>
        <w:t>号</w:t>
      </w:r>
      <w:r>
        <w:rPr>
          <w:rFonts w:ascii="宋体" w:hAnsi="宋体" w:eastAsia="宋体" w:cs="宋体"/>
          <w:spacing w:val="6"/>
          <w:position w:val="2"/>
          <w:sz w:val="24"/>
          <w:szCs w:val="24"/>
        </w:rPr>
        <w:t>）；</w:t>
      </w:r>
    </w:p>
    <w:p w14:paraId="4E37D839">
      <w:pPr>
        <w:spacing w:before="131"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15</w:t>
      </w:r>
      <w:r>
        <w:rPr>
          <w:rFonts w:ascii="宋体" w:hAnsi="宋体" w:eastAsia="宋体" w:cs="宋体"/>
          <w:spacing w:val="-1"/>
          <w:position w:val="2"/>
          <w:sz w:val="24"/>
          <w:szCs w:val="24"/>
        </w:rPr>
        <w:t>）《关于加强环境应急管理工作的意见》（环发〔</w:t>
      </w:r>
      <w:r>
        <w:rPr>
          <w:rFonts w:ascii="Times New Roman" w:hAnsi="Times New Roman" w:eastAsia="Times New Roman" w:cs="Times New Roman"/>
          <w:spacing w:val="-1"/>
          <w:position w:val="2"/>
          <w:sz w:val="24"/>
          <w:szCs w:val="24"/>
        </w:rPr>
        <w:t>2009</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 xml:space="preserve">130  </w:t>
      </w:r>
      <w:r>
        <w:rPr>
          <w:rFonts w:ascii="宋体" w:hAnsi="宋体" w:eastAsia="宋体" w:cs="宋体"/>
          <w:spacing w:val="-1"/>
          <w:position w:val="2"/>
          <w:sz w:val="24"/>
          <w:szCs w:val="24"/>
        </w:rPr>
        <w:t>号）</w:t>
      </w:r>
    </w:p>
    <w:p w14:paraId="01714C20">
      <w:pPr>
        <w:spacing w:before="129" w:line="327" w:lineRule="auto"/>
        <w:ind w:left="9" w:right="75" w:firstLine="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14</w:t>
      </w:r>
      <w:r>
        <w:rPr>
          <w:rFonts w:ascii="宋体" w:hAnsi="宋体" w:eastAsia="宋体" w:cs="宋体"/>
          <w:spacing w:val="2"/>
          <w:sz w:val="24"/>
          <w:szCs w:val="24"/>
        </w:rPr>
        <w:t>）《关于落实大气污染防治行动计划严格环境影响评价准入的通</w:t>
      </w:r>
      <w:r>
        <w:rPr>
          <w:rFonts w:ascii="宋体" w:hAnsi="宋体" w:eastAsia="宋体" w:cs="宋体"/>
          <w:spacing w:val="1"/>
          <w:sz w:val="24"/>
          <w:szCs w:val="24"/>
        </w:rPr>
        <w:t>知》（环</w:t>
      </w:r>
      <w:r>
        <w:rPr>
          <w:rFonts w:ascii="宋体" w:hAnsi="宋体" w:eastAsia="宋体" w:cs="宋体"/>
          <w:sz w:val="24"/>
          <w:szCs w:val="24"/>
        </w:rPr>
        <w:t xml:space="preserve"> </w:t>
      </w:r>
      <w:r>
        <w:rPr>
          <w:rFonts w:ascii="宋体" w:hAnsi="宋体" w:eastAsia="宋体" w:cs="宋体"/>
          <w:spacing w:val="-2"/>
          <w:sz w:val="24"/>
          <w:szCs w:val="24"/>
        </w:rPr>
        <w:t>办〔</w:t>
      </w:r>
      <w:r>
        <w:rPr>
          <w:rFonts w:ascii="Times New Roman" w:hAnsi="Times New Roman" w:eastAsia="Times New Roman" w:cs="Times New Roman"/>
          <w:spacing w:val="-2"/>
          <w:sz w:val="24"/>
          <w:szCs w:val="24"/>
        </w:rPr>
        <w:t>2014</w:t>
      </w:r>
      <w:r>
        <w:rPr>
          <w:rFonts w:ascii="宋体" w:hAnsi="宋体" w:eastAsia="宋体" w:cs="宋体"/>
          <w:spacing w:val="-2"/>
          <w:sz w:val="24"/>
          <w:szCs w:val="24"/>
        </w:rPr>
        <w:t>〕</w:t>
      </w:r>
      <w:r>
        <w:rPr>
          <w:rFonts w:ascii="Times New Roman" w:hAnsi="Times New Roman" w:eastAsia="Times New Roman" w:cs="Times New Roman"/>
          <w:spacing w:val="-2"/>
          <w:sz w:val="24"/>
          <w:szCs w:val="24"/>
        </w:rPr>
        <w:t>30</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号</w:t>
      </w:r>
      <w:r>
        <w:rPr>
          <w:rFonts w:ascii="宋体" w:hAnsi="宋体" w:eastAsia="宋体" w:cs="宋体"/>
          <w:spacing w:val="2"/>
          <w:sz w:val="24"/>
          <w:szCs w:val="24"/>
        </w:rPr>
        <w:t>）；</w:t>
      </w:r>
    </w:p>
    <w:p w14:paraId="21BFD488">
      <w:pPr>
        <w:spacing w:before="128" w:line="313" w:lineRule="auto"/>
        <w:ind w:left="45" w:right="75" w:firstLine="45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16</w:t>
      </w:r>
      <w:r>
        <w:rPr>
          <w:rFonts w:ascii="宋体" w:hAnsi="宋体" w:eastAsia="宋体" w:cs="宋体"/>
          <w:spacing w:val="-2"/>
          <w:sz w:val="24"/>
          <w:szCs w:val="24"/>
        </w:rPr>
        <w:t xml:space="preserve">）《环境影响评价公众参与办法》（生态环境部令 </w:t>
      </w:r>
      <w:r>
        <w:rPr>
          <w:rFonts w:ascii="Times New Roman" w:hAnsi="Times New Roman" w:eastAsia="Times New Roman" w:cs="Times New Roman"/>
          <w:spacing w:val="-2"/>
          <w:sz w:val="24"/>
          <w:szCs w:val="24"/>
        </w:rPr>
        <w:t xml:space="preserve">4  </w:t>
      </w:r>
      <w:r>
        <w:rPr>
          <w:rFonts w:ascii="宋体" w:hAnsi="宋体" w:eastAsia="宋体" w:cs="宋体"/>
          <w:spacing w:val="-3"/>
          <w:sz w:val="24"/>
          <w:szCs w:val="24"/>
        </w:rPr>
        <w:t>号，</w:t>
      </w:r>
      <w:r>
        <w:rPr>
          <w:rFonts w:ascii="Times New Roman" w:hAnsi="Times New Roman" w:eastAsia="Times New Roman" w:cs="Times New Roman"/>
          <w:spacing w:val="-3"/>
          <w:sz w:val="24"/>
          <w:szCs w:val="24"/>
        </w:rPr>
        <w:t xml:space="preserve">2019  </w:t>
      </w:r>
      <w:r>
        <w:rPr>
          <w:rFonts w:ascii="宋体" w:hAnsi="宋体" w:eastAsia="宋体" w:cs="宋体"/>
          <w:spacing w:val="-3"/>
          <w:sz w:val="24"/>
          <w:szCs w:val="24"/>
        </w:rPr>
        <w:t xml:space="preserve">年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7"/>
          <w:sz w:val="24"/>
          <w:szCs w:val="24"/>
        </w:rPr>
        <w:t xml:space="preserve">  </w:t>
      </w:r>
      <w:r>
        <w:rPr>
          <w:rFonts w:ascii="宋体" w:hAnsi="宋体" w:eastAsia="宋体" w:cs="宋体"/>
          <w:spacing w:val="-3"/>
          <w:sz w:val="24"/>
          <w:szCs w:val="24"/>
        </w:rPr>
        <w:t>月</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z w:val="24"/>
          <w:szCs w:val="24"/>
        </w:rPr>
        <w:t xml:space="preserve"> </w:t>
      </w:r>
      <w:r>
        <w:rPr>
          <w:rFonts w:ascii="宋体" w:hAnsi="宋体" w:eastAsia="宋体" w:cs="宋体"/>
          <w:spacing w:val="-17"/>
          <w:sz w:val="24"/>
          <w:szCs w:val="24"/>
        </w:rPr>
        <w:t>日实施</w:t>
      </w:r>
      <w:r>
        <w:rPr>
          <w:rFonts w:ascii="宋体" w:hAnsi="宋体" w:eastAsia="宋体" w:cs="宋体"/>
          <w:sz w:val="24"/>
          <w:szCs w:val="24"/>
        </w:rPr>
        <w:t>）；</w:t>
      </w:r>
    </w:p>
    <w:p w14:paraId="61DCA40B">
      <w:pPr>
        <w:spacing w:before="164" w:line="327" w:lineRule="auto"/>
        <w:ind w:right="104" w:firstLine="49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17</w:t>
      </w:r>
      <w:r>
        <w:rPr>
          <w:rFonts w:ascii="宋体" w:hAnsi="宋体" w:eastAsia="宋体" w:cs="宋体"/>
          <w:spacing w:val="-1"/>
          <w:sz w:val="24"/>
          <w:szCs w:val="24"/>
        </w:rPr>
        <w:t>）《产业结构调整指导目录（</w:t>
      </w:r>
      <w:r>
        <w:rPr>
          <w:rFonts w:ascii="Times New Roman" w:hAnsi="Times New Roman" w:eastAsia="Times New Roman" w:cs="Times New Roman"/>
          <w:spacing w:val="-1"/>
          <w:sz w:val="24"/>
          <w:szCs w:val="24"/>
        </w:rPr>
        <w:t xml:space="preserve">2019 </w:t>
      </w:r>
      <w:r>
        <w:rPr>
          <w:rFonts w:ascii="宋体" w:hAnsi="宋体" w:eastAsia="宋体" w:cs="宋体"/>
          <w:spacing w:val="-1"/>
          <w:sz w:val="24"/>
          <w:szCs w:val="24"/>
        </w:rPr>
        <w:t>年本）》（国家发展和改革委员会令第</w:t>
      </w:r>
      <w:r>
        <w:rPr>
          <w:rFonts w:ascii="宋体" w:hAnsi="宋体" w:eastAsia="宋体" w:cs="宋体"/>
          <w:spacing w:val="16"/>
          <w:sz w:val="24"/>
          <w:szCs w:val="24"/>
        </w:rPr>
        <w:t xml:space="preserve"> </w:t>
      </w:r>
      <w:r>
        <w:rPr>
          <w:rFonts w:ascii="Times New Roman" w:hAnsi="Times New Roman" w:eastAsia="Times New Roman" w:cs="Times New Roman"/>
          <w:spacing w:val="-7"/>
          <w:sz w:val="24"/>
          <w:szCs w:val="24"/>
        </w:rPr>
        <w:t xml:space="preserve">29  </w:t>
      </w:r>
      <w:r>
        <w:rPr>
          <w:rFonts w:ascii="宋体" w:hAnsi="宋体" w:eastAsia="宋体" w:cs="宋体"/>
          <w:spacing w:val="-7"/>
          <w:sz w:val="24"/>
          <w:szCs w:val="24"/>
        </w:rPr>
        <w:t>号修正，</w:t>
      </w:r>
      <w:r>
        <w:rPr>
          <w:rFonts w:ascii="Times New Roman" w:hAnsi="Times New Roman" w:eastAsia="Times New Roman" w:cs="Times New Roman"/>
          <w:spacing w:val="-7"/>
          <w:sz w:val="24"/>
          <w:szCs w:val="24"/>
        </w:rPr>
        <w:t>2020</w:t>
      </w:r>
      <w:r>
        <w:rPr>
          <w:rFonts w:ascii="Times New Roman" w:hAnsi="Times New Roman" w:eastAsia="Times New Roman" w:cs="Times New Roman"/>
          <w:spacing w:val="11"/>
          <w:sz w:val="24"/>
          <w:szCs w:val="24"/>
        </w:rPr>
        <w:t xml:space="preserve"> </w:t>
      </w:r>
      <w:r>
        <w:rPr>
          <w:rFonts w:ascii="宋体" w:hAnsi="宋体" w:eastAsia="宋体" w:cs="宋体"/>
          <w:spacing w:val="-7"/>
          <w:sz w:val="24"/>
          <w:szCs w:val="24"/>
        </w:rPr>
        <w:t>年</w:t>
      </w:r>
      <w:r>
        <w:rPr>
          <w:rFonts w:ascii="宋体" w:hAnsi="宋体" w:eastAsia="宋体" w:cs="宋体"/>
          <w:spacing w:val="28"/>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月</w:t>
      </w:r>
      <w:r>
        <w:rPr>
          <w:rFonts w:ascii="宋体" w:hAnsi="宋体" w:eastAsia="宋体" w:cs="宋体"/>
          <w:spacing w:val="29"/>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日起施行</w:t>
      </w:r>
      <w:r>
        <w:rPr>
          <w:rFonts w:ascii="宋体" w:hAnsi="宋体" w:eastAsia="宋体" w:cs="宋体"/>
          <w:spacing w:val="6"/>
          <w:sz w:val="24"/>
          <w:szCs w:val="24"/>
        </w:rPr>
        <w:t>）；</w:t>
      </w:r>
    </w:p>
    <w:p w14:paraId="7B135839">
      <w:pPr>
        <w:spacing w:line="327" w:lineRule="auto"/>
        <w:rPr>
          <w:rFonts w:ascii="宋体" w:hAnsi="宋体" w:eastAsia="宋体" w:cs="宋体"/>
          <w:sz w:val="24"/>
          <w:szCs w:val="24"/>
        </w:rPr>
        <w:sectPr>
          <w:footerReference r:id="rId30" w:type="default"/>
          <w:pgSz w:w="11906" w:h="16839"/>
          <w:pgMar w:top="1431" w:right="1512" w:bottom="1485" w:left="1593" w:header="0" w:footer="1249" w:gutter="0"/>
          <w:cols w:space="720" w:num="1"/>
        </w:sectPr>
      </w:pPr>
    </w:p>
    <w:p w14:paraId="78D3C1E0">
      <w:pPr>
        <w:spacing w:before="74" w:line="328" w:lineRule="auto"/>
        <w:ind w:left="24" w:right="5" w:firstLine="472"/>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18</w:t>
      </w:r>
      <w:r>
        <w:rPr>
          <w:rFonts w:ascii="宋体" w:hAnsi="宋体" w:eastAsia="宋体" w:cs="宋体"/>
          <w:spacing w:val="-9"/>
          <w:sz w:val="24"/>
          <w:szCs w:val="24"/>
        </w:rPr>
        <w:t>）《建设项目主要污染物排放总量指标审核及管理暂行办法》（环发〔</w:t>
      </w:r>
      <w:r>
        <w:rPr>
          <w:rFonts w:ascii="Times New Roman" w:hAnsi="Times New Roman" w:eastAsia="Times New Roman" w:cs="Times New Roman"/>
          <w:spacing w:val="-9"/>
          <w:sz w:val="24"/>
          <w:szCs w:val="24"/>
        </w:rPr>
        <w:t>2014</w:t>
      </w:r>
      <w:r>
        <w:rPr>
          <w:rFonts w:ascii="宋体" w:hAnsi="宋体" w:eastAsia="宋体" w:cs="宋体"/>
          <w:spacing w:val="-9"/>
          <w:sz w:val="24"/>
          <w:szCs w:val="24"/>
        </w:rPr>
        <w:t>〕</w:t>
      </w:r>
      <w:r>
        <w:rPr>
          <w:rFonts w:ascii="宋体" w:hAnsi="宋体" w:eastAsia="宋体" w:cs="宋体"/>
          <w:spacing w:val="13"/>
          <w:sz w:val="24"/>
          <w:szCs w:val="24"/>
        </w:rPr>
        <w:t xml:space="preserve"> </w:t>
      </w:r>
      <w:r>
        <w:rPr>
          <w:rFonts w:ascii="Times New Roman" w:hAnsi="Times New Roman" w:eastAsia="Times New Roman" w:cs="Times New Roman"/>
          <w:spacing w:val="-11"/>
          <w:sz w:val="24"/>
          <w:szCs w:val="24"/>
        </w:rPr>
        <w:t>197</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号</w:t>
      </w:r>
      <w:r>
        <w:rPr>
          <w:rFonts w:ascii="宋体" w:hAnsi="宋体" w:eastAsia="宋体" w:cs="宋体"/>
          <w:sz w:val="24"/>
          <w:szCs w:val="24"/>
        </w:rPr>
        <w:t>）；</w:t>
      </w:r>
    </w:p>
    <w:p w14:paraId="358976CF">
      <w:pPr>
        <w:spacing w:before="125" w:line="360" w:lineRule="exact"/>
        <w:jc w:val="right"/>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19</w:t>
      </w:r>
      <w:r>
        <w:rPr>
          <w:rFonts w:ascii="宋体" w:hAnsi="宋体" w:eastAsia="宋体" w:cs="宋体"/>
          <w:spacing w:val="-3"/>
          <w:position w:val="2"/>
          <w:sz w:val="24"/>
          <w:szCs w:val="24"/>
        </w:rPr>
        <w:t>）《国务院关于印发水污染防治行动计划的通知》（国发〔</w:t>
      </w:r>
      <w:r>
        <w:rPr>
          <w:rFonts w:ascii="Times New Roman" w:hAnsi="Times New Roman" w:eastAsia="Times New Roman" w:cs="Times New Roman"/>
          <w:spacing w:val="-3"/>
          <w:position w:val="2"/>
          <w:sz w:val="24"/>
          <w:szCs w:val="24"/>
        </w:rPr>
        <w:t>2015</w:t>
      </w:r>
      <w:r>
        <w:rPr>
          <w:rFonts w:ascii="宋体" w:hAnsi="宋体" w:eastAsia="宋体" w:cs="宋体"/>
          <w:spacing w:val="-3"/>
          <w:position w:val="2"/>
          <w:sz w:val="24"/>
          <w:szCs w:val="24"/>
        </w:rPr>
        <w:t>〕</w:t>
      </w:r>
      <w:r>
        <w:rPr>
          <w:rFonts w:ascii="Times New Roman" w:hAnsi="Times New Roman" w:eastAsia="Times New Roman" w:cs="Times New Roman"/>
          <w:spacing w:val="-4"/>
          <w:position w:val="2"/>
          <w:sz w:val="24"/>
          <w:szCs w:val="24"/>
        </w:rPr>
        <w:t>17</w:t>
      </w:r>
      <w:r>
        <w:rPr>
          <w:rFonts w:ascii="Times New Roman" w:hAnsi="Times New Roman" w:eastAsia="Times New Roman" w:cs="Times New Roman"/>
          <w:spacing w:val="16"/>
          <w:w w:val="101"/>
          <w:position w:val="2"/>
          <w:sz w:val="24"/>
          <w:szCs w:val="24"/>
        </w:rPr>
        <w:t xml:space="preserve"> </w:t>
      </w:r>
      <w:r>
        <w:rPr>
          <w:rFonts w:ascii="宋体" w:hAnsi="宋体" w:eastAsia="宋体" w:cs="宋体"/>
          <w:spacing w:val="-4"/>
          <w:position w:val="2"/>
          <w:sz w:val="24"/>
          <w:szCs w:val="24"/>
        </w:rPr>
        <w:t>号</w:t>
      </w:r>
      <w:r>
        <w:rPr>
          <w:rFonts w:ascii="宋体" w:hAnsi="宋体" w:eastAsia="宋体" w:cs="宋体"/>
          <w:spacing w:val="-38"/>
          <w:position w:val="2"/>
          <w:sz w:val="24"/>
          <w:szCs w:val="24"/>
        </w:rPr>
        <w:t>）；</w:t>
      </w:r>
    </w:p>
    <w:p w14:paraId="01076F2D">
      <w:pPr>
        <w:spacing w:before="130" w:line="312" w:lineRule="auto"/>
        <w:ind w:left="11" w:right="81" w:firstLine="48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20</w:t>
      </w:r>
      <w:r>
        <w:rPr>
          <w:rFonts w:ascii="宋体" w:hAnsi="宋体" w:eastAsia="宋体" w:cs="宋体"/>
          <w:spacing w:val="-4"/>
          <w:sz w:val="24"/>
          <w:szCs w:val="24"/>
        </w:rPr>
        <w:t>）《畜禽规模养殖污染防治条例》（国务院令第</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643</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号，</w:t>
      </w:r>
      <w:r>
        <w:rPr>
          <w:rFonts w:ascii="Times New Roman" w:hAnsi="Times New Roman" w:eastAsia="Times New Roman" w:cs="Times New Roman"/>
          <w:spacing w:val="-4"/>
          <w:sz w:val="24"/>
          <w:szCs w:val="24"/>
        </w:rPr>
        <w:t xml:space="preserve">2014 </w:t>
      </w:r>
      <w:r>
        <w:rPr>
          <w:rFonts w:ascii="宋体" w:hAnsi="宋体" w:eastAsia="宋体" w:cs="宋体"/>
          <w:spacing w:val="-4"/>
          <w:sz w:val="24"/>
          <w:szCs w:val="24"/>
        </w:rPr>
        <w:t>年</w:t>
      </w:r>
      <w:r>
        <w:rPr>
          <w:rFonts w:ascii="宋体" w:hAnsi="宋体" w:eastAsia="宋体" w:cs="宋体"/>
          <w:spacing w:val="-30"/>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宋体" w:hAnsi="宋体" w:eastAsia="宋体" w:cs="宋体"/>
          <w:spacing w:val="-30"/>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日</w:t>
      </w:r>
      <w:r>
        <w:rPr>
          <w:rFonts w:ascii="宋体" w:hAnsi="宋体" w:eastAsia="宋体" w:cs="宋体"/>
          <w:sz w:val="24"/>
          <w:szCs w:val="24"/>
        </w:rPr>
        <w:t xml:space="preserve"> </w:t>
      </w:r>
      <w:r>
        <w:rPr>
          <w:rFonts w:ascii="宋体" w:hAnsi="宋体" w:eastAsia="宋体" w:cs="宋体"/>
          <w:spacing w:val="-4"/>
          <w:sz w:val="24"/>
          <w:szCs w:val="24"/>
        </w:rPr>
        <w:t>实施）。</w:t>
      </w:r>
    </w:p>
    <w:p w14:paraId="14A3BFA8">
      <w:pPr>
        <w:spacing w:before="167" w:line="360" w:lineRule="exact"/>
        <w:ind w:left="496"/>
        <w:rPr>
          <w:rFonts w:ascii="宋体" w:hAnsi="宋体" w:eastAsia="宋体" w:cs="宋体"/>
          <w:sz w:val="24"/>
          <w:szCs w:val="24"/>
        </w:rPr>
      </w:pPr>
      <w:r>
        <w:rPr>
          <w:rFonts w:ascii="宋体" w:hAnsi="宋体" w:eastAsia="宋体" w:cs="宋体"/>
          <w:spacing w:val="-4"/>
          <w:position w:val="2"/>
          <w:sz w:val="24"/>
          <w:szCs w:val="24"/>
        </w:rPr>
        <w:t>（</w:t>
      </w:r>
      <w:r>
        <w:rPr>
          <w:rFonts w:ascii="Times New Roman" w:hAnsi="Times New Roman" w:eastAsia="Times New Roman" w:cs="Times New Roman"/>
          <w:spacing w:val="-4"/>
          <w:position w:val="2"/>
          <w:sz w:val="24"/>
          <w:szCs w:val="24"/>
        </w:rPr>
        <w:t>21</w:t>
      </w:r>
      <w:r>
        <w:rPr>
          <w:rFonts w:ascii="宋体" w:hAnsi="宋体" w:eastAsia="宋体" w:cs="宋体"/>
          <w:spacing w:val="-4"/>
          <w:position w:val="2"/>
          <w:sz w:val="24"/>
          <w:szCs w:val="24"/>
        </w:rPr>
        <w:t>）《兽药管理条例》（</w:t>
      </w:r>
      <w:r>
        <w:rPr>
          <w:rFonts w:ascii="Times New Roman" w:hAnsi="Times New Roman" w:eastAsia="Times New Roman" w:cs="Times New Roman"/>
          <w:spacing w:val="-4"/>
          <w:position w:val="2"/>
          <w:sz w:val="24"/>
          <w:szCs w:val="24"/>
        </w:rPr>
        <w:t xml:space="preserve">2016 </w:t>
      </w:r>
      <w:r>
        <w:rPr>
          <w:rFonts w:ascii="宋体" w:hAnsi="宋体" w:eastAsia="宋体" w:cs="宋体"/>
          <w:spacing w:val="-4"/>
          <w:position w:val="2"/>
          <w:sz w:val="24"/>
          <w:szCs w:val="24"/>
        </w:rPr>
        <w:t>年</w:t>
      </w:r>
      <w:r>
        <w:rPr>
          <w:rFonts w:ascii="宋体" w:hAnsi="宋体" w:eastAsia="宋体" w:cs="宋体"/>
          <w:spacing w:val="-55"/>
          <w:position w:val="2"/>
          <w:sz w:val="24"/>
          <w:szCs w:val="24"/>
        </w:rPr>
        <w:t xml:space="preserve"> </w:t>
      </w: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15"/>
          <w:w w:val="101"/>
          <w:position w:val="2"/>
          <w:sz w:val="24"/>
          <w:szCs w:val="24"/>
        </w:rPr>
        <w:t xml:space="preserve"> </w:t>
      </w:r>
      <w:r>
        <w:rPr>
          <w:rFonts w:ascii="宋体" w:hAnsi="宋体" w:eastAsia="宋体" w:cs="宋体"/>
          <w:spacing w:val="-4"/>
          <w:position w:val="2"/>
          <w:sz w:val="24"/>
          <w:szCs w:val="24"/>
        </w:rPr>
        <w:t>月</w:t>
      </w:r>
      <w:r>
        <w:rPr>
          <w:rFonts w:ascii="宋体" w:hAnsi="宋体" w:eastAsia="宋体" w:cs="宋体"/>
          <w:spacing w:val="-50"/>
          <w:position w:val="2"/>
          <w:sz w:val="24"/>
          <w:szCs w:val="24"/>
        </w:rPr>
        <w:t xml:space="preserve"> </w:t>
      </w:r>
      <w:r>
        <w:rPr>
          <w:rFonts w:ascii="Times New Roman" w:hAnsi="Times New Roman" w:eastAsia="Times New Roman" w:cs="Times New Roman"/>
          <w:spacing w:val="-4"/>
          <w:position w:val="2"/>
          <w:sz w:val="24"/>
          <w:szCs w:val="24"/>
        </w:rPr>
        <w:t>6</w:t>
      </w:r>
      <w:r>
        <w:rPr>
          <w:rFonts w:ascii="Times New Roman" w:hAnsi="Times New Roman" w:eastAsia="Times New Roman" w:cs="Times New Roman"/>
          <w:spacing w:val="-5"/>
          <w:position w:val="2"/>
          <w:sz w:val="24"/>
          <w:szCs w:val="24"/>
        </w:rPr>
        <w:t xml:space="preserve">  </w:t>
      </w:r>
      <w:r>
        <w:rPr>
          <w:rFonts w:ascii="宋体" w:hAnsi="宋体" w:eastAsia="宋体" w:cs="宋体"/>
          <w:spacing w:val="-5"/>
          <w:position w:val="2"/>
          <w:sz w:val="24"/>
          <w:szCs w:val="24"/>
        </w:rPr>
        <w:t>日修正</w:t>
      </w:r>
      <w:r>
        <w:rPr>
          <w:rFonts w:ascii="宋体" w:hAnsi="宋体" w:eastAsia="宋体" w:cs="宋体"/>
          <w:position w:val="2"/>
          <w:sz w:val="24"/>
          <w:szCs w:val="24"/>
        </w:rPr>
        <w:t>）；</w:t>
      </w:r>
    </w:p>
    <w:p w14:paraId="2155FA8F">
      <w:pPr>
        <w:spacing w:before="126" w:line="361" w:lineRule="exact"/>
        <w:ind w:left="496"/>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22</w:t>
      </w:r>
      <w:r>
        <w:rPr>
          <w:rFonts w:ascii="宋体" w:hAnsi="宋体" w:eastAsia="宋体" w:cs="宋体"/>
          <w:spacing w:val="-2"/>
          <w:position w:val="2"/>
          <w:sz w:val="24"/>
          <w:szCs w:val="24"/>
        </w:rPr>
        <w:t>）《畜禽场环境质量及卫生控制规范》（</w:t>
      </w:r>
      <w:r>
        <w:rPr>
          <w:rFonts w:ascii="Times New Roman" w:hAnsi="Times New Roman" w:eastAsia="Times New Roman" w:cs="Times New Roman"/>
          <w:spacing w:val="-2"/>
          <w:position w:val="2"/>
          <w:sz w:val="24"/>
          <w:szCs w:val="24"/>
        </w:rPr>
        <w:t>NY/T</w:t>
      </w:r>
      <w:r>
        <w:rPr>
          <w:rFonts w:ascii="Times New Roman" w:hAnsi="Times New Roman" w:eastAsia="Times New Roman" w:cs="Times New Roman"/>
          <w:spacing w:val="-31"/>
          <w:position w:val="2"/>
          <w:sz w:val="24"/>
          <w:szCs w:val="24"/>
        </w:rPr>
        <w:t xml:space="preserve"> </w:t>
      </w:r>
      <w:r>
        <w:rPr>
          <w:rFonts w:ascii="Times New Roman" w:hAnsi="Times New Roman" w:eastAsia="Times New Roman" w:cs="Times New Roman"/>
          <w:spacing w:val="-2"/>
          <w:position w:val="2"/>
          <w:sz w:val="24"/>
          <w:szCs w:val="24"/>
        </w:rPr>
        <w:t>1167-2006</w:t>
      </w:r>
      <w:r>
        <w:rPr>
          <w:rFonts w:ascii="宋体" w:hAnsi="宋体" w:eastAsia="宋体" w:cs="宋体"/>
          <w:spacing w:val="3"/>
          <w:position w:val="2"/>
          <w:sz w:val="24"/>
          <w:szCs w:val="24"/>
        </w:rPr>
        <w:t>）；</w:t>
      </w:r>
    </w:p>
    <w:p w14:paraId="1104776F">
      <w:pPr>
        <w:spacing w:before="128" w:line="313" w:lineRule="auto"/>
        <w:ind w:left="11" w:right="78" w:firstLine="48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23</w:t>
      </w:r>
      <w:r>
        <w:rPr>
          <w:rFonts w:ascii="宋体" w:hAnsi="宋体" w:eastAsia="宋体" w:cs="宋体"/>
          <w:spacing w:val="-3"/>
          <w:sz w:val="24"/>
          <w:szCs w:val="24"/>
        </w:rPr>
        <w:t>）《关于发布</w:t>
      </w:r>
      <w:r>
        <w:rPr>
          <w:rFonts w:ascii="Times New Roman" w:hAnsi="Times New Roman" w:eastAsia="Times New Roman" w:cs="Times New Roman"/>
          <w:spacing w:val="-3"/>
          <w:sz w:val="24"/>
          <w:szCs w:val="24"/>
        </w:rPr>
        <w:t>&lt;</w:t>
      </w:r>
      <w:r>
        <w:rPr>
          <w:rFonts w:ascii="宋体" w:hAnsi="宋体" w:eastAsia="宋体" w:cs="宋体"/>
          <w:spacing w:val="-3"/>
          <w:sz w:val="24"/>
          <w:szCs w:val="24"/>
        </w:rPr>
        <w:t>畜禽养殖业污染防治技术政策</w:t>
      </w:r>
      <w:r>
        <w:rPr>
          <w:rFonts w:ascii="Times New Roman" w:hAnsi="Times New Roman" w:eastAsia="Times New Roman" w:cs="Times New Roman"/>
          <w:spacing w:val="-3"/>
          <w:sz w:val="24"/>
          <w:szCs w:val="24"/>
        </w:rPr>
        <w:t>&gt;</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的通知》（环发〔</w:t>
      </w:r>
      <w:r>
        <w:rPr>
          <w:rFonts w:ascii="Times New Roman" w:hAnsi="Times New Roman" w:eastAsia="Times New Roman" w:cs="Times New Roman"/>
          <w:spacing w:val="-3"/>
          <w:sz w:val="24"/>
          <w:szCs w:val="24"/>
        </w:rPr>
        <w:t>2010</w:t>
      </w:r>
      <w:r>
        <w:rPr>
          <w:rFonts w:ascii="宋体" w:hAnsi="宋体" w:eastAsia="宋体" w:cs="宋体"/>
          <w:spacing w:val="-3"/>
          <w:sz w:val="24"/>
          <w:szCs w:val="24"/>
        </w:rPr>
        <w:t>〕</w:t>
      </w:r>
      <w:r>
        <w:rPr>
          <w:rFonts w:ascii="Times New Roman" w:hAnsi="Times New Roman" w:eastAsia="Times New Roman" w:cs="Times New Roman"/>
          <w:spacing w:val="-3"/>
          <w:sz w:val="24"/>
          <w:szCs w:val="24"/>
        </w:rPr>
        <w:t>151</w:t>
      </w:r>
      <w:r>
        <w:rPr>
          <w:rFonts w:ascii="Times New Roman" w:hAnsi="Times New Roman" w:eastAsia="Times New Roman" w:cs="Times New Roman"/>
          <w:sz w:val="24"/>
          <w:szCs w:val="24"/>
        </w:rPr>
        <w:t xml:space="preserve"> </w:t>
      </w:r>
      <w:r>
        <w:rPr>
          <w:rFonts w:ascii="宋体" w:hAnsi="宋体" w:eastAsia="宋体" w:cs="宋体"/>
          <w:spacing w:val="-16"/>
          <w:sz w:val="24"/>
          <w:szCs w:val="24"/>
        </w:rPr>
        <w:t>号</w:t>
      </w:r>
      <w:r>
        <w:rPr>
          <w:rFonts w:ascii="宋体" w:hAnsi="宋体" w:eastAsia="宋体" w:cs="宋体"/>
          <w:sz w:val="24"/>
          <w:szCs w:val="24"/>
        </w:rPr>
        <w:t>）；</w:t>
      </w:r>
    </w:p>
    <w:p w14:paraId="0469E9B5">
      <w:pPr>
        <w:spacing w:before="165" w:line="313" w:lineRule="auto"/>
        <w:ind w:left="11" w:right="78"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24</w:t>
      </w:r>
      <w:r>
        <w:rPr>
          <w:rFonts w:ascii="宋体" w:hAnsi="宋体" w:eastAsia="宋体" w:cs="宋体"/>
          <w:spacing w:val="-1"/>
          <w:sz w:val="24"/>
          <w:szCs w:val="24"/>
        </w:rPr>
        <w:t>）《农业部关于加快推进畜禽标准化规模养殖的意</w:t>
      </w:r>
      <w:r>
        <w:rPr>
          <w:rFonts w:ascii="宋体" w:hAnsi="宋体" w:eastAsia="宋体" w:cs="宋体"/>
          <w:spacing w:val="-2"/>
          <w:sz w:val="24"/>
          <w:szCs w:val="24"/>
        </w:rPr>
        <w:t>见》（农牧发〔</w:t>
      </w:r>
      <w:r>
        <w:rPr>
          <w:rFonts w:ascii="Times New Roman" w:hAnsi="Times New Roman" w:eastAsia="Times New Roman" w:cs="Times New Roman"/>
          <w:spacing w:val="-2"/>
          <w:sz w:val="24"/>
          <w:szCs w:val="24"/>
        </w:rPr>
        <w:t>2010</w:t>
      </w: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Times New Roman" w:hAnsi="Times New Roman" w:eastAsia="Times New Roman" w:cs="Times New Roman"/>
          <w:sz w:val="24"/>
          <w:szCs w:val="24"/>
        </w:rPr>
        <w:t xml:space="preserve"> </w:t>
      </w:r>
      <w:r>
        <w:rPr>
          <w:rFonts w:ascii="宋体" w:hAnsi="宋体" w:eastAsia="宋体" w:cs="宋体"/>
          <w:spacing w:val="-16"/>
          <w:sz w:val="24"/>
          <w:szCs w:val="24"/>
        </w:rPr>
        <w:t>号</w:t>
      </w:r>
      <w:r>
        <w:rPr>
          <w:rFonts w:ascii="宋体" w:hAnsi="宋体" w:eastAsia="宋体" w:cs="宋体"/>
          <w:sz w:val="24"/>
          <w:szCs w:val="24"/>
        </w:rPr>
        <w:t>）；</w:t>
      </w:r>
    </w:p>
    <w:p w14:paraId="3312A6EB">
      <w:pPr>
        <w:spacing w:before="163" w:line="328" w:lineRule="auto"/>
        <w:ind w:left="1" w:right="130" w:firstLine="49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25</w:t>
      </w:r>
      <w:r>
        <w:rPr>
          <w:rFonts w:ascii="宋体" w:hAnsi="宋体" w:eastAsia="宋体" w:cs="宋体"/>
          <w:sz w:val="24"/>
          <w:szCs w:val="24"/>
        </w:rPr>
        <w:t>）《关于促进规模化畜禽养殖有关用地政策的通知》（国土资发〔</w:t>
      </w:r>
      <w:r>
        <w:rPr>
          <w:rFonts w:ascii="Times New Roman" w:hAnsi="Times New Roman" w:eastAsia="Times New Roman" w:cs="Times New Roman"/>
          <w:sz w:val="24"/>
          <w:szCs w:val="24"/>
        </w:rPr>
        <w:t>2007</w:t>
      </w:r>
      <w:r>
        <w:rPr>
          <w:rFonts w:ascii="宋体" w:hAnsi="宋体" w:eastAsia="宋体" w:cs="宋体"/>
          <w:sz w:val="24"/>
          <w:szCs w:val="24"/>
        </w:rPr>
        <w:t>〕</w:t>
      </w:r>
      <w:r>
        <w:rPr>
          <w:rFonts w:ascii="宋体" w:hAnsi="宋体" w:eastAsia="宋体" w:cs="宋体"/>
          <w:spacing w:val="17"/>
          <w:sz w:val="24"/>
          <w:szCs w:val="24"/>
        </w:rPr>
        <w:t xml:space="preserve"> </w:t>
      </w:r>
      <w:r>
        <w:rPr>
          <w:rFonts w:ascii="Times New Roman" w:hAnsi="Times New Roman" w:eastAsia="Times New Roman" w:cs="Times New Roman"/>
          <w:spacing w:val="-6"/>
          <w:sz w:val="24"/>
          <w:szCs w:val="24"/>
        </w:rPr>
        <w:t>220</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号</w:t>
      </w:r>
      <w:r>
        <w:rPr>
          <w:rFonts w:ascii="宋体" w:hAnsi="宋体" w:eastAsia="宋体" w:cs="宋体"/>
          <w:spacing w:val="1"/>
          <w:sz w:val="24"/>
          <w:szCs w:val="24"/>
        </w:rPr>
        <w:t>）；</w:t>
      </w:r>
    </w:p>
    <w:p w14:paraId="4E48AF90">
      <w:pPr>
        <w:spacing w:before="127" w:line="360" w:lineRule="exact"/>
        <w:ind w:left="496"/>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26</w:t>
      </w:r>
      <w:r>
        <w:rPr>
          <w:rFonts w:ascii="宋体" w:hAnsi="宋体" w:eastAsia="宋体" w:cs="宋体"/>
          <w:spacing w:val="-3"/>
          <w:position w:val="2"/>
          <w:sz w:val="24"/>
          <w:szCs w:val="24"/>
        </w:rPr>
        <w:t>）《畜禽养殖禁养区划定技术指南》（</w:t>
      </w:r>
      <w:r>
        <w:rPr>
          <w:rFonts w:ascii="Times New Roman" w:hAnsi="Times New Roman" w:eastAsia="Times New Roman" w:cs="Times New Roman"/>
          <w:spacing w:val="-3"/>
          <w:position w:val="2"/>
          <w:sz w:val="24"/>
          <w:szCs w:val="24"/>
        </w:rPr>
        <w:t xml:space="preserve">2016 </w:t>
      </w:r>
      <w:r>
        <w:rPr>
          <w:rFonts w:ascii="宋体" w:hAnsi="宋体" w:eastAsia="宋体" w:cs="宋体"/>
          <w:spacing w:val="-3"/>
          <w:position w:val="2"/>
          <w:sz w:val="24"/>
          <w:szCs w:val="24"/>
        </w:rPr>
        <w:t>年</w:t>
      </w:r>
      <w:r>
        <w:rPr>
          <w:rFonts w:ascii="宋体" w:hAnsi="宋体" w:eastAsia="宋体" w:cs="宋体"/>
          <w:spacing w:val="-32"/>
          <w:position w:val="2"/>
          <w:sz w:val="24"/>
          <w:szCs w:val="24"/>
        </w:rPr>
        <w:t xml:space="preserve"> </w:t>
      </w:r>
      <w:r>
        <w:rPr>
          <w:rFonts w:ascii="Times New Roman" w:hAnsi="Times New Roman" w:eastAsia="Times New Roman" w:cs="Times New Roman"/>
          <w:spacing w:val="-3"/>
          <w:position w:val="2"/>
          <w:sz w:val="24"/>
          <w:szCs w:val="24"/>
        </w:rPr>
        <w:t>10</w:t>
      </w:r>
      <w:r>
        <w:rPr>
          <w:rFonts w:ascii="Times New Roman" w:hAnsi="Times New Roman" w:eastAsia="Times New Roman" w:cs="Times New Roman"/>
          <w:spacing w:val="15"/>
          <w:position w:val="2"/>
          <w:sz w:val="24"/>
          <w:szCs w:val="24"/>
        </w:rPr>
        <w:t xml:space="preserve"> </w:t>
      </w:r>
      <w:r>
        <w:rPr>
          <w:rFonts w:ascii="宋体" w:hAnsi="宋体" w:eastAsia="宋体" w:cs="宋体"/>
          <w:spacing w:val="-3"/>
          <w:position w:val="2"/>
          <w:sz w:val="24"/>
          <w:szCs w:val="24"/>
        </w:rPr>
        <w:t>月</w:t>
      </w:r>
      <w:r>
        <w:rPr>
          <w:rFonts w:ascii="宋体" w:hAnsi="宋体" w:eastAsia="宋体" w:cs="宋体"/>
          <w:spacing w:val="-55"/>
          <w:position w:val="2"/>
          <w:sz w:val="24"/>
          <w:szCs w:val="24"/>
        </w:rPr>
        <w:t xml:space="preserve"> </w:t>
      </w:r>
      <w:r>
        <w:rPr>
          <w:rFonts w:ascii="Times New Roman" w:hAnsi="Times New Roman" w:eastAsia="Times New Roman" w:cs="Times New Roman"/>
          <w:spacing w:val="-3"/>
          <w:position w:val="2"/>
          <w:sz w:val="24"/>
          <w:szCs w:val="24"/>
        </w:rPr>
        <w:t xml:space="preserve">28  </w:t>
      </w:r>
      <w:r>
        <w:rPr>
          <w:rFonts w:ascii="宋体" w:hAnsi="宋体" w:eastAsia="宋体" w:cs="宋体"/>
          <w:spacing w:val="-3"/>
          <w:position w:val="2"/>
          <w:sz w:val="24"/>
          <w:szCs w:val="24"/>
        </w:rPr>
        <w:t>日</w:t>
      </w:r>
      <w:r>
        <w:rPr>
          <w:rFonts w:ascii="宋体" w:hAnsi="宋体" w:eastAsia="宋体" w:cs="宋体"/>
          <w:spacing w:val="-14"/>
          <w:position w:val="2"/>
          <w:sz w:val="24"/>
          <w:szCs w:val="24"/>
        </w:rPr>
        <w:t>）；</w:t>
      </w:r>
    </w:p>
    <w:p w14:paraId="09F2AF6D">
      <w:pPr>
        <w:spacing w:before="127" w:line="360" w:lineRule="exact"/>
        <w:jc w:val="right"/>
        <w:rPr>
          <w:rFonts w:ascii="宋体" w:hAnsi="宋体" w:eastAsia="宋体" w:cs="宋体"/>
          <w:sz w:val="24"/>
          <w:szCs w:val="24"/>
        </w:rPr>
      </w:pPr>
      <w:r>
        <w:rPr>
          <w:rFonts w:ascii="宋体" w:hAnsi="宋体" w:eastAsia="宋体" w:cs="宋体"/>
          <w:spacing w:val="-6"/>
          <w:position w:val="2"/>
          <w:sz w:val="24"/>
          <w:szCs w:val="24"/>
        </w:rPr>
        <w:t>（</w:t>
      </w:r>
      <w:r>
        <w:rPr>
          <w:rFonts w:ascii="Times New Roman" w:hAnsi="Times New Roman" w:eastAsia="Times New Roman" w:cs="Times New Roman"/>
          <w:spacing w:val="-6"/>
          <w:position w:val="2"/>
          <w:sz w:val="24"/>
          <w:szCs w:val="24"/>
        </w:rPr>
        <w:t>27</w:t>
      </w:r>
      <w:r>
        <w:rPr>
          <w:rFonts w:ascii="宋体" w:hAnsi="宋体" w:eastAsia="宋体" w:cs="宋体"/>
          <w:spacing w:val="-6"/>
          <w:position w:val="2"/>
          <w:sz w:val="24"/>
          <w:szCs w:val="24"/>
        </w:rPr>
        <w:t>）《重大动物疫情应急条例》（</w:t>
      </w:r>
      <w:r>
        <w:rPr>
          <w:rFonts w:ascii="Times New Roman" w:hAnsi="Times New Roman" w:eastAsia="Times New Roman" w:cs="Times New Roman"/>
          <w:spacing w:val="-6"/>
          <w:position w:val="2"/>
          <w:sz w:val="24"/>
          <w:szCs w:val="24"/>
        </w:rPr>
        <w:t xml:space="preserve">2015 </w:t>
      </w:r>
      <w:r>
        <w:rPr>
          <w:rFonts w:ascii="宋体" w:hAnsi="宋体" w:eastAsia="宋体" w:cs="宋体"/>
          <w:spacing w:val="-6"/>
          <w:position w:val="2"/>
          <w:sz w:val="24"/>
          <w:szCs w:val="24"/>
        </w:rPr>
        <w:t>年</w:t>
      </w:r>
      <w:r>
        <w:rPr>
          <w:rFonts w:ascii="宋体" w:hAnsi="宋体" w:eastAsia="宋体" w:cs="宋体"/>
          <w:spacing w:val="-31"/>
          <w:position w:val="2"/>
          <w:sz w:val="24"/>
          <w:szCs w:val="24"/>
        </w:rPr>
        <w:t xml:space="preserve"> </w:t>
      </w:r>
      <w:r>
        <w:rPr>
          <w:rFonts w:ascii="Times New Roman" w:hAnsi="Times New Roman" w:eastAsia="Times New Roman" w:cs="Times New Roman"/>
          <w:spacing w:val="-6"/>
          <w:position w:val="2"/>
          <w:sz w:val="24"/>
          <w:szCs w:val="24"/>
        </w:rPr>
        <w:t xml:space="preserve">11 </w:t>
      </w:r>
      <w:r>
        <w:rPr>
          <w:rFonts w:ascii="宋体" w:hAnsi="宋体" w:eastAsia="宋体" w:cs="宋体"/>
          <w:spacing w:val="-6"/>
          <w:position w:val="2"/>
          <w:sz w:val="24"/>
          <w:szCs w:val="24"/>
        </w:rPr>
        <w:t>月</w:t>
      </w:r>
      <w:r>
        <w:rPr>
          <w:rFonts w:ascii="宋体" w:hAnsi="宋体" w:eastAsia="宋体" w:cs="宋体"/>
          <w:spacing w:val="-32"/>
          <w:position w:val="2"/>
          <w:sz w:val="24"/>
          <w:szCs w:val="24"/>
        </w:rPr>
        <w:t xml:space="preserve"> </w:t>
      </w:r>
      <w:r>
        <w:rPr>
          <w:rFonts w:ascii="Times New Roman" w:hAnsi="Times New Roman" w:eastAsia="Times New Roman" w:cs="Times New Roman"/>
          <w:spacing w:val="-6"/>
          <w:position w:val="2"/>
          <w:sz w:val="24"/>
          <w:szCs w:val="24"/>
        </w:rPr>
        <w:t xml:space="preserve">18  </w:t>
      </w:r>
      <w:r>
        <w:rPr>
          <w:rFonts w:ascii="宋体" w:hAnsi="宋体" w:eastAsia="宋体" w:cs="宋体"/>
          <w:spacing w:val="-6"/>
          <w:position w:val="2"/>
          <w:sz w:val="24"/>
          <w:szCs w:val="24"/>
        </w:rPr>
        <w:t>日，国务院令第</w:t>
      </w:r>
      <w:r>
        <w:rPr>
          <w:rFonts w:ascii="宋体" w:hAnsi="宋体" w:eastAsia="宋体" w:cs="宋体"/>
          <w:spacing w:val="-56"/>
          <w:position w:val="2"/>
          <w:sz w:val="24"/>
          <w:szCs w:val="24"/>
        </w:rPr>
        <w:t xml:space="preserve"> </w:t>
      </w:r>
      <w:r>
        <w:rPr>
          <w:rFonts w:ascii="Times New Roman" w:hAnsi="Times New Roman" w:eastAsia="Times New Roman" w:cs="Times New Roman"/>
          <w:spacing w:val="-6"/>
          <w:position w:val="2"/>
          <w:sz w:val="24"/>
          <w:szCs w:val="24"/>
        </w:rPr>
        <w:t>450</w:t>
      </w:r>
      <w:r>
        <w:rPr>
          <w:rFonts w:ascii="Times New Roman" w:hAnsi="Times New Roman" w:eastAsia="Times New Roman" w:cs="Times New Roman"/>
          <w:spacing w:val="15"/>
          <w:w w:val="101"/>
          <w:position w:val="2"/>
          <w:sz w:val="24"/>
          <w:szCs w:val="24"/>
        </w:rPr>
        <w:t xml:space="preserve"> </w:t>
      </w:r>
      <w:r>
        <w:rPr>
          <w:rFonts w:ascii="宋体" w:hAnsi="宋体" w:eastAsia="宋体" w:cs="宋体"/>
          <w:spacing w:val="-6"/>
          <w:position w:val="2"/>
          <w:sz w:val="24"/>
          <w:szCs w:val="24"/>
        </w:rPr>
        <w:t>号</w:t>
      </w:r>
      <w:r>
        <w:rPr>
          <w:rFonts w:ascii="宋体" w:hAnsi="宋体" w:eastAsia="宋体" w:cs="宋体"/>
          <w:spacing w:val="-29"/>
          <w:position w:val="2"/>
          <w:sz w:val="24"/>
          <w:szCs w:val="24"/>
        </w:rPr>
        <w:t>）；</w:t>
      </w:r>
    </w:p>
    <w:p w14:paraId="05002EB7">
      <w:pPr>
        <w:spacing w:before="130" w:line="359" w:lineRule="exact"/>
        <w:jc w:val="right"/>
        <w:rPr>
          <w:rFonts w:ascii="宋体" w:hAnsi="宋体" w:eastAsia="宋体" w:cs="宋体"/>
          <w:sz w:val="24"/>
          <w:szCs w:val="24"/>
        </w:rPr>
      </w:pPr>
      <w:r>
        <w:rPr>
          <w:rFonts w:ascii="宋体" w:hAnsi="宋体" w:eastAsia="宋体" w:cs="宋体"/>
          <w:spacing w:val="-13"/>
          <w:position w:val="2"/>
          <w:sz w:val="24"/>
          <w:szCs w:val="24"/>
        </w:rPr>
        <w:t>（</w:t>
      </w:r>
      <w:r>
        <w:rPr>
          <w:rFonts w:ascii="Times New Roman" w:hAnsi="Times New Roman" w:eastAsia="Times New Roman" w:cs="Times New Roman"/>
          <w:spacing w:val="-13"/>
          <w:position w:val="2"/>
          <w:sz w:val="24"/>
          <w:szCs w:val="24"/>
        </w:rPr>
        <w:t>28</w:t>
      </w:r>
      <w:r>
        <w:rPr>
          <w:rFonts w:ascii="宋体" w:hAnsi="宋体" w:eastAsia="宋体" w:cs="宋体"/>
          <w:spacing w:val="-13"/>
          <w:position w:val="2"/>
          <w:sz w:val="24"/>
          <w:szCs w:val="24"/>
        </w:rPr>
        <w:t>）《饲料和饲料添加剂管理条例》（国务院令第</w:t>
      </w:r>
      <w:r>
        <w:rPr>
          <w:rFonts w:ascii="宋体" w:hAnsi="宋体" w:eastAsia="宋体" w:cs="宋体"/>
          <w:spacing w:val="-49"/>
          <w:position w:val="2"/>
          <w:sz w:val="24"/>
          <w:szCs w:val="24"/>
        </w:rPr>
        <w:t xml:space="preserve"> </w:t>
      </w:r>
      <w:r>
        <w:rPr>
          <w:rFonts w:ascii="Times New Roman" w:hAnsi="Times New Roman" w:eastAsia="Times New Roman" w:cs="Times New Roman"/>
          <w:spacing w:val="-13"/>
          <w:position w:val="2"/>
          <w:sz w:val="24"/>
          <w:szCs w:val="24"/>
        </w:rPr>
        <w:t>64</w:t>
      </w:r>
      <w:r>
        <w:rPr>
          <w:rFonts w:ascii="Times New Roman" w:hAnsi="Times New Roman" w:eastAsia="Times New Roman" w:cs="Times New Roman"/>
          <w:spacing w:val="-14"/>
          <w:position w:val="2"/>
          <w:sz w:val="24"/>
          <w:szCs w:val="24"/>
        </w:rPr>
        <w:t>5</w:t>
      </w:r>
      <w:r>
        <w:rPr>
          <w:rFonts w:ascii="Times New Roman" w:hAnsi="Times New Roman" w:eastAsia="Times New Roman" w:cs="Times New Roman"/>
          <w:spacing w:val="15"/>
          <w:position w:val="2"/>
          <w:sz w:val="24"/>
          <w:szCs w:val="24"/>
        </w:rPr>
        <w:t xml:space="preserve"> </w:t>
      </w:r>
      <w:r>
        <w:rPr>
          <w:rFonts w:ascii="宋体" w:hAnsi="宋体" w:eastAsia="宋体" w:cs="宋体"/>
          <w:spacing w:val="-14"/>
          <w:position w:val="2"/>
          <w:sz w:val="24"/>
          <w:szCs w:val="24"/>
        </w:rPr>
        <w:t>号，</w:t>
      </w:r>
      <w:r>
        <w:rPr>
          <w:rFonts w:ascii="Times New Roman" w:hAnsi="Times New Roman" w:eastAsia="Times New Roman" w:cs="Times New Roman"/>
          <w:spacing w:val="-14"/>
          <w:position w:val="2"/>
          <w:sz w:val="24"/>
          <w:szCs w:val="24"/>
        </w:rPr>
        <w:t>2012</w:t>
      </w:r>
      <w:r>
        <w:rPr>
          <w:rFonts w:ascii="Times New Roman" w:hAnsi="Times New Roman" w:eastAsia="Times New Roman" w:cs="Times New Roman"/>
          <w:spacing w:val="10"/>
          <w:position w:val="2"/>
          <w:sz w:val="24"/>
          <w:szCs w:val="24"/>
        </w:rPr>
        <w:t xml:space="preserve"> </w:t>
      </w:r>
      <w:r>
        <w:rPr>
          <w:rFonts w:ascii="宋体" w:hAnsi="宋体" w:eastAsia="宋体" w:cs="宋体"/>
          <w:spacing w:val="-14"/>
          <w:position w:val="2"/>
          <w:sz w:val="24"/>
          <w:szCs w:val="24"/>
        </w:rPr>
        <w:t>年</w:t>
      </w:r>
      <w:r>
        <w:rPr>
          <w:rFonts w:ascii="宋体" w:hAnsi="宋体" w:eastAsia="宋体" w:cs="宋体"/>
          <w:spacing w:val="-48"/>
          <w:position w:val="2"/>
          <w:sz w:val="24"/>
          <w:szCs w:val="24"/>
        </w:rPr>
        <w:t xml:space="preserve"> </w:t>
      </w:r>
      <w:r>
        <w:rPr>
          <w:rFonts w:ascii="Times New Roman" w:hAnsi="Times New Roman" w:eastAsia="Times New Roman" w:cs="Times New Roman"/>
          <w:spacing w:val="-14"/>
          <w:position w:val="2"/>
          <w:sz w:val="24"/>
          <w:szCs w:val="24"/>
        </w:rPr>
        <w:t>5</w:t>
      </w:r>
      <w:r>
        <w:rPr>
          <w:rFonts w:ascii="Times New Roman" w:hAnsi="Times New Roman" w:eastAsia="Times New Roman" w:cs="Times New Roman"/>
          <w:spacing w:val="15"/>
          <w:position w:val="2"/>
          <w:sz w:val="24"/>
          <w:szCs w:val="24"/>
        </w:rPr>
        <w:t xml:space="preserve"> </w:t>
      </w:r>
      <w:r>
        <w:rPr>
          <w:rFonts w:ascii="宋体" w:hAnsi="宋体" w:eastAsia="宋体" w:cs="宋体"/>
          <w:spacing w:val="-14"/>
          <w:position w:val="2"/>
          <w:sz w:val="24"/>
          <w:szCs w:val="24"/>
        </w:rPr>
        <w:t>月</w:t>
      </w:r>
      <w:r>
        <w:rPr>
          <w:rFonts w:ascii="宋体" w:hAnsi="宋体" w:eastAsia="宋体" w:cs="宋体"/>
          <w:spacing w:val="-32"/>
          <w:position w:val="2"/>
          <w:sz w:val="24"/>
          <w:szCs w:val="24"/>
        </w:rPr>
        <w:t xml:space="preserve"> </w:t>
      </w:r>
      <w:r>
        <w:rPr>
          <w:rFonts w:ascii="Times New Roman" w:hAnsi="Times New Roman" w:eastAsia="Times New Roman" w:cs="Times New Roman"/>
          <w:spacing w:val="-14"/>
          <w:position w:val="2"/>
          <w:sz w:val="24"/>
          <w:szCs w:val="24"/>
        </w:rPr>
        <w:t>1</w:t>
      </w:r>
      <w:r>
        <w:rPr>
          <w:rFonts w:ascii="Times New Roman" w:hAnsi="Times New Roman" w:eastAsia="Times New Roman" w:cs="Times New Roman"/>
          <w:spacing w:val="51"/>
          <w:position w:val="2"/>
          <w:sz w:val="24"/>
          <w:szCs w:val="24"/>
        </w:rPr>
        <w:t xml:space="preserve"> </w:t>
      </w:r>
      <w:r>
        <w:rPr>
          <w:rFonts w:ascii="宋体" w:hAnsi="宋体" w:eastAsia="宋体" w:cs="宋体"/>
          <w:spacing w:val="-14"/>
          <w:position w:val="2"/>
          <w:sz w:val="24"/>
          <w:szCs w:val="24"/>
        </w:rPr>
        <w:t>日）。</w:t>
      </w:r>
    </w:p>
    <w:p w14:paraId="1769C414">
      <w:pPr>
        <w:spacing w:before="166" w:line="220" w:lineRule="auto"/>
        <w:ind w:left="1"/>
        <w:outlineLvl w:val="2"/>
        <w:rPr>
          <w:rFonts w:ascii="宋体" w:hAnsi="宋体" w:eastAsia="宋体" w:cs="宋体"/>
          <w:sz w:val="24"/>
          <w:szCs w:val="24"/>
        </w:rPr>
      </w:pPr>
      <w:r>
        <w:rPr>
          <w:rFonts w:ascii="Times New Roman" w:hAnsi="Times New Roman" w:eastAsia="Times New Roman" w:cs="Times New Roman"/>
          <w:b/>
          <w:bCs/>
          <w:spacing w:val="-2"/>
          <w:sz w:val="24"/>
          <w:szCs w:val="24"/>
        </w:rPr>
        <w:t>2.1.2</w:t>
      </w:r>
      <w:r>
        <w:rPr>
          <w:rFonts w:ascii="宋体" w:hAnsi="宋体" w:eastAsia="宋体" w:cs="宋体"/>
          <w:b/>
          <w:bCs/>
          <w:spacing w:val="-2"/>
          <w:sz w:val="24"/>
          <w:szCs w:val="24"/>
        </w:rPr>
        <w:t>地方性法规及规范性文件</w:t>
      </w:r>
    </w:p>
    <w:p w14:paraId="5B443755">
      <w:pPr>
        <w:spacing w:before="167" w:line="327" w:lineRule="auto"/>
        <w:ind w:left="6" w:right="81"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）《广东省建设项目环境保护管理规范（试行）》（广东省环境保护局粤环</w:t>
      </w:r>
      <w:r>
        <w:rPr>
          <w:rFonts w:ascii="宋体" w:hAnsi="宋体" w:eastAsia="宋体" w:cs="宋体"/>
          <w:spacing w:val="16"/>
          <w:sz w:val="24"/>
          <w:szCs w:val="24"/>
        </w:rPr>
        <w:t xml:space="preserve"> </w:t>
      </w:r>
      <w:r>
        <w:rPr>
          <w:rFonts w:ascii="宋体" w:hAnsi="宋体" w:eastAsia="宋体" w:cs="宋体"/>
          <w:spacing w:val="-2"/>
          <w:sz w:val="24"/>
          <w:szCs w:val="24"/>
        </w:rPr>
        <w:t>监〔</w:t>
      </w:r>
      <w:r>
        <w:rPr>
          <w:rFonts w:ascii="Times New Roman" w:hAnsi="Times New Roman" w:eastAsia="Times New Roman" w:cs="Times New Roman"/>
          <w:spacing w:val="-2"/>
          <w:sz w:val="24"/>
          <w:szCs w:val="24"/>
        </w:rPr>
        <w:t>2000</w:t>
      </w: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号</w:t>
      </w:r>
      <w:r>
        <w:rPr>
          <w:rFonts w:ascii="宋体" w:hAnsi="宋体" w:eastAsia="宋体" w:cs="宋体"/>
          <w:spacing w:val="2"/>
          <w:sz w:val="24"/>
          <w:szCs w:val="24"/>
        </w:rPr>
        <w:t>）；</w:t>
      </w:r>
    </w:p>
    <w:p w14:paraId="43F3596B">
      <w:pPr>
        <w:spacing w:before="128" w:line="360" w:lineRule="exact"/>
        <w:ind w:left="496"/>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）《广东省环境保护条例》（</w:t>
      </w:r>
      <w:r>
        <w:rPr>
          <w:rFonts w:ascii="Times New Roman" w:hAnsi="Times New Roman" w:eastAsia="Times New Roman" w:cs="Times New Roman"/>
          <w:spacing w:val="-2"/>
          <w:position w:val="2"/>
          <w:sz w:val="24"/>
          <w:szCs w:val="24"/>
        </w:rPr>
        <w:t xml:space="preserve">2018 </w:t>
      </w:r>
      <w:r>
        <w:rPr>
          <w:rFonts w:ascii="宋体" w:hAnsi="宋体" w:eastAsia="宋体" w:cs="宋体"/>
          <w:spacing w:val="-2"/>
          <w:position w:val="2"/>
          <w:sz w:val="24"/>
          <w:szCs w:val="24"/>
        </w:rPr>
        <w:t>年</w:t>
      </w:r>
      <w:r>
        <w:rPr>
          <w:rFonts w:ascii="宋体" w:hAnsi="宋体" w:eastAsia="宋体" w:cs="宋体"/>
          <w:spacing w:val="-32"/>
          <w:position w:val="2"/>
          <w:sz w:val="24"/>
          <w:szCs w:val="24"/>
        </w:rPr>
        <w:t xml:space="preserve"> </w:t>
      </w:r>
      <w:r>
        <w:rPr>
          <w:rFonts w:ascii="Times New Roman" w:hAnsi="Times New Roman" w:eastAsia="Times New Roman" w:cs="Times New Roman"/>
          <w:spacing w:val="-3"/>
          <w:position w:val="2"/>
          <w:sz w:val="24"/>
          <w:szCs w:val="24"/>
        </w:rPr>
        <w:t xml:space="preserve">11 </w:t>
      </w:r>
      <w:r>
        <w:rPr>
          <w:rFonts w:ascii="宋体" w:hAnsi="宋体" w:eastAsia="宋体" w:cs="宋体"/>
          <w:spacing w:val="-3"/>
          <w:position w:val="2"/>
          <w:sz w:val="24"/>
          <w:szCs w:val="24"/>
        </w:rPr>
        <w:t>月修正</w:t>
      </w:r>
      <w:r>
        <w:rPr>
          <w:rFonts w:ascii="宋体" w:hAnsi="宋体" w:eastAsia="宋体" w:cs="宋体"/>
          <w:position w:val="2"/>
          <w:sz w:val="24"/>
          <w:szCs w:val="24"/>
        </w:rPr>
        <w:t>）；</w:t>
      </w:r>
    </w:p>
    <w:p w14:paraId="4E9110E5">
      <w:pPr>
        <w:spacing w:before="128" w:line="328" w:lineRule="auto"/>
        <w:ind w:left="5" w:right="82"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）《广东省人民政府关于进一步加强环</w:t>
      </w:r>
      <w:r>
        <w:rPr>
          <w:rFonts w:ascii="宋体" w:hAnsi="宋体" w:eastAsia="宋体" w:cs="宋体"/>
          <w:spacing w:val="-2"/>
          <w:sz w:val="24"/>
          <w:szCs w:val="24"/>
        </w:rPr>
        <w:t>境保护工作的决定》（粤府〔</w:t>
      </w:r>
      <w:r>
        <w:rPr>
          <w:rFonts w:ascii="Times New Roman" w:hAnsi="Times New Roman" w:eastAsia="Times New Roman" w:cs="Times New Roman"/>
          <w:spacing w:val="-2"/>
          <w:sz w:val="24"/>
          <w:szCs w:val="24"/>
        </w:rPr>
        <w:t>2002</w:t>
      </w:r>
      <w:r>
        <w:rPr>
          <w:rFonts w:ascii="宋体" w:hAnsi="宋体" w:eastAsia="宋体" w:cs="宋体"/>
          <w:spacing w:val="-2"/>
          <w:sz w:val="24"/>
          <w:szCs w:val="24"/>
        </w:rPr>
        <w:t>〕</w:t>
      </w:r>
      <w:r>
        <w:rPr>
          <w:rFonts w:ascii="宋体" w:hAnsi="宋体" w:eastAsia="宋体" w:cs="宋体"/>
          <w:sz w:val="24"/>
          <w:szCs w:val="24"/>
        </w:rPr>
        <w:t xml:space="preserve"> </w:t>
      </w:r>
      <w:r>
        <w:rPr>
          <w:rFonts w:ascii="Times New Roman" w:hAnsi="Times New Roman" w:eastAsia="Times New Roman" w:cs="Times New Roman"/>
          <w:spacing w:val="-8"/>
          <w:sz w:val="24"/>
          <w:szCs w:val="24"/>
        </w:rPr>
        <w:t>71</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号</w:t>
      </w:r>
      <w:r>
        <w:rPr>
          <w:rFonts w:ascii="宋体" w:hAnsi="宋体" w:eastAsia="宋体" w:cs="宋体"/>
          <w:sz w:val="24"/>
          <w:szCs w:val="24"/>
        </w:rPr>
        <w:t>）；</w:t>
      </w:r>
    </w:p>
    <w:p w14:paraId="66CA9568">
      <w:pPr>
        <w:spacing w:before="125" w:line="360" w:lineRule="exact"/>
        <w:ind w:left="496"/>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4</w:t>
      </w:r>
      <w:r>
        <w:rPr>
          <w:rFonts w:ascii="宋体" w:hAnsi="宋体" w:eastAsia="宋体" w:cs="宋体"/>
          <w:spacing w:val="-1"/>
          <w:position w:val="2"/>
          <w:sz w:val="24"/>
          <w:szCs w:val="24"/>
        </w:rPr>
        <w:t>）《广东省重点开发区产业发展指导目录》（</w:t>
      </w:r>
      <w:r>
        <w:rPr>
          <w:rFonts w:ascii="Times New Roman" w:hAnsi="Times New Roman" w:eastAsia="Times New Roman" w:cs="Times New Roman"/>
          <w:spacing w:val="-1"/>
          <w:position w:val="2"/>
          <w:sz w:val="24"/>
          <w:szCs w:val="24"/>
        </w:rPr>
        <w:t xml:space="preserve">2014 </w:t>
      </w:r>
      <w:r>
        <w:rPr>
          <w:rFonts w:ascii="宋体" w:hAnsi="宋体" w:eastAsia="宋体" w:cs="宋体"/>
          <w:spacing w:val="-1"/>
          <w:position w:val="2"/>
          <w:sz w:val="24"/>
          <w:szCs w:val="24"/>
        </w:rPr>
        <w:t>年本</w:t>
      </w:r>
      <w:r>
        <w:rPr>
          <w:rFonts w:ascii="宋体" w:hAnsi="宋体" w:eastAsia="宋体" w:cs="宋体"/>
          <w:spacing w:val="3"/>
          <w:position w:val="2"/>
          <w:sz w:val="24"/>
          <w:szCs w:val="24"/>
        </w:rPr>
        <w:t>）；</w:t>
      </w:r>
    </w:p>
    <w:p w14:paraId="4D21CB69">
      <w:pPr>
        <w:spacing w:before="130" w:line="360" w:lineRule="exact"/>
        <w:ind w:left="496"/>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5</w:t>
      </w:r>
      <w:r>
        <w:rPr>
          <w:rFonts w:ascii="宋体" w:hAnsi="宋体" w:eastAsia="宋体" w:cs="宋体"/>
          <w:spacing w:val="-1"/>
          <w:position w:val="2"/>
          <w:sz w:val="24"/>
          <w:szCs w:val="24"/>
        </w:rPr>
        <w:t>）《广东省地表水环境功能区划》（粤环〔</w:t>
      </w:r>
      <w:r>
        <w:rPr>
          <w:rFonts w:ascii="Times New Roman" w:hAnsi="Times New Roman" w:eastAsia="Times New Roman" w:cs="Times New Roman"/>
          <w:spacing w:val="-1"/>
          <w:position w:val="2"/>
          <w:sz w:val="24"/>
          <w:szCs w:val="24"/>
        </w:rPr>
        <w:t>2011</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14</w:t>
      </w:r>
      <w:r>
        <w:rPr>
          <w:rFonts w:ascii="Times New Roman" w:hAnsi="Times New Roman" w:eastAsia="Times New Roman" w:cs="Times New Roman"/>
          <w:spacing w:val="15"/>
          <w:position w:val="2"/>
          <w:sz w:val="24"/>
          <w:szCs w:val="24"/>
        </w:rPr>
        <w:t xml:space="preserve"> </w:t>
      </w:r>
      <w:r>
        <w:rPr>
          <w:rFonts w:ascii="宋体" w:hAnsi="宋体" w:eastAsia="宋体" w:cs="宋体"/>
          <w:spacing w:val="-1"/>
          <w:position w:val="2"/>
          <w:sz w:val="24"/>
          <w:szCs w:val="24"/>
        </w:rPr>
        <w:t>号</w:t>
      </w:r>
      <w:r>
        <w:rPr>
          <w:rFonts w:ascii="宋体" w:hAnsi="宋体" w:eastAsia="宋体" w:cs="宋体"/>
          <w:position w:val="2"/>
          <w:sz w:val="24"/>
          <w:szCs w:val="24"/>
        </w:rPr>
        <w:t>）；</w:t>
      </w:r>
    </w:p>
    <w:p w14:paraId="4A95AB0F">
      <w:pPr>
        <w:spacing w:before="130" w:line="360" w:lineRule="exact"/>
        <w:ind w:left="496"/>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6</w:t>
      </w:r>
      <w:r>
        <w:rPr>
          <w:rFonts w:ascii="宋体" w:hAnsi="宋体" w:eastAsia="宋体" w:cs="宋体"/>
          <w:spacing w:val="-2"/>
          <w:position w:val="2"/>
          <w:sz w:val="24"/>
          <w:szCs w:val="24"/>
        </w:rPr>
        <w:t>）《广东省固体废物污染环境防治条例》（</w:t>
      </w:r>
      <w:r>
        <w:rPr>
          <w:rFonts w:ascii="Times New Roman" w:hAnsi="Times New Roman" w:eastAsia="Times New Roman" w:cs="Times New Roman"/>
          <w:spacing w:val="-2"/>
          <w:position w:val="2"/>
          <w:sz w:val="24"/>
          <w:szCs w:val="24"/>
        </w:rPr>
        <w:t xml:space="preserve">2019 </w:t>
      </w:r>
      <w:r>
        <w:rPr>
          <w:rFonts w:ascii="宋体" w:hAnsi="宋体" w:eastAsia="宋体" w:cs="宋体"/>
          <w:spacing w:val="-2"/>
          <w:position w:val="2"/>
          <w:sz w:val="24"/>
          <w:szCs w:val="24"/>
        </w:rPr>
        <w:t>年</w:t>
      </w:r>
      <w:r>
        <w:rPr>
          <w:rFonts w:ascii="宋体" w:hAnsi="宋体" w:eastAsia="宋体" w:cs="宋体"/>
          <w:spacing w:val="-49"/>
          <w:position w:val="2"/>
          <w:sz w:val="24"/>
          <w:szCs w:val="24"/>
        </w:rPr>
        <w:t xml:space="preserve"> </w:t>
      </w:r>
      <w:r>
        <w:rPr>
          <w:rFonts w:ascii="Times New Roman" w:hAnsi="Times New Roman" w:eastAsia="Times New Roman" w:cs="Times New Roman"/>
          <w:spacing w:val="-2"/>
          <w:position w:val="2"/>
          <w:sz w:val="24"/>
          <w:szCs w:val="24"/>
        </w:rPr>
        <w:t>3</w:t>
      </w:r>
      <w:r>
        <w:rPr>
          <w:rFonts w:ascii="Times New Roman" w:hAnsi="Times New Roman" w:eastAsia="Times New Roman" w:cs="Times New Roman"/>
          <w:spacing w:val="15"/>
          <w:position w:val="2"/>
          <w:sz w:val="24"/>
          <w:szCs w:val="24"/>
        </w:rPr>
        <w:t xml:space="preserve"> </w:t>
      </w:r>
      <w:r>
        <w:rPr>
          <w:rFonts w:ascii="宋体" w:hAnsi="宋体" w:eastAsia="宋体" w:cs="宋体"/>
          <w:spacing w:val="-2"/>
          <w:position w:val="2"/>
          <w:sz w:val="24"/>
          <w:szCs w:val="24"/>
        </w:rPr>
        <w:t>月修订</w:t>
      </w:r>
      <w:r>
        <w:rPr>
          <w:rFonts w:ascii="宋体" w:hAnsi="宋体" w:eastAsia="宋体" w:cs="宋体"/>
          <w:spacing w:val="7"/>
          <w:position w:val="2"/>
          <w:sz w:val="24"/>
          <w:szCs w:val="24"/>
        </w:rPr>
        <w:t>）；</w:t>
      </w:r>
    </w:p>
    <w:p w14:paraId="0B4FEFFB">
      <w:pPr>
        <w:spacing w:before="128" w:line="327" w:lineRule="auto"/>
        <w:ind w:right="5" w:firstLine="496"/>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）《关于印发</w:t>
      </w:r>
      <w:r>
        <w:rPr>
          <w:rFonts w:ascii="Times New Roman" w:hAnsi="Times New Roman" w:eastAsia="Times New Roman" w:cs="Times New Roman"/>
          <w:spacing w:val="-7"/>
          <w:sz w:val="24"/>
          <w:szCs w:val="24"/>
        </w:rPr>
        <w:t>&lt;</w:t>
      </w:r>
      <w:r>
        <w:rPr>
          <w:rFonts w:ascii="宋体" w:hAnsi="宋体" w:eastAsia="宋体" w:cs="宋体"/>
          <w:spacing w:val="-7"/>
          <w:sz w:val="24"/>
          <w:szCs w:val="24"/>
        </w:rPr>
        <w:t>广东省污染源排污口规范化设置导则</w:t>
      </w:r>
      <w:r>
        <w:rPr>
          <w:rFonts w:ascii="Times New Roman" w:hAnsi="Times New Roman" w:eastAsia="Times New Roman" w:cs="Times New Roman"/>
          <w:spacing w:val="-7"/>
          <w:sz w:val="24"/>
          <w:szCs w:val="24"/>
        </w:rPr>
        <w:t>&gt;</w:t>
      </w:r>
      <w:r>
        <w:rPr>
          <w:rFonts w:ascii="Times New Roman" w:hAnsi="Times New Roman" w:eastAsia="Times New Roman" w:cs="Times New Roman"/>
          <w:spacing w:val="-32"/>
          <w:sz w:val="24"/>
          <w:szCs w:val="24"/>
        </w:rPr>
        <w:t xml:space="preserve"> </w:t>
      </w:r>
      <w:r>
        <w:rPr>
          <w:rFonts w:ascii="宋体" w:hAnsi="宋体" w:eastAsia="宋体" w:cs="宋体"/>
          <w:spacing w:val="-7"/>
          <w:sz w:val="24"/>
          <w:szCs w:val="24"/>
        </w:rPr>
        <w:t>的通知》（粤环〔</w:t>
      </w:r>
      <w:r>
        <w:rPr>
          <w:rFonts w:ascii="Times New Roman" w:hAnsi="Times New Roman" w:eastAsia="Times New Roman" w:cs="Times New Roman"/>
          <w:spacing w:val="-7"/>
          <w:sz w:val="24"/>
          <w:szCs w:val="24"/>
        </w:rPr>
        <w:t>2</w:t>
      </w:r>
      <w:r>
        <w:rPr>
          <w:rFonts w:ascii="Times New Roman" w:hAnsi="Times New Roman" w:eastAsia="Times New Roman" w:cs="Times New Roman"/>
          <w:spacing w:val="-8"/>
          <w:sz w:val="24"/>
          <w:szCs w:val="24"/>
        </w:rPr>
        <w:t>008</w:t>
      </w:r>
      <w:r>
        <w:rPr>
          <w:rFonts w:ascii="宋体" w:hAnsi="宋体" w:eastAsia="宋体" w:cs="宋体"/>
          <w:spacing w:val="-8"/>
          <w:sz w:val="24"/>
          <w:szCs w:val="24"/>
        </w:rPr>
        <w:t>〕</w:t>
      </w:r>
      <w:r>
        <w:rPr>
          <w:rFonts w:ascii="宋体" w:hAnsi="宋体" w:eastAsia="宋体" w:cs="宋体"/>
          <w:sz w:val="24"/>
          <w:szCs w:val="24"/>
        </w:rPr>
        <w:t xml:space="preserve"> </w:t>
      </w:r>
      <w:r>
        <w:rPr>
          <w:rFonts w:ascii="Times New Roman" w:hAnsi="Times New Roman" w:eastAsia="Times New Roman" w:cs="Times New Roman"/>
          <w:spacing w:val="-7"/>
          <w:sz w:val="24"/>
          <w:szCs w:val="24"/>
        </w:rPr>
        <w:t>42</w:t>
      </w:r>
      <w:r>
        <w:rPr>
          <w:rFonts w:ascii="Times New Roman" w:hAnsi="Times New Roman" w:eastAsia="Times New Roman" w:cs="Times New Roman"/>
          <w:spacing w:val="16"/>
          <w:sz w:val="24"/>
          <w:szCs w:val="24"/>
        </w:rPr>
        <w:t xml:space="preserve"> </w:t>
      </w:r>
      <w:r>
        <w:rPr>
          <w:rFonts w:ascii="宋体" w:hAnsi="宋体" w:eastAsia="宋体" w:cs="宋体"/>
          <w:spacing w:val="-7"/>
          <w:sz w:val="24"/>
          <w:szCs w:val="24"/>
        </w:rPr>
        <w:t>号</w:t>
      </w:r>
      <w:r>
        <w:rPr>
          <w:rFonts w:ascii="宋体" w:hAnsi="宋体" w:eastAsia="宋体" w:cs="宋体"/>
          <w:sz w:val="24"/>
          <w:szCs w:val="24"/>
        </w:rPr>
        <w:t>）；</w:t>
      </w:r>
    </w:p>
    <w:p w14:paraId="229F6967">
      <w:pPr>
        <w:spacing w:before="128" w:line="360" w:lineRule="exact"/>
        <w:ind w:left="496"/>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8</w:t>
      </w:r>
      <w:r>
        <w:rPr>
          <w:rFonts w:ascii="宋体" w:hAnsi="宋体" w:eastAsia="宋体" w:cs="宋体"/>
          <w:spacing w:val="-2"/>
          <w:position w:val="2"/>
          <w:sz w:val="24"/>
          <w:szCs w:val="24"/>
        </w:rPr>
        <w:t>）《广东省饮用水源水质保护条例》（</w:t>
      </w:r>
      <w:r>
        <w:rPr>
          <w:rFonts w:ascii="Times New Roman" w:hAnsi="Times New Roman" w:eastAsia="Times New Roman" w:cs="Times New Roman"/>
          <w:spacing w:val="-2"/>
          <w:position w:val="2"/>
          <w:sz w:val="24"/>
          <w:szCs w:val="24"/>
        </w:rPr>
        <w:t xml:space="preserve">2018 </w:t>
      </w:r>
      <w:r>
        <w:rPr>
          <w:rFonts w:ascii="宋体" w:hAnsi="宋体" w:eastAsia="宋体" w:cs="宋体"/>
          <w:spacing w:val="-2"/>
          <w:position w:val="2"/>
          <w:sz w:val="24"/>
          <w:szCs w:val="24"/>
        </w:rPr>
        <w:t>年</w:t>
      </w:r>
      <w:r>
        <w:rPr>
          <w:rFonts w:ascii="宋体" w:hAnsi="宋体" w:eastAsia="宋体" w:cs="宋体"/>
          <w:spacing w:val="-32"/>
          <w:position w:val="2"/>
          <w:sz w:val="24"/>
          <w:szCs w:val="24"/>
        </w:rPr>
        <w:t xml:space="preserve"> </w:t>
      </w:r>
      <w:r>
        <w:rPr>
          <w:rFonts w:ascii="Times New Roman" w:hAnsi="Times New Roman" w:eastAsia="Times New Roman" w:cs="Times New Roman"/>
          <w:spacing w:val="-2"/>
          <w:position w:val="2"/>
          <w:sz w:val="24"/>
          <w:szCs w:val="24"/>
        </w:rPr>
        <w:t xml:space="preserve">11 </w:t>
      </w:r>
      <w:r>
        <w:rPr>
          <w:rFonts w:ascii="宋体" w:hAnsi="宋体" w:eastAsia="宋体" w:cs="宋体"/>
          <w:spacing w:val="-2"/>
          <w:position w:val="2"/>
          <w:sz w:val="24"/>
          <w:szCs w:val="24"/>
        </w:rPr>
        <w:t>月修正</w:t>
      </w:r>
      <w:r>
        <w:rPr>
          <w:rFonts w:ascii="宋体" w:hAnsi="宋体" w:eastAsia="宋体" w:cs="宋体"/>
          <w:spacing w:val="1"/>
          <w:position w:val="2"/>
          <w:sz w:val="24"/>
          <w:szCs w:val="24"/>
        </w:rPr>
        <w:t>）；</w:t>
      </w:r>
    </w:p>
    <w:p w14:paraId="1E8E40C2">
      <w:pPr>
        <w:spacing w:line="360" w:lineRule="exact"/>
        <w:rPr>
          <w:rFonts w:ascii="宋体" w:hAnsi="宋体" w:eastAsia="宋体" w:cs="宋体"/>
          <w:sz w:val="24"/>
          <w:szCs w:val="24"/>
        </w:rPr>
        <w:sectPr>
          <w:footerReference r:id="rId31" w:type="default"/>
          <w:pgSz w:w="11906" w:h="16839"/>
          <w:pgMar w:top="1431" w:right="1507" w:bottom="1485" w:left="1592" w:header="0" w:footer="1249" w:gutter="0"/>
          <w:cols w:space="720" w:num="1"/>
        </w:sectPr>
      </w:pPr>
    </w:p>
    <w:p w14:paraId="3003C59A">
      <w:pPr>
        <w:spacing w:before="75" w:line="360"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9</w:t>
      </w:r>
      <w:r>
        <w:rPr>
          <w:rFonts w:ascii="宋体" w:hAnsi="宋体" w:eastAsia="宋体" w:cs="宋体"/>
          <w:spacing w:val="-2"/>
          <w:position w:val="2"/>
          <w:sz w:val="24"/>
          <w:szCs w:val="24"/>
        </w:rPr>
        <w:t>）《广东省用水定额》（</w:t>
      </w:r>
      <w:r>
        <w:rPr>
          <w:rFonts w:ascii="Times New Roman" w:hAnsi="Times New Roman" w:eastAsia="Times New Roman" w:cs="Times New Roman"/>
          <w:spacing w:val="-2"/>
          <w:position w:val="2"/>
          <w:sz w:val="24"/>
          <w:szCs w:val="24"/>
        </w:rPr>
        <w:t>DB44/T</w:t>
      </w:r>
      <w:r>
        <w:rPr>
          <w:rFonts w:ascii="Times New Roman" w:hAnsi="Times New Roman" w:eastAsia="Times New Roman" w:cs="Times New Roman"/>
          <w:spacing w:val="-31"/>
          <w:position w:val="2"/>
          <w:sz w:val="24"/>
          <w:szCs w:val="24"/>
        </w:rPr>
        <w:t xml:space="preserve"> </w:t>
      </w:r>
      <w:r>
        <w:rPr>
          <w:rFonts w:ascii="Times New Roman" w:hAnsi="Times New Roman" w:eastAsia="Times New Roman" w:cs="Times New Roman"/>
          <w:spacing w:val="-2"/>
          <w:position w:val="2"/>
          <w:sz w:val="24"/>
          <w:szCs w:val="24"/>
        </w:rPr>
        <w:t>1461-2014</w:t>
      </w:r>
      <w:r>
        <w:rPr>
          <w:rFonts w:ascii="宋体" w:hAnsi="宋体" w:eastAsia="宋体" w:cs="宋体"/>
          <w:spacing w:val="1"/>
          <w:position w:val="2"/>
          <w:sz w:val="24"/>
          <w:szCs w:val="24"/>
        </w:rPr>
        <w:t>）；</w:t>
      </w:r>
    </w:p>
    <w:p w14:paraId="156CB1B2">
      <w:pPr>
        <w:spacing w:before="128" w:line="327" w:lineRule="auto"/>
        <w:ind w:left="22" w:firstLine="472"/>
        <w:rPr>
          <w:rFonts w:ascii="宋体" w:hAnsi="宋体" w:eastAsia="宋体" w:cs="宋体"/>
          <w:sz w:val="24"/>
          <w:szCs w:val="24"/>
        </w:rPr>
      </w:pPr>
      <w:r>
        <w:rPr>
          <w:rFonts w:ascii="宋体" w:hAnsi="宋体" w:eastAsia="宋体" w:cs="宋体"/>
          <w:spacing w:val="-14"/>
          <w:sz w:val="24"/>
          <w:szCs w:val="24"/>
        </w:rPr>
        <w:t>（</w:t>
      </w:r>
      <w:r>
        <w:rPr>
          <w:rFonts w:ascii="Times New Roman" w:hAnsi="Times New Roman" w:eastAsia="Times New Roman" w:cs="Times New Roman"/>
          <w:spacing w:val="-14"/>
          <w:sz w:val="24"/>
          <w:szCs w:val="24"/>
        </w:rPr>
        <w:t>10</w:t>
      </w:r>
      <w:r>
        <w:rPr>
          <w:rFonts w:ascii="宋体" w:hAnsi="宋体" w:eastAsia="宋体" w:cs="宋体"/>
          <w:spacing w:val="-14"/>
          <w:sz w:val="24"/>
          <w:szCs w:val="24"/>
        </w:rPr>
        <w:t>）《印发</w:t>
      </w:r>
      <w:r>
        <w:rPr>
          <w:rFonts w:ascii="Times New Roman" w:hAnsi="Times New Roman" w:eastAsia="Times New Roman" w:cs="Times New Roman"/>
          <w:spacing w:val="-14"/>
          <w:sz w:val="24"/>
          <w:szCs w:val="24"/>
        </w:rPr>
        <w:t>&lt;</w:t>
      </w:r>
      <w:r>
        <w:rPr>
          <w:rFonts w:ascii="宋体" w:hAnsi="宋体" w:eastAsia="宋体" w:cs="宋体"/>
          <w:spacing w:val="-14"/>
          <w:sz w:val="24"/>
          <w:szCs w:val="24"/>
        </w:rPr>
        <w:t>广东省</w:t>
      </w:r>
      <w:r>
        <w:rPr>
          <w:rFonts w:ascii="Times New Roman" w:hAnsi="Times New Roman" w:eastAsia="Times New Roman" w:cs="Times New Roman"/>
          <w:spacing w:val="-14"/>
          <w:sz w:val="24"/>
          <w:szCs w:val="24"/>
        </w:rPr>
        <w:t>“</w:t>
      </w:r>
      <w:r>
        <w:rPr>
          <w:rFonts w:ascii="宋体" w:hAnsi="宋体" w:eastAsia="宋体" w:cs="宋体"/>
          <w:spacing w:val="-14"/>
          <w:sz w:val="24"/>
          <w:szCs w:val="24"/>
        </w:rPr>
        <w:t>十二五</w:t>
      </w:r>
      <w:r>
        <w:rPr>
          <w:rFonts w:ascii="Times New Roman" w:hAnsi="Times New Roman" w:eastAsia="Times New Roman" w:cs="Times New Roman"/>
          <w:spacing w:val="-14"/>
          <w:sz w:val="24"/>
          <w:szCs w:val="24"/>
        </w:rPr>
        <w:t>”</w:t>
      </w:r>
      <w:r>
        <w:rPr>
          <w:rFonts w:ascii="宋体" w:hAnsi="宋体" w:eastAsia="宋体" w:cs="宋体"/>
          <w:spacing w:val="-14"/>
          <w:sz w:val="24"/>
          <w:szCs w:val="24"/>
        </w:rPr>
        <w:t>节能减排</w:t>
      </w:r>
      <w:r>
        <w:rPr>
          <w:rFonts w:ascii="宋体" w:hAnsi="宋体" w:eastAsia="宋体" w:cs="宋体"/>
          <w:spacing w:val="-15"/>
          <w:sz w:val="24"/>
          <w:szCs w:val="24"/>
        </w:rPr>
        <w:t>综合性工作方案</w:t>
      </w:r>
      <w:r>
        <w:rPr>
          <w:rFonts w:ascii="Times New Roman" w:hAnsi="Times New Roman" w:eastAsia="Times New Roman" w:cs="Times New Roman"/>
          <w:spacing w:val="-15"/>
          <w:sz w:val="24"/>
          <w:szCs w:val="24"/>
        </w:rPr>
        <w:t>&gt;</w:t>
      </w:r>
      <w:r>
        <w:rPr>
          <w:rFonts w:ascii="Times New Roman" w:hAnsi="Times New Roman" w:eastAsia="Times New Roman" w:cs="Times New Roman"/>
          <w:spacing w:val="-29"/>
          <w:sz w:val="24"/>
          <w:szCs w:val="24"/>
        </w:rPr>
        <w:t xml:space="preserve"> </w:t>
      </w:r>
      <w:r>
        <w:rPr>
          <w:rFonts w:ascii="宋体" w:hAnsi="宋体" w:eastAsia="宋体" w:cs="宋体"/>
          <w:spacing w:val="-15"/>
          <w:sz w:val="24"/>
          <w:szCs w:val="24"/>
        </w:rPr>
        <w:t>的通知》（粤府办〔</w:t>
      </w:r>
      <w:r>
        <w:rPr>
          <w:rFonts w:ascii="Times New Roman" w:hAnsi="Times New Roman" w:eastAsia="Times New Roman" w:cs="Times New Roman"/>
          <w:spacing w:val="-15"/>
          <w:sz w:val="24"/>
          <w:szCs w:val="24"/>
        </w:rPr>
        <w:t>2012</w:t>
      </w:r>
      <w:r>
        <w:rPr>
          <w:rFonts w:ascii="宋体" w:hAnsi="宋体" w:eastAsia="宋体" w:cs="宋体"/>
          <w:spacing w:val="-15"/>
          <w:sz w:val="24"/>
          <w:szCs w:val="24"/>
        </w:rPr>
        <w:t>〕</w:t>
      </w:r>
      <w:r>
        <w:rPr>
          <w:rFonts w:ascii="宋体" w:hAnsi="宋体" w:eastAsia="宋体" w:cs="宋体"/>
          <w:sz w:val="24"/>
          <w:szCs w:val="24"/>
        </w:rPr>
        <w:t xml:space="preserve"> </w:t>
      </w:r>
      <w:r>
        <w:rPr>
          <w:rFonts w:ascii="Times New Roman" w:hAnsi="Times New Roman" w:eastAsia="Times New Roman" w:cs="Times New Roman"/>
          <w:spacing w:val="-15"/>
          <w:sz w:val="24"/>
          <w:szCs w:val="24"/>
        </w:rPr>
        <w:t>14</w:t>
      </w:r>
      <w:r>
        <w:rPr>
          <w:rFonts w:ascii="Times New Roman" w:hAnsi="Times New Roman" w:eastAsia="Times New Roman" w:cs="Times New Roman"/>
          <w:spacing w:val="15"/>
          <w:w w:val="101"/>
          <w:sz w:val="24"/>
          <w:szCs w:val="24"/>
        </w:rPr>
        <w:t xml:space="preserve"> </w:t>
      </w:r>
      <w:r>
        <w:rPr>
          <w:rFonts w:ascii="宋体" w:hAnsi="宋体" w:eastAsia="宋体" w:cs="宋体"/>
          <w:spacing w:val="-15"/>
          <w:sz w:val="24"/>
          <w:szCs w:val="24"/>
        </w:rPr>
        <w:t>号</w:t>
      </w:r>
      <w:r>
        <w:rPr>
          <w:rFonts w:ascii="宋体" w:hAnsi="宋体" w:eastAsia="宋体" w:cs="宋体"/>
          <w:sz w:val="24"/>
          <w:szCs w:val="24"/>
        </w:rPr>
        <w:t>）；</w:t>
      </w:r>
    </w:p>
    <w:p w14:paraId="5953CB87">
      <w:pPr>
        <w:spacing w:before="126" w:line="313" w:lineRule="auto"/>
        <w:ind w:left="3" w:right="2" w:firstLine="491"/>
        <w:rPr>
          <w:rFonts w:ascii="宋体" w:hAnsi="宋体" w:eastAsia="宋体" w:cs="宋体"/>
          <w:sz w:val="24"/>
          <w:szCs w:val="24"/>
        </w:rPr>
      </w:pPr>
      <w:r>
        <w:rPr>
          <w:rFonts w:ascii="宋体" w:hAnsi="宋体" w:eastAsia="宋体" w:cs="宋体"/>
          <w:spacing w:val="-15"/>
          <w:sz w:val="24"/>
          <w:szCs w:val="24"/>
        </w:rPr>
        <w:t>（</w:t>
      </w:r>
      <w:r>
        <w:rPr>
          <w:rFonts w:ascii="Times New Roman" w:hAnsi="Times New Roman" w:eastAsia="Times New Roman" w:cs="Times New Roman"/>
          <w:spacing w:val="-15"/>
          <w:sz w:val="24"/>
          <w:szCs w:val="24"/>
        </w:rPr>
        <w:t>11</w:t>
      </w:r>
      <w:r>
        <w:rPr>
          <w:rFonts w:ascii="宋体" w:hAnsi="宋体" w:eastAsia="宋体" w:cs="宋体"/>
          <w:spacing w:val="-15"/>
          <w:sz w:val="24"/>
          <w:szCs w:val="24"/>
        </w:rPr>
        <w:t>）《关于印发</w:t>
      </w:r>
      <w:r>
        <w:rPr>
          <w:rFonts w:ascii="Times New Roman" w:hAnsi="Times New Roman" w:eastAsia="Times New Roman" w:cs="Times New Roman"/>
          <w:spacing w:val="-15"/>
          <w:sz w:val="24"/>
          <w:szCs w:val="24"/>
        </w:rPr>
        <w:t>&lt;</w:t>
      </w:r>
      <w:r>
        <w:rPr>
          <w:rFonts w:ascii="宋体" w:hAnsi="宋体" w:eastAsia="宋体" w:cs="宋体"/>
          <w:spacing w:val="-15"/>
          <w:sz w:val="24"/>
          <w:szCs w:val="24"/>
        </w:rPr>
        <w:t>广东省主体功能区规</w:t>
      </w:r>
      <w:r>
        <w:rPr>
          <w:rFonts w:ascii="宋体" w:hAnsi="宋体" w:eastAsia="宋体" w:cs="宋体"/>
          <w:spacing w:val="-16"/>
          <w:sz w:val="24"/>
          <w:szCs w:val="24"/>
        </w:rPr>
        <w:t>划的配套环保政策</w:t>
      </w:r>
      <w:r>
        <w:rPr>
          <w:rFonts w:ascii="Times New Roman" w:hAnsi="Times New Roman" w:eastAsia="Times New Roman" w:cs="Times New Roman"/>
          <w:spacing w:val="-16"/>
          <w:sz w:val="24"/>
          <w:szCs w:val="24"/>
        </w:rPr>
        <w:t>&gt;</w:t>
      </w:r>
      <w:r>
        <w:rPr>
          <w:rFonts w:ascii="Times New Roman" w:hAnsi="Times New Roman" w:eastAsia="Times New Roman" w:cs="Times New Roman"/>
          <w:spacing w:val="-32"/>
          <w:sz w:val="24"/>
          <w:szCs w:val="24"/>
        </w:rPr>
        <w:t xml:space="preserve"> </w:t>
      </w:r>
      <w:r>
        <w:rPr>
          <w:rFonts w:ascii="宋体" w:hAnsi="宋体" w:eastAsia="宋体" w:cs="宋体"/>
          <w:spacing w:val="-16"/>
          <w:sz w:val="24"/>
          <w:szCs w:val="24"/>
        </w:rPr>
        <w:t>的通知》（粤环〔</w:t>
      </w:r>
      <w:r>
        <w:rPr>
          <w:rFonts w:ascii="Times New Roman" w:hAnsi="Times New Roman" w:eastAsia="Times New Roman" w:cs="Times New Roman"/>
          <w:spacing w:val="-16"/>
          <w:sz w:val="24"/>
          <w:szCs w:val="24"/>
        </w:rPr>
        <w:t>2014</w:t>
      </w:r>
      <w:r>
        <w:rPr>
          <w:rFonts w:ascii="宋体" w:hAnsi="宋体" w:eastAsia="宋体" w:cs="宋体"/>
          <w:spacing w:val="-16"/>
          <w:sz w:val="24"/>
          <w:szCs w:val="24"/>
        </w:rPr>
        <w:t>〕</w:t>
      </w:r>
      <w:r>
        <w:rPr>
          <w:rFonts w:ascii="宋体" w:hAnsi="宋体" w:eastAsia="宋体" w:cs="宋体"/>
          <w:sz w:val="24"/>
          <w:szCs w:val="24"/>
        </w:rPr>
        <w:t xml:space="preserve"> </w:t>
      </w:r>
      <w:r>
        <w:rPr>
          <w:rFonts w:ascii="Times New Roman" w:hAnsi="Times New Roman" w:eastAsia="Times New Roman" w:cs="Times New Roman"/>
          <w:spacing w:val="-12"/>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12"/>
          <w:sz w:val="24"/>
          <w:szCs w:val="24"/>
        </w:rPr>
        <w:t>号</w:t>
      </w:r>
      <w:r>
        <w:rPr>
          <w:rFonts w:ascii="宋体" w:hAnsi="宋体" w:eastAsia="宋体" w:cs="宋体"/>
          <w:sz w:val="24"/>
          <w:szCs w:val="24"/>
        </w:rPr>
        <w:t>）；</w:t>
      </w:r>
    </w:p>
    <w:p w14:paraId="4A5468D7">
      <w:pPr>
        <w:spacing w:before="166"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12</w:t>
      </w:r>
      <w:r>
        <w:rPr>
          <w:rFonts w:ascii="宋体" w:hAnsi="宋体" w:eastAsia="宋体" w:cs="宋体"/>
          <w:spacing w:val="-1"/>
          <w:position w:val="2"/>
          <w:sz w:val="24"/>
          <w:szCs w:val="24"/>
        </w:rPr>
        <w:t>）《南粤水更清行动计划（</w:t>
      </w:r>
      <w:r>
        <w:rPr>
          <w:rFonts w:ascii="Times New Roman" w:hAnsi="Times New Roman" w:eastAsia="Times New Roman" w:cs="Times New Roman"/>
          <w:spacing w:val="-1"/>
          <w:position w:val="2"/>
          <w:sz w:val="24"/>
          <w:szCs w:val="24"/>
        </w:rPr>
        <w:t xml:space="preserve">2013-2020 </w:t>
      </w:r>
      <w:r>
        <w:rPr>
          <w:rFonts w:ascii="宋体" w:hAnsi="宋体" w:eastAsia="宋体" w:cs="宋体"/>
          <w:spacing w:val="-1"/>
          <w:position w:val="2"/>
          <w:sz w:val="24"/>
          <w:szCs w:val="24"/>
        </w:rPr>
        <w:t>年）》（粤环〔</w:t>
      </w:r>
      <w:r>
        <w:rPr>
          <w:rFonts w:ascii="Times New Roman" w:hAnsi="Times New Roman" w:eastAsia="Times New Roman" w:cs="Times New Roman"/>
          <w:spacing w:val="-1"/>
          <w:position w:val="2"/>
          <w:sz w:val="24"/>
          <w:szCs w:val="24"/>
        </w:rPr>
        <w:t>2013</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13</w:t>
      </w:r>
      <w:r>
        <w:rPr>
          <w:rFonts w:ascii="Times New Roman" w:hAnsi="Times New Roman" w:eastAsia="Times New Roman" w:cs="Times New Roman"/>
          <w:spacing w:val="15"/>
          <w:w w:val="101"/>
          <w:position w:val="2"/>
          <w:sz w:val="24"/>
          <w:szCs w:val="24"/>
        </w:rPr>
        <w:t xml:space="preserve"> </w:t>
      </w:r>
      <w:r>
        <w:rPr>
          <w:rFonts w:ascii="宋体" w:hAnsi="宋体" w:eastAsia="宋体" w:cs="宋体"/>
          <w:spacing w:val="-1"/>
          <w:position w:val="2"/>
          <w:sz w:val="24"/>
          <w:szCs w:val="24"/>
        </w:rPr>
        <w:t>号</w:t>
      </w:r>
      <w:r>
        <w:rPr>
          <w:rFonts w:ascii="宋体" w:hAnsi="宋体" w:eastAsia="宋体" w:cs="宋体"/>
          <w:spacing w:val="8"/>
          <w:position w:val="2"/>
          <w:sz w:val="24"/>
          <w:szCs w:val="24"/>
        </w:rPr>
        <w:t>）；</w:t>
      </w:r>
    </w:p>
    <w:p w14:paraId="126FEF0D">
      <w:pPr>
        <w:spacing w:before="38" w:line="360"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13</w:t>
      </w:r>
      <w:r>
        <w:rPr>
          <w:rFonts w:ascii="宋体" w:hAnsi="宋体" w:eastAsia="宋体" w:cs="宋体"/>
          <w:spacing w:val="-2"/>
          <w:position w:val="2"/>
          <w:sz w:val="24"/>
          <w:szCs w:val="24"/>
        </w:rPr>
        <w:t>）广东省环境保护</w:t>
      </w:r>
      <w:r>
        <w:rPr>
          <w:rFonts w:ascii="Times New Roman" w:hAnsi="Times New Roman" w:eastAsia="Times New Roman" w:cs="Times New Roman"/>
          <w:spacing w:val="-2"/>
          <w:position w:val="2"/>
          <w:sz w:val="24"/>
          <w:szCs w:val="24"/>
        </w:rPr>
        <w:t>“</w:t>
      </w:r>
      <w:r>
        <w:rPr>
          <w:rFonts w:ascii="宋体" w:hAnsi="宋体" w:eastAsia="宋体" w:cs="宋体"/>
          <w:spacing w:val="-2"/>
          <w:position w:val="2"/>
          <w:sz w:val="24"/>
          <w:szCs w:val="24"/>
        </w:rPr>
        <w:t>十三五</w:t>
      </w:r>
      <w:r>
        <w:rPr>
          <w:rFonts w:ascii="Times New Roman" w:hAnsi="Times New Roman" w:eastAsia="Times New Roman" w:cs="Times New Roman"/>
          <w:spacing w:val="-2"/>
          <w:position w:val="2"/>
          <w:sz w:val="24"/>
          <w:szCs w:val="24"/>
        </w:rPr>
        <w:t>”</w:t>
      </w:r>
      <w:r>
        <w:rPr>
          <w:rFonts w:ascii="宋体" w:hAnsi="宋体" w:eastAsia="宋体" w:cs="宋体"/>
          <w:spacing w:val="-2"/>
          <w:position w:val="2"/>
          <w:sz w:val="24"/>
          <w:szCs w:val="24"/>
        </w:rPr>
        <w:t>规划；</w:t>
      </w:r>
    </w:p>
    <w:p w14:paraId="017ABBF9">
      <w:pPr>
        <w:spacing w:before="106" w:line="359"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14</w:t>
      </w:r>
      <w:r>
        <w:rPr>
          <w:rFonts w:ascii="宋体" w:hAnsi="宋体" w:eastAsia="宋体" w:cs="宋体"/>
          <w:spacing w:val="-1"/>
          <w:position w:val="2"/>
          <w:sz w:val="24"/>
          <w:szCs w:val="24"/>
        </w:rPr>
        <w:t>）广东省国民经济和社会发展</w:t>
      </w:r>
      <w:r>
        <w:rPr>
          <w:rFonts w:hint="eastAsia" w:ascii="宋体" w:hAnsi="宋体" w:eastAsia="宋体" w:cs="宋体"/>
          <w:spacing w:val="-1"/>
          <w:position w:val="2"/>
          <w:sz w:val="24"/>
          <w:szCs w:val="24"/>
          <w:lang w:eastAsia="zh-CN"/>
        </w:rPr>
        <w:t>“</w:t>
      </w:r>
      <w:r>
        <w:rPr>
          <w:rFonts w:ascii="宋体" w:hAnsi="宋体" w:eastAsia="宋体" w:cs="宋体"/>
          <w:spacing w:val="-1"/>
          <w:position w:val="2"/>
          <w:sz w:val="24"/>
          <w:szCs w:val="24"/>
        </w:rPr>
        <w:t>十三五</w:t>
      </w:r>
      <w:r>
        <w:rPr>
          <w:rFonts w:hint="eastAsia" w:ascii="宋体" w:hAnsi="宋体" w:eastAsia="宋体" w:cs="宋体"/>
          <w:spacing w:val="-1"/>
          <w:position w:val="2"/>
          <w:sz w:val="24"/>
          <w:szCs w:val="24"/>
          <w:lang w:eastAsia="zh-CN"/>
        </w:rPr>
        <w:t>”</w:t>
      </w:r>
      <w:r>
        <w:rPr>
          <w:rFonts w:ascii="宋体" w:hAnsi="宋体" w:eastAsia="宋体" w:cs="宋体"/>
          <w:spacing w:val="-1"/>
          <w:position w:val="2"/>
          <w:sz w:val="24"/>
          <w:szCs w:val="24"/>
        </w:rPr>
        <w:t>规划纲要；</w:t>
      </w:r>
    </w:p>
    <w:p w14:paraId="35D5439A">
      <w:pPr>
        <w:spacing w:before="107" w:line="319" w:lineRule="auto"/>
        <w:ind w:left="23" w:right="72" w:firstLine="47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15</w:t>
      </w:r>
      <w:r>
        <w:rPr>
          <w:rFonts w:ascii="宋体" w:hAnsi="宋体" w:eastAsia="宋体" w:cs="宋体"/>
          <w:spacing w:val="-2"/>
          <w:sz w:val="24"/>
          <w:szCs w:val="24"/>
        </w:rPr>
        <w:t>）《关于印发</w:t>
      </w:r>
      <w:r>
        <w:rPr>
          <w:rFonts w:ascii="Times New Roman" w:hAnsi="Times New Roman" w:eastAsia="Times New Roman" w:cs="Times New Roman"/>
          <w:spacing w:val="-2"/>
          <w:sz w:val="24"/>
          <w:szCs w:val="24"/>
        </w:rPr>
        <w:t>&lt;</w:t>
      </w:r>
      <w:r>
        <w:rPr>
          <w:rFonts w:ascii="宋体" w:hAnsi="宋体" w:eastAsia="宋体" w:cs="宋体"/>
          <w:spacing w:val="-2"/>
          <w:sz w:val="24"/>
          <w:szCs w:val="24"/>
        </w:rPr>
        <w:t>广东省生猪生产发展总体规划和区域布</w:t>
      </w:r>
      <w:r>
        <w:rPr>
          <w:rFonts w:ascii="宋体" w:hAnsi="宋体" w:eastAsia="宋体" w:cs="宋体"/>
          <w:spacing w:val="-3"/>
          <w:sz w:val="24"/>
          <w:szCs w:val="24"/>
        </w:rPr>
        <w:t>局（</w:t>
      </w:r>
      <w:r>
        <w:rPr>
          <w:rFonts w:ascii="Times New Roman" w:hAnsi="Times New Roman" w:eastAsia="Times New Roman" w:cs="Times New Roman"/>
          <w:spacing w:val="-3"/>
          <w:sz w:val="24"/>
          <w:szCs w:val="24"/>
        </w:rPr>
        <w:t xml:space="preserve">2008-2020 </w:t>
      </w:r>
      <w:r>
        <w:rPr>
          <w:rFonts w:ascii="宋体" w:hAnsi="宋体" w:eastAsia="宋体" w:cs="宋体"/>
          <w:spacing w:val="-3"/>
          <w:sz w:val="24"/>
          <w:szCs w:val="24"/>
        </w:rPr>
        <w:t>年）</w:t>
      </w:r>
      <w:r>
        <w:rPr>
          <w:rFonts w:ascii="Times New Roman" w:hAnsi="Times New Roman" w:eastAsia="Times New Roman" w:cs="Times New Roman"/>
          <w:spacing w:val="-3"/>
          <w:sz w:val="24"/>
          <w:szCs w:val="24"/>
        </w:rPr>
        <w:t>&gt;</w:t>
      </w:r>
      <w:r>
        <w:rPr>
          <w:rFonts w:ascii="Times New Roman" w:hAnsi="Times New Roman" w:eastAsia="Times New Roman" w:cs="Times New Roman"/>
          <w:sz w:val="24"/>
          <w:szCs w:val="24"/>
        </w:rPr>
        <w:t xml:space="preserve"> </w:t>
      </w:r>
      <w:r>
        <w:rPr>
          <w:rFonts w:ascii="宋体" w:hAnsi="宋体" w:eastAsia="宋体" w:cs="宋体"/>
          <w:sz w:val="24"/>
          <w:szCs w:val="24"/>
        </w:rPr>
        <w:t>的通知》（粤农〔</w:t>
      </w:r>
      <w:r>
        <w:rPr>
          <w:rFonts w:ascii="Times New Roman" w:hAnsi="Times New Roman" w:eastAsia="Times New Roman" w:cs="Times New Roman"/>
          <w:sz w:val="24"/>
          <w:szCs w:val="24"/>
        </w:rPr>
        <w:t>2008</w:t>
      </w:r>
      <w:r>
        <w:rPr>
          <w:rFonts w:ascii="宋体" w:hAnsi="宋体" w:eastAsia="宋体" w:cs="宋体"/>
          <w:sz w:val="24"/>
          <w:szCs w:val="24"/>
        </w:rPr>
        <w:t>〕</w:t>
      </w:r>
      <w:r>
        <w:rPr>
          <w:rFonts w:ascii="Times New Roman" w:hAnsi="Times New Roman" w:eastAsia="Times New Roman" w:cs="Times New Roman"/>
          <w:sz w:val="24"/>
          <w:szCs w:val="24"/>
        </w:rPr>
        <w:t>185</w:t>
      </w:r>
      <w:r>
        <w:rPr>
          <w:rFonts w:ascii="Times New Roman" w:hAnsi="Times New Roman" w:eastAsia="Times New Roman" w:cs="Times New Roman"/>
          <w:spacing w:val="20"/>
          <w:sz w:val="24"/>
          <w:szCs w:val="24"/>
        </w:rPr>
        <w:t xml:space="preserve"> </w:t>
      </w:r>
      <w:r>
        <w:rPr>
          <w:rFonts w:ascii="宋体" w:hAnsi="宋体" w:eastAsia="宋体" w:cs="宋体"/>
          <w:sz w:val="24"/>
          <w:szCs w:val="24"/>
        </w:rPr>
        <w:t>号，</w:t>
      </w:r>
      <w:r>
        <w:rPr>
          <w:rFonts w:ascii="Times New Roman" w:hAnsi="Times New Roman" w:eastAsia="Times New Roman" w:cs="Times New Roman"/>
          <w:sz w:val="24"/>
          <w:szCs w:val="24"/>
        </w:rPr>
        <w:t>200</w:t>
      </w:r>
      <w:r>
        <w:rPr>
          <w:rFonts w:ascii="Times New Roman" w:hAnsi="Times New Roman" w:eastAsia="Times New Roman" w:cs="Times New Roman"/>
          <w:spacing w:val="-1"/>
          <w:sz w:val="24"/>
          <w:szCs w:val="24"/>
        </w:rPr>
        <w:t xml:space="preserve">8 </w:t>
      </w:r>
      <w:r>
        <w:rPr>
          <w:rFonts w:ascii="宋体" w:hAnsi="宋体" w:eastAsia="宋体" w:cs="宋体"/>
          <w:spacing w:val="-1"/>
          <w:sz w:val="24"/>
          <w:szCs w:val="24"/>
        </w:rPr>
        <w:t>年</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8</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月</w:t>
      </w:r>
      <w:r>
        <w:rPr>
          <w:rFonts w:ascii="宋体" w:hAnsi="宋体" w:eastAsia="宋体" w:cs="宋体"/>
          <w:spacing w:val="-17"/>
          <w:sz w:val="24"/>
          <w:szCs w:val="24"/>
        </w:rPr>
        <w:t>）；</w:t>
      </w:r>
    </w:p>
    <w:p w14:paraId="7A2A91F9">
      <w:pPr>
        <w:spacing w:before="106"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16</w:t>
      </w:r>
      <w:r>
        <w:rPr>
          <w:rFonts w:ascii="宋体" w:hAnsi="宋体" w:eastAsia="宋体" w:cs="宋体"/>
          <w:spacing w:val="-1"/>
          <w:position w:val="2"/>
          <w:sz w:val="24"/>
          <w:szCs w:val="24"/>
        </w:rPr>
        <w:t>）《广东省兴办规模化畜禽养殖场指南》（粤农〔</w:t>
      </w:r>
      <w:r>
        <w:rPr>
          <w:rFonts w:ascii="Times New Roman" w:hAnsi="Times New Roman" w:eastAsia="Times New Roman" w:cs="Times New Roman"/>
          <w:spacing w:val="-1"/>
          <w:position w:val="2"/>
          <w:sz w:val="24"/>
          <w:szCs w:val="24"/>
        </w:rPr>
        <w:t>2008</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137</w:t>
      </w:r>
      <w:r>
        <w:rPr>
          <w:rFonts w:ascii="Times New Roman" w:hAnsi="Times New Roman" w:eastAsia="Times New Roman" w:cs="Times New Roman"/>
          <w:spacing w:val="21"/>
          <w:w w:val="101"/>
          <w:position w:val="2"/>
          <w:sz w:val="24"/>
          <w:szCs w:val="24"/>
        </w:rPr>
        <w:t xml:space="preserve"> </w:t>
      </w:r>
      <w:r>
        <w:rPr>
          <w:rFonts w:ascii="宋体" w:hAnsi="宋体" w:eastAsia="宋体" w:cs="宋体"/>
          <w:spacing w:val="-1"/>
          <w:position w:val="2"/>
          <w:sz w:val="24"/>
          <w:szCs w:val="24"/>
        </w:rPr>
        <w:t>号</w:t>
      </w:r>
      <w:r>
        <w:rPr>
          <w:rFonts w:ascii="宋体" w:hAnsi="宋体" w:eastAsia="宋体" w:cs="宋体"/>
          <w:spacing w:val="6"/>
          <w:position w:val="2"/>
          <w:sz w:val="24"/>
          <w:szCs w:val="24"/>
        </w:rPr>
        <w:t>）；</w:t>
      </w:r>
    </w:p>
    <w:p w14:paraId="773EF7C0">
      <w:pPr>
        <w:spacing w:before="108" w:line="360"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17</w:t>
      </w:r>
      <w:r>
        <w:rPr>
          <w:rFonts w:ascii="宋体" w:hAnsi="宋体" w:eastAsia="宋体" w:cs="宋体"/>
          <w:spacing w:val="-2"/>
          <w:position w:val="2"/>
          <w:sz w:val="24"/>
          <w:szCs w:val="24"/>
        </w:rPr>
        <w:t>）《广东省重大动物疫情应急预案》；</w:t>
      </w:r>
    </w:p>
    <w:p w14:paraId="1A9D06FB">
      <w:pPr>
        <w:spacing w:before="105" w:line="360" w:lineRule="exact"/>
        <w:ind w:left="495"/>
        <w:rPr>
          <w:rFonts w:ascii="宋体" w:hAnsi="宋体" w:eastAsia="宋体" w:cs="宋体"/>
          <w:sz w:val="24"/>
          <w:szCs w:val="24"/>
        </w:rPr>
      </w:pPr>
      <w:r>
        <w:rPr>
          <w:rFonts w:ascii="宋体" w:hAnsi="宋体" w:eastAsia="宋体" w:cs="宋体"/>
          <w:position w:val="2"/>
          <w:sz w:val="24"/>
          <w:szCs w:val="24"/>
        </w:rPr>
        <w:t>（</w:t>
      </w:r>
      <w:r>
        <w:rPr>
          <w:rFonts w:ascii="Times New Roman" w:hAnsi="Times New Roman" w:eastAsia="Times New Roman" w:cs="Times New Roman"/>
          <w:position w:val="2"/>
          <w:sz w:val="24"/>
          <w:szCs w:val="24"/>
        </w:rPr>
        <w:t>18</w:t>
      </w:r>
      <w:r>
        <w:rPr>
          <w:rFonts w:ascii="宋体" w:hAnsi="宋体" w:eastAsia="宋体" w:cs="宋体"/>
          <w:position w:val="2"/>
          <w:sz w:val="24"/>
          <w:szCs w:val="24"/>
        </w:rPr>
        <w:t>）《广东省农村环境保护</w:t>
      </w:r>
      <w:r>
        <w:rPr>
          <w:rFonts w:ascii="Times New Roman" w:hAnsi="Times New Roman" w:eastAsia="Times New Roman" w:cs="Times New Roman"/>
          <w:position w:val="2"/>
          <w:sz w:val="24"/>
          <w:szCs w:val="24"/>
        </w:rPr>
        <w:t>“</w:t>
      </w:r>
      <w:bookmarkStart w:id="63" w:name="_GoBack"/>
      <w:bookmarkEnd w:id="63"/>
      <w:r>
        <w:rPr>
          <w:rFonts w:ascii="宋体" w:hAnsi="宋体" w:eastAsia="宋体" w:cs="宋体"/>
          <w:position w:val="2"/>
          <w:sz w:val="24"/>
          <w:szCs w:val="24"/>
        </w:rPr>
        <w:t>十三五</w:t>
      </w:r>
      <w:r>
        <w:rPr>
          <w:rFonts w:ascii="Times New Roman" w:hAnsi="Times New Roman" w:eastAsia="Times New Roman" w:cs="Times New Roman"/>
          <w:position w:val="2"/>
          <w:sz w:val="24"/>
          <w:szCs w:val="24"/>
        </w:rPr>
        <w:t>”</w:t>
      </w:r>
      <w:r>
        <w:rPr>
          <w:rFonts w:ascii="宋体" w:hAnsi="宋体" w:eastAsia="宋体" w:cs="宋体"/>
          <w:position w:val="2"/>
          <w:sz w:val="24"/>
          <w:szCs w:val="24"/>
        </w:rPr>
        <w:t>规</w:t>
      </w:r>
      <w:r>
        <w:rPr>
          <w:rFonts w:ascii="宋体" w:hAnsi="宋体" w:eastAsia="宋体" w:cs="宋体"/>
          <w:spacing w:val="-1"/>
          <w:position w:val="2"/>
          <w:sz w:val="24"/>
          <w:szCs w:val="24"/>
        </w:rPr>
        <w:t>划》；</w:t>
      </w:r>
    </w:p>
    <w:p w14:paraId="452E6CB7">
      <w:pPr>
        <w:spacing w:before="107" w:line="319" w:lineRule="auto"/>
        <w:ind w:left="1" w:right="78" w:firstLine="49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19</w:t>
      </w:r>
      <w:r>
        <w:rPr>
          <w:rFonts w:ascii="宋体" w:hAnsi="宋体" w:eastAsia="宋体" w:cs="宋体"/>
          <w:spacing w:val="2"/>
          <w:sz w:val="24"/>
          <w:szCs w:val="24"/>
        </w:rPr>
        <w:t>）《广东省环境保护厅广东省农业厅关于加强规模化畜禽养殖污</w:t>
      </w:r>
      <w:r>
        <w:rPr>
          <w:rFonts w:ascii="宋体" w:hAnsi="宋体" w:eastAsia="宋体" w:cs="宋体"/>
          <w:spacing w:val="1"/>
          <w:sz w:val="24"/>
          <w:szCs w:val="24"/>
        </w:rPr>
        <w:t>染防治促</w:t>
      </w:r>
      <w:r>
        <w:rPr>
          <w:rFonts w:ascii="宋体" w:hAnsi="宋体" w:eastAsia="宋体" w:cs="宋体"/>
          <w:sz w:val="24"/>
          <w:szCs w:val="24"/>
        </w:rPr>
        <w:t xml:space="preserve"> </w:t>
      </w:r>
      <w:r>
        <w:rPr>
          <w:rFonts w:ascii="宋体" w:hAnsi="宋体" w:eastAsia="宋体" w:cs="宋体"/>
          <w:spacing w:val="-1"/>
          <w:sz w:val="24"/>
          <w:szCs w:val="24"/>
        </w:rPr>
        <w:t>进生态健康发展的意见》（粤环发〔</w:t>
      </w:r>
      <w:r>
        <w:rPr>
          <w:rFonts w:ascii="Times New Roman" w:hAnsi="Times New Roman" w:eastAsia="Times New Roman" w:cs="Times New Roman"/>
          <w:spacing w:val="-1"/>
          <w:sz w:val="24"/>
          <w:szCs w:val="24"/>
        </w:rPr>
        <w:t>2010</w:t>
      </w:r>
      <w:r>
        <w:rPr>
          <w:rFonts w:ascii="宋体" w:hAnsi="宋体" w:eastAsia="宋体" w:cs="宋体"/>
          <w:spacing w:val="-1"/>
          <w:sz w:val="24"/>
          <w:szCs w:val="24"/>
        </w:rPr>
        <w:t>〕</w:t>
      </w:r>
      <w:r>
        <w:rPr>
          <w:rFonts w:ascii="Times New Roman" w:hAnsi="Times New Roman" w:eastAsia="Times New Roman" w:cs="Times New Roman"/>
          <w:spacing w:val="-1"/>
          <w:sz w:val="24"/>
          <w:szCs w:val="24"/>
        </w:rPr>
        <w:t>78</w:t>
      </w:r>
      <w:r>
        <w:rPr>
          <w:rFonts w:ascii="Times New Roman" w:hAnsi="Times New Roman" w:eastAsia="Times New Roman" w:cs="Times New Roman"/>
          <w:spacing w:val="20"/>
          <w:w w:val="101"/>
          <w:sz w:val="24"/>
          <w:szCs w:val="24"/>
        </w:rPr>
        <w:t xml:space="preserve"> </w:t>
      </w:r>
      <w:r>
        <w:rPr>
          <w:rFonts w:ascii="宋体" w:hAnsi="宋体" w:eastAsia="宋体" w:cs="宋体"/>
          <w:spacing w:val="-1"/>
          <w:sz w:val="24"/>
          <w:szCs w:val="24"/>
        </w:rPr>
        <w:t>号</w:t>
      </w:r>
      <w:r>
        <w:rPr>
          <w:rFonts w:ascii="宋体" w:hAnsi="宋体" w:eastAsia="宋体" w:cs="宋体"/>
          <w:spacing w:val="7"/>
          <w:sz w:val="24"/>
          <w:szCs w:val="24"/>
        </w:rPr>
        <w:t>）；</w:t>
      </w:r>
    </w:p>
    <w:p w14:paraId="1A666225">
      <w:pPr>
        <w:spacing w:before="106" w:line="303" w:lineRule="auto"/>
        <w:ind w:left="4" w:right="78"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20</w:t>
      </w:r>
      <w:r>
        <w:rPr>
          <w:rFonts w:ascii="宋体" w:hAnsi="宋体" w:eastAsia="宋体" w:cs="宋体"/>
          <w:sz w:val="24"/>
          <w:szCs w:val="24"/>
        </w:rPr>
        <w:t>）《汕尾市环境保护局审批环境影响评价文件的建设项目名录》（</w:t>
      </w:r>
      <w:r>
        <w:rPr>
          <w:rFonts w:ascii="Times New Roman" w:hAnsi="Times New Roman" w:eastAsia="Times New Roman" w:cs="Times New Roman"/>
          <w:sz w:val="24"/>
          <w:szCs w:val="24"/>
        </w:rPr>
        <w:t xml:space="preserve">2017 </w:t>
      </w:r>
      <w:r>
        <w:rPr>
          <w:rFonts w:ascii="宋体" w:hAnsi="宋体" w:eastAsia="宋体" w:cs="宋体"/>
          <w:sz w:val="24"/>
          <w:szCs w:val="24"/>
        </w:rPr>
        <w:t>年</w:t>
      </w:r>
      <w:r>
        <w:rPr>
          <w:rFonts w:ascii="宋体" w:hAnsi="宋体" w:eastAsia="宋体" w:cs="宋体"/>
          <w:spacing w:val="6"/>
          <w:sz w:val="24"/>
          <w:szCs w:val="24"/>
        </w:rPr>
        <w:t xml:space="preserve"> </w:t>
      </w:r>
      <w:r>
        <w:rPr>
          <w:rFonts w:ascii="宋体" w:hAnsi="宋体" w:eastAsia="宋体" w:cs="宋体"/>
          <w:spacing w:val="-11"/>
          <w:sz w:val="24"/>
          <w:szCs w:val="24"/>
        </w:rPr>
        <w:t>本</w:t>
      </w:r>
      <w:r>
        <w:rPr>
          <w:rFonts w:ascii="宋体" w:hAnsi="宋体" w:eastAsia="宋体" w:cs="宋体"/>
          <w:sz w:val="24"/>
          <w:szCs w:val="24"/>
        </w:rPr>
        <w:t>）；</w:t>
      </w:r>
    </w:p>
    <w:p w14:paraId="351D0DA8">
      <w:pPr>
        <w:spacing w:before="145" w:line="361"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21</w:t>
      </w:r>
      <w:r>
        <w:rPr>
          <w:rFonts w:ascii="宋体" w:hAnsi="宋体" w:eastAsia="宋体" w:cs="宋体"/>
          <w:spacing w:val="-1"/>
          <w:position w:val="2"/>
          <w:sz w:val="24"/>
          <w:szCs w:val="24"/>
        </w:rPr>
        <w:t>）《汕尾市环境保护规划纲要（</w:t>
      </w:r>
      <w:r>
        <w:rPr>
          <w:rFonts w:ascii="Times New Roman" w:hAnsi="Times New Roman" w:eastAsia="Times New Roman" w:cs="Times New Roman"/>
          <w:spacing w:val="-1"/>
          <w:position w:val="2"/>
          <w:sz w:val="24"/>
          <w:szCs w:val="24"/>
        </w:rPr>
        <w:t>2008-2020</w:t>
      </w:r>
      <w:r>
        <w:rPr>
          <w:rFonts w:ascii="宋体" w:hAnsi="宋体" w:eastAsia="宋体" w:cs="宋体"/>
          <w:spacing w:val="-1"/>
          <w:position w:val="2"/>
          <w:sz w:val="24"/>
          <w:szCs w:val="24"/>
        </w:rPr>
        <w:t>）》；</w:t>
      </w:r>
    </w:p>
    <w:p w14:paraId="6BC6EA6F">
      <w:pPr>
        <w:spacing w:before="105"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22</w:t>
      </w:r>
      <w:r>
        <w:rPr>
          <w:rFonts w:ascii="宋体" w:hAnsi="宋体" w:eastAsia="宋体" w:cs="宋体"/>
          <w:spacing w:val="-1"/>
          <w:position w:val="2"/>
          <w:sz w:val="24"/>
          <w:szCs w:val="24"/>
        </w:rPr>
        <w:t>）《广东汕尾市城市总体规划（</w:t>
      </w:r>
      <w:r>
        <w:rPr>
          <w:rFonts w:ascii="Times New Roman" w:hAnsi="Times New Roman" w:eastAsia="Times New Roman" w:cs="Times New Roman"/>
          <w:spacing w:val="-1"/>
          <w:position w:val="2"/>
          <w:sz w:val="24"/>
          <w:szCs w:val="24"/>
        </w:rPr>
        <w:t>2011-202</w:t>
      </w:r>
      <w:r>
        <w:rPr>
          <w:rFonts w:ascii="Times New Roman" w:hAnsi="Times New Roman" w:eastAsia="Times New Roman" w:cs="Times New Roman"/>
          <w:spacing w:val="-2"/>
          <w:position w:val="2"/>
          <w:sz w:val="24"/>
          <w:szCs w:val="24"/>
        </w:rPr>
        <w:t>0</w:t>
      </w:r>
      <w:r>
        <w:rPr>
          <w:rFonts w:ascii="宋体" w:hAnsi="宋体" w:eastAsia="宋体" w:cs="宋体"/>
          <w:spacing w:val="-2"/>
          <w:position w:val="2"/>
          <w:sz w:val="24"/>
          <w:szCs w:val="24"/>
        </w:rPr>
        <w:t>）》；</w:t>
      </w:r>
    </w:p>
    <w:p w14:paraId="2D5B6338">
      <w:pPr>
        <w:spacing w:before="108"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23</w:t>
      </w:r>
      <w:r>
        <w:rPr>
          <w:rFonts w:ascii="宋体" w:hAnsi="宋体" w:eastAsia="宋体" w:cs="宋体"/>
          <w:spacing w:val="-1"/>
          <w:position w:val="2"/>
          <w:sz w:val="24"/>
          <w:szCs w:val="24"/>
        </w:rPr>
        <w:t>）《汕尾市环境保护规划纲要（</w:t>
      </w:r>
      <w:r>
        <w:rPr>
          <w:rFonts w:ascii="Times New Roman" w:hAnsi="Times New Roman" w:eastAsia="Times New Roman" w:cs="Times New Roman"/>
          <w:spacing w:val="-1"/>
          <w:position w:val="2"/>
          <w:sz w:val="24"/>
          <w:szCs w:val="24"/>
        </w:rPr>
        <w:t xml:space="preserve">2008-2020 </w:t>
      </w:r>
      <w:r>
        <w:rPr>
          <w:rFonts w:ascii="宋体" w:hAnsi="宋体" w:eastAsia="宋体" w:cs="宋体"/>
          <w:spacing w:val="-1"/>
          <w:position w:val="2"/>
          <w:sz w:val="24"/>
          <w:szCs w:val="24"/>
        </w:rPr>
        <w:t>年）》；</w:t>
      </w:r>
    </w:p>
    <w:p w14:paraId="4C61345D">
      <w:pPr>
        <w:spacing w:before="108"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24</w:t>
      </w:r>
      <w:r>
        <w:rPr>
          <w:rFonts w:ascii="宋体" w:hAnsi="宋体" w:eastAsia="宋体" w:cs="宋体"/>
          <w:spacing w:val="-1"/>
          <w:position w:val="2"/>
          <w:sz w:val="24"/>
          <w:szCs w:val="24"/>
        </w:rPr>
        <w:t>）《汕尾市城市总体规划（</w:t>
      </w:r>
      <w:r>
        <w:rPr>
          <w:rFonts w:ascii="Times New Roman" w:hAnsi="Times New Roman" w:eastAsia="Times New Roman" w:cs="Times New Roman"/>
          <w:spacing w:val="-1"/>
          <w:position w:val="2"/>
          <w:sz w:val="24"/>
          <w:szCs w:val="24"/>
        </w:rPr>
        <w:t xml:space="preserve">2011-2020 </w:t>
      </w:r>
      <w:r>
        <w:rPr>
          <w:rFonts w:ascii="宋体" w:hAnsi="宋体" w:eastAsia="宋体" w:cs="宋体"/>
          <w:spacing w:val="-2"/>
          <w:position w:val="2"/>
          <w:sz w:val="24"/>
          <w:szCs w:val="24"/>
        </w:rPr>
        <w:t>年）》；</w:t>
      </w:r>
    </w:p>
    <w:p w14:paraId="5BB86568">
      <w:pPr>
        <w:spacing w:before="194" w:line="361"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25</w:t>
      </w:r>
      <w:r>
        <w:rPr>
          <w:rFonts w:ascii="宋体" w:hAnsi="宋体" w:eastAsia="宋体" w:cs="宋体"/>
          <w:spacing w:val="-1"/>
          <w:position w:val="2"/>
          <w:sz w:val="24"/>
          <w:szCs w:val="24"/>
        </w:rPr>
        <w:t>）《汕尾市海丰县土地利用总体规划（</w:t>
      </w:r>
      <w:r>
        <w:rPr>
          <w:rFonts w:ascii="Times New Roman" w:hAnsi="Times New Roman" w:eastAsia="Times New Roman" w:cs="Times New Roman"/>
          <w:spacing w:val="-1"/>
          <w:position w:val="2"/>
          <w:sz w:val="24"/>
          <w:szCs w:val="24"/>
        </w:rPr>
        <w:t xml:space="preserve">2010-2020 </w:t>
      </w:r>
      <w:r>
        <w:rPr>
          <w:rFonts w:ascii="宋体" w:hAnsi="宋体" w:eastAsia="宋体" w:cs="宋体"/>
          <w:spacing w:val="-1"/>
          <w:position w:val="2"/>
          <w:sz w:val="24"/>
          <w:szCs w:val="24"/>
        </w:rPr>
        <w:t>年）》；</w:t>
      </w:r>
    </w:p>
    <w:p w14:paraId="07F89F25">
      <w:pPr>
        <w:spacing w:before="40"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26</w:t>
      </w:r>
      <w:r>
        <w:rPr>
          <w:rFonts w:ascii="宋体" w:hAnsi="宋体" w:eastAsia="宋体" w:cs="宋体"/>
          <w:spacing w:val="-1"/>
          <w:position w:val="2"/>
          <w:sz w:val="24"/>
          <w:szCs w:val="24"/>
        </w:rPr>
        <w:t>）《汕尾市畜禽养殖发展规划和区域布局（</w:t>
      </w:r>
      <w:r>
        <w:rPr>
          <w:rFonts w:ascii="Times New Roman" w:hAnsi="Times New Roman" w:eastAsia="Times New Roman" w:cs="Times New Roman"/>
          <w:spacing w:val="-1"/>
          <w:position w:val="2"/>
          <w:sz w:val="24"/>
          <w:szCs w:val="24"/>
        </w:rPr>
        <w:t>2015-2020</w:t>
      </w:r>
      <w:r>
        <w:rPr>
          <w:rFonts w:ascii="宋体" w:hAnsi="宋体" w:eastAsia="宋体" w:cs="宋体"/>
          <w:spacing w:val="-1"/>
          <w:position w:val="2"/>
          <w:sz w:val="24"/>
          <w:szCs w:val="24"/>
        </w:rPr>
        <w:t>）》；</w:t>
      </w:r>
    </w:p>
    <w:p w14:paraId="4B76FBB2">
      <w:pPr>
        <w:spacing w:before="197" w:line="337" w:lineRule="exact"/>
        <w:ind w:left="495"/>
        <w:rPr>
          <w:rFonts w:ascii="宋体" w:hAnsi="宋体" w:eastAsia="宋体" w:cs="宋体"/>
          <w:sz w:val="24"/>
          <w:szCs w:val="24"/>
        </w:rPr>
      </w:pPr>
      <w:r>
        <w:rPr>
          <w:rFonts w:ascii="宋体" w:hAnsi="宋体" w:eastAsia="宋体" w:cs="宋体"/>
          <w:spacing w:val="-1"/>
          <w:position w:val="3"/>
          <w:sz w:val="24"/>
          <w:szCs w:val="24"/>
        </w:rPr>
        <w:t>（</w:t>
      </w:r>
      <w:r>
        <w:rPr>
          <w:rFonts w:ascii="Times New Roman" w:hAnsi="Times New Roman" w:eastAsia="Times New Roman" w:cs="Times New Roman"/>
          <w:spacing w:val="-1"/>
          <w:position w:val="3"/>
          <w:sz w:val="24"/>
          <w:szCs w:val="24"/>
        </w:rPr>
        <w:t>27</w:t>
      </w:r>
      <w:r>
        <w:rPr>
          <w:rFonts w:ascii="宋体" w:hAnsi="宋体" w:eastAsia="宋体" w:cs="宋体"/>
          <w:spacing w:val="-1"/>
          <w:position w:val="3"/>
          <w:sz w:val="24"/>
          <w:szCs w:val="24"/>
        </w:rPr>
        <w:t>）《海丰县畜禽养殖禁养区划定方案》（海府办函</w:t>
      </w:r>
      <w:r>
        <w:rPr>
          <w:rFonts w:ascii="Times New Roman" w:hAnsi="Times New Roman" w:eastAsia="Times New Roman" w:cs="Times New Roman"/>
          <w:spacing w:val="-1"/>
          <w:position w:val="3"/>
          <w:sz w:val="24"/>
          <w:szCs w:val="24"/>
        </w:rPr>
        <w:t xml:space="preserve">[2020]25 </w:t>
      </w:r>
      <w:r>
        <w:rPr>
          <w:rFonts w:ascii="宋体" w:hAnsi="宋体" w:eastAsia="宋体" w:cs="宋体"/>
          <w:spacing w:val="-1"/>
          <w:position w:val="3"/>
          <w:sz w:val="24"/>
          <w:szCs w:val="24"/>
        </w:rPr>
        <w:t>号）。</w:t>
      </w:r>
    </w:p>
    <w:p w14:paraId="7A2AA8A2">
      <w:pPr>
        <w:spacing w:before="188"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2.1.3</w:t>
      </w:r>
      <w:r>
        <w:rPr>
          <w:rFonts w:ascii="宋体" w:hAnsi="宋体" w:eastAsia="宋体" w:cs="宋体"/>
          <w:b/>
          <w:bCs/>
          <w:spacing w:val="-2"/>
          <w:sz w:val="24"/>
          <w:szCs w:val="24"/>
        </w:rPr>
        <w:t>技术规范和行业标准</w:t>
      </w:r>
    </w:p>
    <w:p w14:paraId="44A60A0F">
      <w:pPr>
        <w:spacing w:before="166" w:line="358"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）《建设项目环境影响评价技术导则总纲》（</w:t>
      </w:r>
      <w:r>
        <w:rPr>
          <w:rFonts w:ascii="Times New Roman" w:hAnsi="Times New Roman" w:eastAsia="Times New Roman" w:cs="Times New Roman"/>
          <w:spacing w:val="-2"/>
          <w:position w:val="2"/>
          <w:sz w:val="24"/>
          <w:szCs w:val="24"/>
        </w:rPr>
        <w:t>HJ2.</w:t>
      </w:r>
      <w:r>
        <w:rPr>
          <w:rFonts w:ascii="Times New Roman" w:hAnsi="Times New Roman" w:eastAsia="Times New Roman" w:cs="Times New Roman"/>
          <w:spacing w:val="-31"/>
          <w:position w:val="2"/>
          <w:sz w:val="24"/>
          <w:szCs w:val="24"/>
        </w:rPr>
        <w:t xml:space="preserve"> </w:t>
      </w:r>
      <w:r>
        <w:rPr>
          <w:rFonts w:ascii="Times New Roman" w:hAnsi="Times New Roman" w:eastAsia="Times New Roman" w:cs="Times New Roman"/>
          <w:spacing w:val="-2"/>
          <w:position w:val="2"/>
          <w:sz w:val="24"/>
          <w:szCs w:val="24"/>
        </w:rPr>
        <w:t>1-2016</w:t>
      </w:r>
      <w:r>
        <w:rPr>
          <w:rFonts w:ascii="宋体" w:hAnsi="宋体" w:eastAsia="宋体" w:cs="宋体"/>
          <w:spacing w:val="6"/>
          <w:position w:val="2"/>
          <w:sz w:val="24"/>
          <w:szCs w:val="24"/>
        </w:rPr>
        <w:t>）；</w:t>
      </w:r>
    </w:p>
    <w:p w14:paraId="1EF2EC29">
      <w:pPr>
        <w:spacing w:before="131" w:line="359"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w:t>
      </w:r>
      <w:r>
        <w:rPr>
          <w:rFonts w:ascii="宋体" w:hAnsi="宋体" w:eastAsia="宋体" w:cs="宋体"/>
          <w:spacing w:val="-1"/>
          <w:position w:val="2"/>
          <w:sz w:val="24"/>
          <w:szCs w:val="24"/>
        </w:rPr>
        <w:t>）《环境影响评价技术导则地表水环境》（</w:t>
      </w:r>
      <w:r>
        <w:rPr>
          <w:rFonts w:ascii="Times New Roman" w:hAnsi="Times New Roman" w:eastAsia="Times New Roman" w:cs="Times New Roman"/>
          <w:spacing w:val="-1"/>
          <w:position w:val="2"/>
          <w:sz w:val="24"/>
          <w:szCs w:val="24"/>
        </w:rPr>
        <w:t>HJ2.3-2018</w:t>
      </w:r>
      <w:r>
        <w:rPr>
          <w:rFonts w:ascii="宋体" w:hAnsi="宋体" w:eastAsia="宋体" w:cs="宋体"/>
          <w:spacing w:val="4"/>
          <w:position w:val="2"/>
          <w:sz w:val="24"/>
          <w:szCs w:val="24"/>
        </w:rPr>
        <w:t>）；</w:t>
      </w:r>
    </w:p>
    <w:p w14:paraId="60DCA00B">
      <w:pPr>
        <w:spacing w:before="131" w:line="358"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3</w:t>
      </w:r>
      <w:r>
        <w:rPr>
          <w:rFonts w:ascii="宋体" w:hAnsi="宋体" w:eastAsia="宋体" w:cs="宋体"/>
          <w:spacing w:val="-1"/>
          <w:position w:val="2"/>
          <w:sz w:val="24"/>
          <w:szCs w:val="24"/>
        </w:rPr>
        <w:t>）《环境影响评价技术导则地下水环境》（</w:t>
      </w:r>
      <w:r>
        <w:rPr>
          <w:rFonts w:ascii="Times New Roman" w:hAnsi="Times New Roman" w:eastAsia="Times New Roman" w:cs="Times New Roman"/>
          <w:spacing w:val="-1"/>
          <w:position w:val="2"/>
          <w:sz w:val="24"/>
          <w:szCs w:val="24"/>
        </w:rPr>
        <w:t>HJ610-2016</w:t>
      </w:r>
      <w:r>
        <w:rPr>
          <w:rFonts w:ascii="宋体" w:hAnsi="宋体" w:eastAsia="宋体" w:cs="宋体"/>
          <w:spacing w:val="4"/>
          <w:position w:val="2"/>
          <w:sz w:val="24"/>
          <w:szCs w:val="24"/>
        </w:rPr>
        <w:t>）；</w:t>
      </w:r>
    </w:p>
    <w:p w14:paraId="1236B2C2">
      <w:pPr>
        <w:spacing w:before="129" w:line="359"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4</w:t>
      </w:r>
      <w:r>
        <w:rPr>
          <w:rFonts w:ascii="宋体" w:hAnsi="宋体" w:eastAsia="宋体" w:cs="宋体"/>
          <w:spacing w:val="-1"/>
          <w:position w:val="2"/>
          <w:sz w:val="24"/>
          <w:szCs w:val="24"/>
        </w:rPr>
        <w:t>）《环境影响评价技术导则大气环境》（</w:t>
      </w:r>
      <w:r>
        <w:rPr>
          <w:rFonts w:ascii="Times New Roman" w:hAnsi="Times New Roman" w:eastAsia="Times New Roman" w:cs="Times New Roman"/>
          <w:spacing w:val="-1"/>
          <w:position w:val="2"/>
          <w:sz w:val="24"/>
          <w:szCs w:val="24"/>
        </w:rPr>
        <w:t>HJ2.2-2018</w:t>
      </w:r>
      <w:r>
        <w:rPr>
          <w:rFonts w:ascii="宋体" w:hAnsi="宋体" w:eastAsia="宋体" w:cs="宋体"/>
          <w:spacing w:val="3"/>
          <w:position w:val="2"/>
          <w:sz w:val="24"/>
          <w:szCs w:val="24"/>
        </w:rPr>
        <w:t>）；</w:t>
      </w:r>
    </w:p>
    <w:p w14:paraId="3A537C22">
      <w:pPr>
        <w:spacing w:line="359" w:lineRule="exact"/>
        <w:rPr>
          <w:rFonts w:ascii="宋体" w:hAnsi="宋体" w:eastAsia="宋体" w:cs="宋体"/>
          <w:sz w:val="24"/>
          <w:szCs w:val="24"/>
        </w:rPr>
        <w:sectPr>
          <w:footerReference r:id="rId32" w:type="default"/>
          <w:pgSz w:w="11906" w:h="16839"/>
          <w:pgMar w:top="1431" w:right="1510" w:bottom="1485" w:left="1594" w:header="0" w:footer="1249" w:gutter="0"/>
          <w:cols w:space="720" w:num="1"/>
        </w:sectPr>
      </w:pPr>
    </w:p>
    <w:p w14:paraId="6D0C8177">
      <w:pPr>
        <w:spacing w:before="75" w:line="358"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5</w:t>
      </w:r>
      <w:r>
        <w:rPr>
          <w:rFonts w:ascii="宋体" w:hAnsi="宋体" w:eastAsia="宋体" w:cs="宋体"/>
          <w:spacing w:val="-1"/>
          <w:position w:val="2"/>
          <w:sz w:val="24"/>
          <w:szCs w:val="24"/>
        </w:rPr>
        <w:t>）《环境影响评价技术导则声环境》（</w:t>
      </w:r>
      <w:r>
        <w:rPr>
          <w:rFonts w:ascii="Times New Roman" w:hAnsi="Times New Roman" w:eastAsia="Times New Roman" w:cs="Times New Roman"/>
          <w:spacing w:val="-1"/>
          <w:position w:val="2"/>
          <w:sz w:val="24"/>
          <w:szCs w:val="24"/>
        </w:rPr>
        <w:t>HJ2.4-2009</w:t>
      </w:r>
      <w:r>
        <w:rPr>
          <w:rFonts w:ascii="宋体" w:hAnsi="宋体" w:eastAsia="宋体" w:cs="宋体"/>
          <w:spacing w:val="3"/>
          <w:position w:val="2"/>
          <w:sz w:val="24"/>
          <w:szCs w:val="24"/>
        </w:rPr>
        <w:t>）；</w:t>
      </w:r>
    </w:p>
    <w:p w14:paraId="53AD9B15">
      <w:pPr>
        <w:spacing w:before="131" w:line="358"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6</w:t>
      </w:r>
      <w:r>
        <w:rPr>
          <w:rFonts w:ascii="宋体" w:hAnsi="宋体" w:eastAsia="宋体" w:cs="宋体"/>
          <w:spacing w:val="-1"/>
          <w:position w:val="2"/>
          <w:sz w:val="24"/>
          <w:szCs w:val="24"/>
        </w:rPr>
        <w:t>）《环境影响评价技术导则生态影响》（</w:t>
      </w:r>
      <w:r>
        <w:rPr>
          <w:rFonts w:ascii="Times New Roman" w:hAnsi="Times New Roman" w:eastAsia="Times New Roman" w:cs="Times New Roman"/>
          <w:spacing w:val="-1"/>
          <w:position w:val="2"/>
          <w:sz w:val="24"/>
          <w:szCs w:val="24"/>
        </w:rPr>
        <w:t>HJ19-2011</w:t>
      </w:r>
      <w:r>
        <w:rPr>
          <w:rFonts w:ascii="宋体" w:hAnsi="宋体" w:eastAsia="宋体" w:cs="宋体"/>
          <w:spacing w:val="-2"/>
          <w:position w:val="2"/>
          <w:sz w:val="24"/>
          <w:szCs w:val="24"/>
        </w:rPr>
        <w:t>）；</w:t>
      </w:r>
    </w:p>
    <w:p w14:paraId="7B04D818">
      <w:pPr>
        <w:spacing w:before="128" w:line="359"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7</w:t>
      </w:r>
      <w:r>
        <w:rPr>
          <w:rFonts w:ascii="宋体" w:hAnsi="宋体" w:eastAsia="宋体" w:cs="宋体"/>
          <w:spacing w:val="-1"/>
          <w:position w:val="2"/>
          <w:sz w:val="24"/>
          <w:szCs w:val="24"/>
        </w:rPr>
        <w:t>）《建设项目环境风险评价技术导则》（</w:t>
      </w:r>
      <w:r>
        <w:rPr>
          <w:rFonts w:ascii="Times New Roman" w:hAnsi="Times New Roman" w:eastAsia="Times New Roman" w:cs="Times New Roman"/>
          <w:spacing w:val="-1"/>
          <w:position w:val="2"/>
          <w:sz w:val="24"/>
          <w:szCs w:val="24"/>
        </w:rPr>
        <w:t>HJ169-2018</w:t>
      </w:r>
      <w:r>
        <w:rPr>
          <w:rFonts w:ascii="宋体" w:hAnsi="宋体" w:eastAsia="宋体" w:cs="宋体"/>
          <w:spacing w:val="3"/>
          <w:position w:val="2"/>
          <w:sz w:val="24"/>
          <w:szCs w:val="24"/>
        </w:rPr>
        <w:t>）；</w:t>
      </w:r>
    </w:p>
    <w:p w14:paraId="28CAC105">
      <w:pPr>
        <w:spacing w:before="131" w:line="358"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8</w:t>
      </w:r>
      <w:r>
        <w:rPr>
          <w:rFonts w:ascii="宋体" w:hAnsi="宋体" w:eastAsia="宋体" w:cs="宋体"/>
          <w:spacing w:val="-1"/>
          <w:position w:val="2"/>
          <w:sz w:val="24"/>
          <w:szCs w:val="24"/>
        </w:rPr>
        <w:t>）《环境影响评价技术导则土壤环境（试行）》（</w:t>
      </w:r>
      <w:r>
        <w:rPr>
          <w:rFonts w:ascii="Times New Roman" w:hAnsi="Times New Roman" w:eastAsia="Times New Roman" w:cs="Times New Roman"/>
          <w:spacing w:val="-1"/>
          <w:position w:val="2"/>
          <w:sz w:val="24"/>
          <w:szCs w:val="24"/>
        </w:rPr>
        <w:t>HJ694-2018</w:t>
      </w:r>
      <w:r>
        <w:rPr>
          <w:rFonts w:ascii="宋体" w:hAnsi="宋体" w:eastAsia="宋体" w:cs="宋体"/>
          <w:spacing w:val="-1"/>
          <w:position w:val="2"/>
          <w:sz w:val="24"/>
          <w:szCs w:val="24"/>
        </w:rPr>
        <w:t>）</w:t>
      </w:r>
    </w:p>
    <w:p w14:paraId="5111B503">
      <w:pPr>
        <w:spacing w:before="131" w:line="360"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9</w:t>
      </w:r>
      <w:r>
        <w:rPr>
          <w:rFonts w:ascii="宋体" w:hAnsi="宋体" w:eastAsia="宋体" w:cs="宋体"/>
          <w:spacing w:val="-2"/>
          <w:position w:val="2"/>
          <w:sz w:val="24"/>
          <w:szCs w:val="24"/>
        </w:rPr>
        <w:t>）《声环境功能区划分技术规范》（</w:t>
      </w:r>
      <w:r>
        <w:rPr>
          <w:rFonts w:ascii="Times New Roman" w:hAnsi="Times New Roman" w:eastAsia="Times New Roman" w:cs="Times New Roman"/>
          <w:spacing w:val="-2"/>
          <w:position w:val="2"/>
          <w:sz w:val="24"/>
          <w:szCs w:val="24"/>
        </w:rPr>
        <w:t>GB/T</w:t>
      </w:r>
      <w:r>
        <w:rPr>
          <w:rFonts w:ascii="Times New Roman" w:hAnsi="Times New Roman" w:eastAsia="Times New Roman" w:cs="Times New Roman"/>
          <w:spacing w:val="-31"/>
          <w:position w:val="2"/>
          <w:sz w:val="24"/>
          <w:szCs w:val="24"/>
        </w:rPr>
        <w:t xml:space="preserve"> </w:t>
      </w:r>
      <w:r>
        <w:rPr>
          <w:rFonts w:ascii="Times New Roman" w:hAnsi="Times New Roman" w:eastAsia="Times New Roman" w:cs="Times New Roman"/>
          <w:spacing w:val="-2"/>
          <w:position w:val="2"/>
          <w:sz w:val="24"/>
          <w:szCs w:val="24"/>
        </w:rPr>
        <w:t>15190-2014</w:t>
      </w:r>
      <w:r>
        <w:rPr>
          <w:rFonts w:ascii="宋体" w:hAnsi="宋体" w:eastAsia="宋体" w:cs="宋体"/>
          <w:spacing w:val="5"/>
          <w:position w:val="2"/>
          <w:sz w:val="24"/>
          <w:szCs w:val="24"/>
        </w:rPr>
        <w:t>）；</w:t>
      </w:r>
    </w:p>
    <w:p w14:paraId="2A5505B3">
      <w:pPr>
        <w:spacing w:before="130" w:line="361"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10</w:t>
      </w:r>
      <w:r>
        <w:rPr>
          <w:rFonts w:ascii="宋体" w:hAnsi="宋体" w:eastAsia="宋体" w:cs="宋体"/>
          <w:spacing w:val="-1"/>
          <w:position w:val="2"/>
          <w:sz w:val="24"/>
          <w:szCs w:val="24"/>
        </w:rPr>
        <w:t>）《工业企业设计卫生标准》（</w:t>
      </w:r>
      <w:r>
        <w:rPr>
          <w:rFonts w:ascii="Times New Roman" w:hAnsi="Times New Roman" w:eastAsia="Times New Roman" w:cs="Times New Roman"/>
          <w:spacing w:val="-1"/>
          <w:position w:val="2"/>
          <w:sz w:val="24"/>
          <w:szCs w:val="24"/>
        </w:rPr>
        <w:t>GBZ1-2010</w:t>
      </w:r>
      <w:r>
        <w:rPr>
          <w:rFonts w:ascii="宋体" w:hAnsi="宋体" w:eastAsia="宋体" w:cs="宋体"/>
          <w:position w:val="2"/>
          <w:sz w:val="24"/>
          <w:szCs w:val="24"/>
        </w:rPr>
        <w:t>）；</w:t>
      </w:r>
    </w:p>
    <w:p w14:paraId="678AEF44">
      <w:pPr>
        <w:spacing w:before="126" w:line="360" w:lineRule="exact"/>
        <w:ind w:left="502"/>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11</w:t>
      </w:r>
      <w:r>
        <w:rPr>
          <w:rFonts w:ascii="宋体" w:hAnsi="宋体" w:eastAsia="宋体" w:cs="宋体"/>
          <w:spacing w:val="-1"/>
          <w:position w:val="2"/>
          <w:sz w:val="24"/>
          <w:szCs w:val="24"/>
        </w:rPr>
        <w:t>）《畜禽养殖业污染防治技术规范》（</w:t>
      </w:r>
      <w:r>
        <w:rPr>
          <w:rFonts w:ascii="Times New Roman" w:hAnsi="Times New Roman" w:eastAsia="Times New Roman" w:cs="Times New Roman"/>
          <w:spacing w:val="-1"/>
          <w:position w:val="2"/>
          <w:sz w:val="24"/>
          <w:szCs w:val="24"/>
        </w:rPr>
        <w:t>HJ/T81-2001</w:t>
      </w:r>
      <w:r>
        <w:rPr>
          <w:rFonts w:ascii="宋体" w:hAnsi="宋体" w:eastAsia="宋体" w:cs="宋体"/>
          <w:spacing w:val="4"/>
          <w:position w:val="2"/>
          <w:sz w:val="24"/>
          <w:szCs w:val="24"/>
        </w:rPr>
        <w:t>）；</w:t>
      </w:r>
    </w:p>
    <w:p w14:paraId="3F67733F">
      <w:pPr>
        <w:spacing w:before="129" w:line="361"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12</w:t>
      </w:r>
      <w:r>
        <w:rPr>
          <w:rFonts w:ascii="宋体" w:hAnsi="宋体" w:eastAsia="宋体" w:cs="宋体"/>
          <w:spacing w:val="-1"/>
          <w:position w:val="2"/>
          <w:sz w:val="24"/>
          <w:szCs w:val="24"/>
        </w:rPr>
        <w:t>）《畜禽养殖业污染治理工程技术规范》（</w:t>
      </w:r>
      <w:r>
        <w:rPr>
          <w:rFonts w:ascii="Times New Roman" w:hAnsi="Times New Roman" w:eastAsia="Times New Roman" w:cs="Times New Roman"/>
          <w:spacing w:val="-1"/>
          <w:position w:val="2"/>
          <w:sz w:val="24"/>
          <w:szCs w:val="24"/>
        </w:rPr>
        <w:t>HJ497-2009</w:t>
      </w:r>
      <w:r>
        <w:rPr>
          <w:rFonts w:ascii="宋体" w:hAnsi="宋体" w:eastAsia="宋体" w:cs="宋体"/>
          <w:spacing w:val="4"/>
          <w:position w:val="2"/>
          <w:sz w:val="24"/>
          <w:szCs w:val="24"/>
        </w:rPr>
        <w:t>）；</w:t>
      </w:r>
    </w:p>
    <w:p w14:paraId="75C38B4B">
      <w:pPr>
        <w:spacing w:before="129" w:line="359"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13</w:t>
      </w:r>
      <w:r>
        <w:rPr>
          <w:rFonts w:ascii="宋体" w:hAnsi="宋体" w:eastAsia="宋体" w:cs="宋体"/>
          <w:spacing w:val="-2"/>
          <w:position w:val="2"/>
          <w:sz w:val="24"/>
          <w:szCs w:val="24"/>
        </w:rPr>
        <w:t>）《畜禽规模养殖污染防治条例》（国务院令</w:t>
      </w:r>
      <w:r>
        <w:rPr>
          <w:rFonts w:ascii="宋体" w:hAnsi="宋体" w:eastAsia="宋体" w:cs="宋体"/>
          <w:spacing w:val="-49"/>
          <w:position w:val="2"/>
          <w:sz w:val="24"/>
          <w:szCs w:val="24"/>
        </w:rPr>
        <w:t xml:space="preserve"> </w:t>
      </w:r>
      <w:r>
        <w:rPr>
          <w:rFonts w:ascii="Times New Roman" w:hAnsi="Times New Roman" w:eastAsia="Times New Roman" w:cs="Times New Roman"/>
          <w:spacing w:val="-2"/>
          <w:position w:val="2"/>
          <w:sz w:val="24"/>
          <w:szCs w:val="24"/>
        </w:rPr>
        <w:t>643</w:t>
      </w:r>
      <w:r>
        <w:rPr>
          <w:rFonts w:ascii="Times New Roman" w:hAnsi="Times New Roman" w:eastAsia="Times New Roman" w:cs="Times New Roman"/>
          <w:spacing w:val="15"/>
          <w:position w:val="2"/>
          <w:sz w:val="24"/>
          <w:szCs w:val="24"/>
        </w:rPr>
        <w:t xml:space="preserve"> </w:t>
      </w:r>
      <w:r>
        <w:rPr>
          <w:rFonts w:ascii="宋体" w:hAnsi="宋体" w:eastAsia="宋体" w:cs="宋体"/>
          <w:spacing w:val="-2"/>
          <w:position w:val="2"/>
          <w:sz w:val="24"/>
          <w:szCs w:val="24"/>
        </w:rPr>
        <w:t>号</w:t>
      </w:r>
      <w:r>
        <w:rPr>
          <w:rFonts w:ascii="宋体" w:hAnsi="宋体" w:eastAsia="宋体" w:cs="宋体"/>
          <w:spacing w:val="3"/>
          <w:position w:val="2"/>
          <w:sz w:val="24"/>
          <w:szCs w:val="24"/>
        </w:rPr>
        <w:t>）；</w:t>
      </w:r>
    </w:p>
    <w:p w14:paraId="75F39768">
      <w:pPr>
        <w:spacing w:before="130" w:line="313" w:lineRule="auto"/>
        <w:ind w:left="489" w:right="77" w:firstLine="5"/>
        <w:rPr>
          <w:rFonts w:ascii="宋体" w:hAnsi="宋体" w:eastAsia="宋体" w:cs="宋体"/>
          <w:sz w:val="24"/>
          <w:szCs w:val="24"/>
        </w:rPr>
      </w:pPr>
      <w:r>
        <w:rPr>
          <w:rFonts w:ascii="宋体" w:hAnsi="宋体" w:eastAsia="宋体" w:cs="宋体"/>
          <w:spacing w:val="-14"/>
          <w:sz w:val="24"/>
          <w:szCs w:val="24"/>
        </w:rPr>
        <w:t>（</w:t>
      </w:r>
      <w:r>
        <w:rPr>
          <w:rFonts w:ascii="Times New Roman" w:hAnsi="Times New Roman" w:eastAsia="Times New Roman" w:cs="Times New Roman"/>
          <w:spacing w:val="-14"/>
          <w:sz w:val="24"/>
          <w:szCs w:val="24"/>
        </w:rPr>
        <w:t>14</w:t>
      </w:r>
      <w:r>
        <w:rPr>
          <w:rFonts w:ascii="宋体" w:hAnsi="宋体" w:eastAsia="宋体" w:cs="宋体"/>
          <w:spacing w:val="-14"/>
          <w:sz w:val="24"/>
          <w:szCs w:val="24"/>
        </w:rPr>
        <w:t>）关于印发《病死及死因不明动物处置办法（试行）》的通知（农医发</w:t>
      </w:r>
      <w:r>
        <w:rPr>
          <w:rFonts w:ascii="Times New Roman" w:hAnsi="Times New Roman" w:eastAsia="Times New Roman" w:cs="Times New Roman"/>
          <w:spacing w:val="-14"/>
          <w:sz w:val="24"/>
          <w:szCs w:val="24"/>
        </w:rPr>
        <w:t>[2005]25</w:t>
      </w:r>
      <w:r>
        <w:rPr>
          <w:rFonts w:ascii="Times New Roman" w:hAnsi="Times New Roman" w:eastAsia="Times New Roman" w:cs="Times New Roman"/>
          <w:spacing w:val="17"/>
          <w:sz w:val="24"/>
          <w:szCs w:val="24"/>
        </w:rPr>
        <w:t xml:space="preserve"> </w:t>
      </w:r>
      <w:r>
        <w:rPr>
          <w:rFonts w:ascii="宋体" w:hAnsi="宋体" w:eastAsia="宋体" w:cs="宋体"/>
          <w:spacing w:val="-16"/>
          <w:sz w:val="24"/>
          <w:szCs w:val="24"/>
        </w:rPr>
        <w:t>号</w:t>
      </w:r>
      <w:r>
        <w:rPr>
          <w:rFonts w:ascii="宋体" w:hAnsi="宋体" w:eastAsia="宋体" w:cs="宋体"/>
          <w:sz w:val="24"/>
          <w:szCs w:val="24"/>
        </w:rPr>
        <w:t>）；</w:t>
      </w:r>
    </w:p>
    <w:p w14:paraId="753F44FE">
      <w:pPr>
        <w:spacing w:before="164"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15</w:t>
      </w:r>
      <w:r>
        <w:rPr>
          <w:rFonts w:ascii="宋体" w:hAnsi="宋体" w:eastAsia="宋体" w:cs="宋体"/>
          <w:spacing w:val="-1"/>
          <w:position w:val="2"/>
          <w:sz w:val="24"/>
          <w:szCs w:val="24"/>
        </w:rPr>
        <w:t>）《病死及病害动物无害化处理技术规范》（农医发〔</w:t>
      </w:r>
      <w:r>
        <w:rPr>
          <w:rFonts w:ascii="Times New Roman" w:hAnsi="Times New Roman" w:eastAsia="Times New Roman" w:cs="Times New Roman"/>
          <w:spacing w:val="-1"/>
          <w:position w:val="2"/>
          <w:sz w:val="24"/>
          <w:szCs w:val="24"/>
        </w:rPr>
        <w:t>2017</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w:t>
      </w:r>
      <w:r>
        <w:rPr>
          <w:rFonts w:ascii="Times New Roman" w:hAnsi="Times New Roman" w:eastAsia="Times New Roman" w:cs="Times New Roman"/>
          <w:spacing w:val="-2"/>
          <w:position w:val="2"/>
          <w:sz w:val="24"/>
          <w:szCs w:val="24"/>
        </w:rPr>
        <w:t>5</w:t>
      </w:r>
      <w:r>
        <w:rPr>
          <w:rFonts w:ascii="Times New Roman" w:hAnsi="Times New Roman" w:eastAsia="Times New Roman" w:cs="Times New Roman"/>
          <w:spacing w:val="15"/>
          <w:position w:val="2"/>
          <w:sz w:val="24"/>
          <w:szCs w:val="24"/>
        </w:rPr>
        <w:t xml:space="preserve"> </w:t>
      </w:r>
      <w:r>
        <w:rPr>
          <w:rFonts w:ascii="宋体" w:hAnsi="宋体" w:eastAsia="宋体" w:cs="宋体"/>
          <w:spacing w:val="-2"/>
          <w:position w:val="2"/>
          <w:sz w:val="24"/>
          <w:szCs w:val="24"/>
        </w:rPr>
        <w:t>号</w:t>
      </w:r>
      <w:r>
        <w:rPr>
          <w:rFonts w:ascii="宋体" w:hAnsi="宋体" w:eastAsia="宋体" w:cs="宋体"/>
          <w:position w:val="2"/>
          <w:sz w:val="24"/>
          <w:szCs w:val="24"/>
        </w:rPr>
        <w:t>）；</w:t>
      </w:r>
    </w:p>
    <w:p w14:paraId="44372A6E">
      <w:pPr>
        <w:spacing w:before="129" w:line="360" w:lineRule="exact"/>
        <w:jc w:val="right"/>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16</w:t>
      </w:r>
      <w:r>
        <w:rPr>
          <w:rFonts w:ascii="宋体" w:hAnsi="宋体" w:eastAsia="宋体" w:cs="宋体"/>
          <w:spacing w:val="-1"/>
          <w:position w:val="2"/>
          <w:sz w:val="24"/>
          <w:szCs w:val="24"/>
        </w:rPr>
        <w:t>）《农产品安全质量无公害畜禽肉产地环境要求》（</w:t>
      </w:r>
      <w:r>
        <w:rPr>
          <w:rFonts w:ascii="Times New Roman" w:hAnsi="Times New Roman" w:eastAsia="Times New Roman" w:cs="Times New Roman"/>
          <w:spacing w:val="-1"/>
          <w:position w:val="2"/>
          <w:sz w:val="24"/>
          <w:szCs w:val="24"/>
        </w:rPr>
        <w:t>GB/T</w:t>
      </w:r>
      <w:r>
        <w:rPr>
          <w:rFonts w:ascii="Times New Roman" w:hAnsi="Times New Roman" w:eastAsia="Times New Roman" w:cs="Times New Roman"/>
          <w:spacing w:val="-32"/>
          <w:position w:val="2"/>
          <w:sz w:val="24"/>
          <w:szCs w:val="24"/>
        </w:rPr>
        <w:t xml:space="preserve"> </w:t>
      </w:r>
      <w:r>
        <w:rPr>
          <w:rFonts w:ascii="Times New Roman" w:hAnsi="Times New Roman" w:eastAsia="Times New Roman" w:cs="Times New Roman"/>
          <w:spacing w:val="-1"/>
          <w:position w:val="2"/>
          <w:sz w:val="24"/>
          <w:szCs w:val="24"/>
        </w:rPr>
        <w:t>1</w:t>
      </w:r>
      <w:r>
        <w:rPr>
          <w:rFonts w:ascii="Times New Roman" w:hAnsi="Times New Roman" w:eastAsia="Times New Roman" w:cs="Times New Roman"/>
          <w:spacing w:val="-2"/>
          <w:position w:val="2"/>
          <w:sz w:val="24"/>
          <w:szCs w:val="24"/>
        </w:rPr>
        <w:t>8407.3-2001</w:t>
      </w:r>
      <w:r>
        <w:rPr>
          <w:rFonts w:ascii="宋体" w:hAnsi="宋体" w:eastAsia="宋体" w:cs="宋体"/>
          <w:spacing w:val="-30"/>
          <w:position w:val="2"/>
          <w:sz w:val="24"/>
          <w:szCs w:val="24"/>
        </w:rPr>
        <w:t>）；</w:t>
      </w:r>
    </w:p>
    <w:p w14:paraId="63001757">
      <w:pPr>
        <w:spacing w:before="130"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17</w:t>
      </w:r>
      <w:r>
        <w:rPr>
          <w:rFonts w:ascii="宋体" w:hAnsi="宋体" w:eastAsia="宋体" w:cs="宋体"/>
          <w:spacing w:val="-1"/>
          <w:position w:val="2"/>
          <w:sz w:val="24"/>
          <w:szCs w:val="24"/>
        </w:rPr>
        <w:t>）《无公害食品生猪饲养管理规则》（</w:t>
      </w:r>
      <w:r>
        <w:rPr>
          <w:rFonts w:ascii="Times New Roman" w:hAnsi="Times New Roman" w:eastAsia="Times New Roman" w:cs="Times New Roman"/>
          <w:spacing w:val="-1"/>
          <w:position w:val="2"/>
          <w:sz w:val="24"/>
          <w:szCs w:val="24"/>
        </w:rPr>
        <w:t>NY/T5033-2001</w:t>
      </w:r>
      <w:r>
        <w:rPr>
          <w:rFonts w:ascii="宋体" w:hAnsi="宋体" w:eastAsia="宋体" w:cs="宋体"/>
          <w:spacing w:val="4"/>
          <w:position w:val="2"/>
          <w:sz w:val="24"/>
          <w:szCs w:val="24"/>
        </w:rPr>
        <w:t>）；</w:t>
      </w:r>
    </w:p>
    <w:p w14:paraId="541F6B37">
      <w:pPr>
        <w:spacing w:before="127" w:line="360" w:lineRule="exact"/>
        <w:ind w:left="495"/>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18</w:t>
      </w:r>
      <w:r>
        <w:rPr>
          <w:rFonts w:ascii="宋体" w:hAnsi="宋体" w:eastAsia="宋体" w:cs="宋体"/>
          <w:spacing w:val="-1"/>
          <w:position w:val="2"/>
          <w:sz w:val="24"/>
          <w:szCs w:val="24"/>
        </w:rPr>
        <w:t>）《无公害食品畜禽饮用水水质》（</w:t>
      </w:r>
      <w:r>
        <w:rPr>
          <w:rFonts w:ascii="Times New Roman" w:hAnsi="Times New Roman" w:eastAsia="Times New Roman" w:cs="Times New Roman"/>
          <w:spacing w:val="-1"/>
          <w:position w:val="2"/>
          <w:sz w:val="24"/>
          <w:szCs w:val="24"/>
        </w:rPr>
        <w:t>NY5027-2001</w:t>
      </w:r>
      <w:r>
        <w:rPr>
          <w:rFonts w:ascii="宋体" w:hAnsi="宋体" w:eastAsia="宋体" w:cs="宋体"/>
          <w:spacing w:val="-1"/>
          <w:position w:val="2"/>
          <w:sz w:val="24"/>
          <w:szCs w:val="24"/>
        </w:rPr>
        <w:t>）。</w:t>
      </w:r>
    </w:p>
    <w:p w14:paraId="283924F2">
      <w:pPr>
        <w:spacing w:before="16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2.1.4</w:t>
      </w:r>
      <w:r>
        <w:rPr>
          <w:rFonts w:ascii="宋体" w:hAnsi="宋体" w:eastAsia="宋体" w:cs="宋体"/>
          <w:b/>
          <w:bCs/>
          <w:spacing w:val="-2"/>
          <w:sz w:val="24"/>
          <w:szCs w:val="24"/>
        </w:rPr>
        <w:t>其他依据</w:t>
      </w:r>
    </w:p>
    <w:p w14:paraId="08357A99">
      <w:pPr>
        <w:spacing w:before="78" w:line="358" w:lineRule="exact"/>
        <w:ind w:left="439"/>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w:t>
      </w:r>
      <w:r>
        <w:rPr>
          <w:rFonts w:ascii="宋体" w:hAnsi="宋体" w:eastAsia="宋体" w:cs="宋体"/>
          <w:spacing w:val="-1"/>
          <w:position w:val="2"/>
          <w:sz w:val="24"/>
          <w:szCs w:val="24"/>
        </w:rPr>
        <w:t>）《汕尾市天磊联信种养有限公司生猪养殖项目》环境影响评价委托书；</w:t>
      </w:r>
    </w:p>
    <w:p w14:paraId="1F287010">
      <w:pPr>
        <w:spacing w:before="107" w:line="359" w:lineRule="exact"/>
        <w:ind w:left="439"/>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）相关监测报告；</w:t>
      </w:r>
    </w:p>
    <w:p w14:paraId="4E19D5B2">
      <w:pPr>
        <w:spacing w:before="109" w:line="360" w:lineRule="exact"/>
        <w:ind w:left="439"/>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）建设单位提供的其他相关资料。</w:t>
      </w:r>
    </w:p>
    <w:p w14:paraId="4CD13A10">
      <w:pPr>
        <w:pStyle w:val="2"/>
        <w:spacing w:line="431" w:lineRule="auto"/>
      </w:pPr>
    </w:p>
    <w:p w14:paraId="59BC61CE">
      <w:pPr>
        <w:spacing w:before="100" w:line="224" w:lineRule="auto"/>
        <w:ind w:left="1"/>
        <w:outlineLvl w:val="1"/>
        <w:rPr>
          <w:rFonts w:ascii="宋体" w:hAnsi="宋体" w:eastAsia="宋体" w:cs="宋体"/>
          <w:sz w:val="31"/>
          <w:szCs w:val="31"/>
        </w:rPr>
      </w:pPr>
      <w:bookmarkStart w:id="11" w:name="bookmark10"/>
      <w:bookmarkEnd w:id="11"/>
      <w:r>
        <w:rPr>
          <w:rFonts w:ascii="Times New Roman" w:hAnsi="Times New Roman" w:eastAsia="Times New Roman" w:cs="Times New Roman"/>
          <w:b/>
          <w:bCs/>
          <w:spacing w:val="6"/>
          <w:sz w:val="31"/>
          <w:szCs w:val="31"/>
        </w:rPr>
        <w:t>2.2</w:t>
      </w:r>
      <w:r>
        <w:rPr>
          <w:rFonts w:ascii="宋体" w:hAnsi="宋体" w:eastAsia="宋体" w:cs="宋体"/>
          <w:b/>
          <w:bCs/>
          <w:spacing w:val="6"/>
          <w:sz w:val="31"/>
          <w:szCs w:val="31"/>
        </w:rPr>
        <w:t>评价目的、原则和方法</w:t>
      </w:r>
    </w:p>
    <w:p w14:paraId="78A0362C">
      <w:pPr>
        <w:pStyle w:val="2"/>
        <w:spacing w:line="412" w:lineRule="auto"/>
      </w:pPr>
    </w:p>
    <w:p w14:paraId="2E8C483B">
      <w:pPr>
        <w:spacing w:before="79"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2.2.1</w:t>
      </w:r>
      <w:r>
        <w:rPr>
          <w:rFonts w:ascii="宋体" w:hAnsi="宋体" w:eastAsia="宋体" w:cs="宋体"/>
          <w:b/>
          <w:bCs/>
          <w:spacing w:val="-2"/>
          <w:sz w:val="24"/>
          <w:szCs w:val="24"/>
        </w:rPr>
        <w:t>评价目的</w:t>
      </w:r>
    </w:p>
    <w:p w14:paraId="179C43E8">
      <w:pPr>
        <w:spacing w:before="166" w:line="312" w:lineRule="auto"/>
        <w:ind w:left="2" w:right="80"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）了解养殖基地运营过程中污染源产排状况及存在的环保问题，有针对性地</w:t>
      </w:r>
      <w:r>
        <w:rPr>
          <w:rFonts w:ascii="宋体" w:hAnsi="宋体" w:eastAsia="宋体" w:cs="宋体"/>
          <w:spacing w:val="16"/>
          <w:sz w:val="24"/>
          <w:szCs w:val="24"/>
        </w:rPr>
        <w:t xml:space="preserve"> </w:t>
      </w:r>
      <w:r>
        <w:rPr>
          <w:rFonts w:ascii="宋体" w:hAnsi="宋体" w:eastAsia="宋体" w:cs="宋体"/>
          <w:spacing w:val="-1"/>
          <w:sz w:val="24"/>
          <w:szCs w:val="24"/>
        </w:rPr>
        <w:t>对拟建项目提出相应的环境保护措施；</w:t>
      </w:r>
    </w:p>
    <w:p w14:paraId="01D750D7">
      <w:pPr>
        <w:spacing w:before="168" w:line="312" w:lineRule="auto"/>
        <w:ind w:left="5" w:firstLine="48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）通过本项目所在地现场勘查及资料分析，查清项目所在地周围的自然环境、</w:t>
      </w:r>
      <w:r>
        <w:rPr>
          <w:rFonts w:ascii="宋体" w:hAnsi="宋体" w:eastAsia="宋体" w:cs="宋体"/>
          <w:spacing w:val="3"/>
          <w:sz w:val="24"/>
          <w:szCs w:val="24"/>
        </w:rPr>
        <w:t xml:space="preserve"> </w:t>
      </w:r>
      <w:r>
        <w:rPr>
          <w:rFonts w:ascii="宋体" w:hAnsi="宋体" w:eastAsia="宋体" w:cs="宋体"/>
          <w:sz w:val="24"/>
          <w:szCs w:val="24"/>
        </w:rPr>
        <w:t>社会经济及环境质量现状，确定主要保护目</w:t>
      </w:r>
      <w:r>
        <w:rPr>
          <w:rFonts w:ascii="宋体" w:hAnsi="宋体" w:eastAsia="宋体" w:cs="宋体"/>
          <w:spacing w:val="-1"/>
          <w:sz w:val="24"/>
          <w:szCs w:val="24"/>
        </w:rPr>
        <w:t>标，判断区域有无环境容量；</w:t>
      </w:r>
    </w:p>
    <w:p w14:paraId="685C8BC4">
      <w:pPr>
        <w:spacing w:before="167" w:line="312" w:lineRule="auto"/>
        <w:ind w:left="4" w:right="77"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）通过类比调查、工程分析，摸清拟建</w:t>
      </w:r>
      <w:r>
        <w:rPr>
          <w:rFonts w:ascii="宋体" w:hAnsi="宋体" w:eastAsia="宋体" w:cs="宋体"/>
          <w:spacing w:val="-2"/>
          <w:sz w:val="24"/>
          <w:szCs w:val="24"/>
        </w:rPr>
        <w:t>项目的规模和主要内容，分析施工期</w:t>
      </w:r>
      <w:r>
        <w:rPr>
          <w:rFonts w:ascii="宋体" w:hAnsi="宋体" w:eastAsia="宋体" w:cs="宋体"/>
          <w:sz w:val="24"/>
          <w:szCs w:val="24"/>
        </w:rPr>
        <w:t xml:space="preserve"> </w:t>
      </w:r>
      <w:r>
        <w:rPr>
          <w:rFonts w:ascii="宋体" w:hAnsi="宋体" w:eastAsia="宋体" w:cs="宋体"/>
          <w:spacing w:val="2"/>
          <w:sz w:val="24"/>
          <w:szCs w:val="24"/>
        </w:rPr>
        <w:t>和营运期的主要污染环节、污染类型、排污方式及污染程度，预测对环境的影响范</w:t>
      </w:r>
    </w:p>
    <w:p w14:paraId="25D95269">
      <w:pPr>
        <w:spacing w:line="312" w:lineRule="auto"/>
        <w:rPr>
          <w:rFonts w:ascii="宋体" w:hAnsi="宋体" w:eastAsia="宋体" w:cs="宋体"/>
          <w:sz w:val="24"/>
          <w:szCs w:val="24"/>
        </w:rPr>
        <w:sectPr>
          <w:footerReference r:id="rId33" w:type="default"/>
          <w:pgSz w:w="11906" w:h="16839"/>
          <w:pgMar w:top="1431" w:right="1508" w:bottom="1485" w:left="1594" w:header="0" w:footer="1249" w:gutter="0"/>
          <w:cols w:space="720" w:num="1"/>
        </w:sectPr>
      </w:pPr>
    </w:p>
    <w:p w14:paraId="7E246476">
      <w:pPr>
        <w:spacing w:before="111" w:line="362" w:lineRule="auto"/>
        <w:ind w:left="2" w:firstLine="22"/>
        <w:rPr>
          <w:rFonts w:ascii="宋体" w:hAnsi="宋体" w:eastAsia="宋体" w:cs="宋体"/>
          <w:sz w:val="24"/>
          <w:szCs w:val="24"/>
        </w:rPr>
      </w:pPr>
      <w:r>
        <w:rPr>
          <w:rFonts w:ascii="宋体" w:hAnsi="宋体" w:eastAsia="宋体" w:cs="宋体"/>
          <w:spacing w:val="2"/>
          <w:sz w:val="24"/>
          <w:szCs w:val="24"/>
        </w:rPr>
        <w:t>围，提出切实可行的污染防治措施，在达标排</w:t>
      </w:r>
      <w:r>
        <w:rPr>
          <w:rFonts w:ascii="宋体" w:hAnsi="宋体" w:eastAsia="宋体" w:cs="宋体"/>
          <w:spacing w:val="1"/>
          <w:sz w:val="24"/>
          <w:szCs w:val="24"/>
        </w:rPr>
        <w:t>放的前提下，制定污染物排放的总量</w:t>
      </w:r>
      <w:r>
        <w:rPr>
          <w:rFonts w:ascii="宋体" w:hAnsi="宋体" w:eastAsia="宋体" w:cs="宋体"/>
          <w:sz w:val="24"/>
          <w:szCs w:val="24"/>
        </w:rPr>
        <w:t xml:space="preserve"> </w:t>
      </w:r>
      <w:r>
        <w:rPr>
          <w:rFonts w:ascii="宋体" w:hAnsi="宋体" w:eastAsia="宋体" w:cs="宋体"/>
          <w:spacing w:val="-2"/>
          <w:sz w:val="24"/>
          <w:szCs w:val="24"/>
        </w:rPr>
        <w:t>控制指标；</w:t>
      </w:r>
    </w:p>
    <w:p w14:paraId="045DF557">
      <w:pPr>
        <w:spacing w:before="2" w:line="312" w:lineRule="auto"/>
        <w:ind w:left="2"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）从技术、经济角度分析和论证拟采取的环保措施的可行性，必要时提出替</w:t>
      </w:r>
      <w:r>
        <w:rPr>
          <w:rFonts w:ascii="宋体" w:hAnsi="宋体" w:eastAsia="宋体" w:cs="宋体"/>
          <w:spacing w:val="16"/>
          <w:sz w:val="24"/>
          <w:szCs w:val="24"/>
        </w:rPr>
        <w:t xml:space="preserve"> </w:t>
      </w:r>
      <w:r>
        <w:rPr>
          <w:rFonts w:ascii="宋体" w:hAnsi="宋体" w:eastAsia="宋体" w:cs="宋体"/>
          <w:spacing w:val="-3"/>
          <w:sz w:val="24"/>
          <w:szCs w:val="24"/>
        </w:rPr>
        <w:t>代方案；</w:t>
      </w:r>
    </w:p>
    <w:p w14:paraId="3ED6D4EC">
      <w:pPr>
        <w:spacing w:before="200" w:line="299" w:lineRule="auto"/>
        <w:ind w:left="1" w:firstLine="49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）明确拟建项目所处位置是否符合规划要求，并且对拟建项目选址及平面布</w:t>
      </w:r>
      <w:r>
        <w:rPr>
          <w:rFonts w:ascii="宋体" w:hAnsi="宋体" w:eastAsia="宋体" w:cs="宋体"/>
          <w:spacing w:val="16"/>
          <w:sz w:val="24"/>
          <w:szCs w:val="24"/>
        </w:rPr>
        <w:t xml:space="preserve"> </w:t>
      </w:r>
      <w:r>
        <w:rPr>
          <w:rFonts w:ascii="宋体" w:hAnsi="宋体" w:eastAsia="宋体" w:cs="宋体"/>
          <w:spacing w:val="-1"/>
          <w:sz w:val="24"/>
          <w:szCs w:val="24"/>
        </w:rPr>
        <w:t>置合理性进行分析；</w:t>
      </w:r>
    </w:p>
    <w:p w14:paraId="2EFCC909">
      <w:pPr>
        <w:spacing w:before="166" w:line="312" w:lineRule="auto"/>
        <w:ind w:left="4"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）从环境保护角度对拟建项目建设的可行性作出明确结论，为主管部门决策</w:t>
      </w:r>
      <w:r>
        <w:rPr>
          <w:rFonts w:ascii="宋体" w:hAnsi="宋体" w:eastAsia="宋体" w:cs="宋体"/>
          <w:spacing w:val="16"/>
          <w:sz w:val="24"/>
          <w:szCs w:val="24"/>
        </w:rPr>
        <w:t xml:space="preserve"> </w:t>
      </w:r>
      <w:r>
        <w:rPr>
          <w:rFonts w:ascii="宋体" w:hAnsi="宋体" w:eastAsia="宋体" w:cs="宋体"/>
          <w:spacing w:val="-2"/>
          <w:sz w:val="24"/>
          <w:szCs w:val="24"/>
        </w:rPr>
        <w:t>和环境管理提供依据。</w:t>
      </w:r>
    </w:p>
    <w:p w14:paraId="41B9D1DD">
      <w:pPr>
        <w:spacing w:before="201"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2.2.2</w:t>
      </w:r>
      <w:r>
        <w:rPr>
          <w:rFonts w:ascii="宋体" w:hAnsi="宋体" w:eastAsia="宋体" w:cs="宋体"/>
          <w:b/>
          <w:bCs/>
          <w:spacing w:val="-2"/>
          <w:sz w:val="24"/>
          <w:szCs w:val="24"/>
        </w:rPr>
        <w:t>评价原则</w:t>
      </w:r>
    </w:p>
    <w:p w14:paraId="7E40C564">
      <w:pPr>
        <w:spacing w:before="205" w:line="362" w:lineRule="auto"/>
        <w:ind w:left="6" w:firstLine="477"/>
        <w:rPr>
          <w:rFonts w:ascii="宋体" w:hAnsi="宋体" w:eastAsia="宋体" w:cs="宋体"/>
          <w:sz w:val="24"/>
          <w:szCs w:val="24"/>
        </w:rPr>
      </w:pPr>
      <w:r>
        <w:rPr>
          <w:rFonts w:ascii="宋体" w:hAnsi="宋体" w:eastAsia="宋体" w:cs="宋体"/>
          <w:spacing w:val="2"/>
          <w:sz w:val="24"/>
          <w:szCs w:val="24"/>
        </w:rPr>
        <w:t>根据本次评价的目的，同时保证评价工作的客观性、公正性和科学性，在实施</w:t>
      </w:r>
      <w:r>
        <w:rPr>
          <w:rFonts w:ascii="宋体" w:hAnsi="宋体" w:eastAsia="宋体" w:cs="宋体"/>
          <w:spacing w:val="10"/>
          <w:sz w:val="24"/>
          <w:szCs w:val="24"/>
        </w:rPr>
        <w:t xml:space="preserve"> </w:t>
      </w:r>
      <w:r>
        <w:rPr>
          <w:rFonts w:ascii="宋体" w:hAnsi="宋体" w:eastAsia="宋体" w:cs="宋体"/>
          <w:spacing w:val="-1"/>
          <w:sz w:val="24"/>
          <w:szCs w:val="24"/>
        </w:rPr>
        <w:t>建设项目环境影响评价工作的过程中，把握以下原则：</w:t>
      </w:r>
    </w:p>
    <w:p w14:paraId="42366B8B">
      <w:pPr>
        <w:spacing w:line="358" w:lineRule="exact"/>
        <w:ind w:left="502"/>
        <w:rPr>
          <w:rFonts w:ascii="宋体" w:hAnsi="宋体" w:eastAsia="宋体" w:cs="宋体"/>
          <w:sz w:val="24"/>
          <w:szCs w:val="24"/>
        </w:rPr>
      </w:pPr>
      <w:r>
        <w:rPr>
          <w:rFonts w:ascii="Times New Roman" w:hAnsi="Times New Roman" w:eastAsia="Times New Roman" w:cs="Times New Roman"/>
          <w:spacing w:val="-10"/>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10"/>
          <w:position w:val="2"/>
          <w:sz w:val="24"/>
          <w:szCs w:val="24"/>
        </w:rPr>
        <w:t>、依法评价</w:t>
      </w:r>
    </w:p>
    <w:p w14:paraId="707CF0B1">
      <w:pPr>
        <w:spacing w:before="167" w:line="362" w:lineRule="auto"/>
        <w:ind w:left="3" w:right="56" w:firstLine="485"/>
        <w:rPr>
          <w:rFonts w:ascii="宋体" w:hAnsi="宋体" w:eastAsia="宋体" w:cs="宋体"/>
          <w:sz w:val="24"/>
          <w:szCs w:val="24"/>
        </w:rPr>
      </w:pPr>
      <w:r>
        <w:rPr>
          <w:rFonts w:ascii="宋体" w:hAnsi="宋体" w:eastAsia="宋体" w:cs="宋体"/>
          <w:sz w:val="24"/>
          <w:szCs w:val="24"/>
        </w:rPr>
        <w:t>贯彻执行我国环境保护相关法律法规、标准、政策和规划等，优化项目建设，</w:t>
      </w:r>
      <w:r>
        <w:rPr>
          <w:rFonts w:ascii="宋体" w:hAnsi="宋体" w:eastAsia="宋体" w:cs="宋体"/>
          <w:spacing w:val="15"/>
          <w:sz w:val="24"/>
          <w:szCs w:val="24"/>
        </w:rPr>
        <w:t xml:space="preserve"> </w:t>
      </w:r>
      <w:r>
        <w:rPr>
          <w:rFonts w:ascii="宋体" w:hAnsi="宋体" w:eastAsia="宋体" w:cs="宋体"/>
          <w:spacing w:val="-2"/>
          <w:sz w:val="24"/>
          <w:szCs w:val="24"/>
        </w:rPr>
        <w:t>服务环境管理。</w:t>
      </w:r>
    </w:p>
    <w:p w14:paraId="34D3F4CC">
      <w:pPr>
        <w:spacing w:line="358" w:lineRule="exact"/>
        <w:ind w:left="479"/>
        <w:rPr>
          <w:rFonts w:ascii="宋体" w:hAnsi="宋体" w:eastAsia="宋体" w:cs="宋体"/>
          <w:sz w:val="24"/>
          <w:szCs w:val="24"/>
        </w:rPr>
      </w:pPr>
      <w:r>
        <w:rPr>
          <w:rFonts w:ascii="Times New Roman" w:hAnsi="Times New Roman" w:eastAsia="Times New Roman" w:cs="Times New Roman"/>
          <w:spacing w:val="-6"/>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6"/>
          <w:position w:val="2"/>
          <w:sz w:val="24"/>
          <w:szCs w:val="24"/>
        </w:rPr>
        <w:t>、科学评价</w:t>
      </w:r>
    </w:p>
    <w:p w14:paraId="0A6CDEC3">
      <w:pPr>
        <w:spacing w:before="169" w:line="219" w:lineRule="auto"/>
        <w:ind w:left="484"/>
        <w:rPr>
          <w:rFonts w:ascii="宋体" w:hAnsi="宋体" w:eastAsia="宋体" w:cs="宋体"/>
          <w:sz w:val="24"/>
          <w:szCs w:val="24"/>
        </w:rPr>
      </w:pPr>
      <w:r>
        <w:rPr>
          <w:rFonts w:ascii="宋体" w:hAnsi="宋体" w:eastAsia="宋体" w:cs="宋体"/>
          <w:spacing w:val="-1"/>
          <w:sz w:val="24"/>
          <w:szCs w:val="24"/>
        </w:rPr>
        <w:t>规范环境影响评价方法，科学分析项目建设对环境质量的影响。</w:t>
      </w:r>
    </w:p>
    <w:p w14:paraId="40697D5E">
      <w:pPr>
        <w:spacing w:before="167" w:line="365" w:lineRule="exact"/>
        <w:ind w:left="484"/>
        <w:rPr>
          <w:rFonts w:ascii="宋体" w:hAnsi="宋体" w:eastAsia="宋体" w:cs="宋体"/>
          <w:sz w:val="24"/>
          <w:szCs w:val="24"/>
        </w:rPr>
      </w:pPr>
      <w:r>
        <w:rPr>
          <w:rFonts w:ascii="Times New Roman" w:hAnsi="Times New Roman" w:eastAsia="Times New Roman" w:cs="Times New Roman"/>
          <w:spacing w:val="-6"/>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6"/>
          <w:position w:val="2"/>
          <w:sz w:val="24"/>
          <w:szCs w:val="24"/>
        </w:rPr>
        <w:t>、突出重点</w:t>
      </w:r>
    </w:p>
    <w:p w14:paraId="1C4B0331">
      <w:pPr>
        <w:spacing w:before="160" w:line="376" w:lineRule="auto"/>
        <w:ind w:left="4" w:firstLine="479"/>
        <w:rPr>
          <w:rFonts w:ascii="宋体" w:hAnsi="宋体" w:eastAsia="宋体" w:cs="宋体"/>
          <w:sz w:val="24"/>
          <w:szCs w:val="24"/>
        </w:rPr>
      </w:pPr>
      <w:r>
        <w:rPr>
          <w:rFonts w:ascii="宋体" w:hAnsi="宋体" w:eastAsia="宋体" w:cs="宋体"/>
          <w:spacing w:val="2"/>
          <w:sz w:val="24"/>
          <w:szCs w:val="24"/>
        </w:rPr>
        <w:t>根据建设项目的工程内容及其特点，明确与环境要素间的作用效应关系，根据</w:t>
      </w:r>
      <w:r>
        <w:rPr>
          <w:rFonts w:ascii="宋体" w:hAnsi="宋体" w:eastAsia="宋体" w:cs="宋体"/>
          <w:spacing w:val="10"/>
          <w:sz w:val="24"/>
          <w:szCs w:val="24"/>
        </w:rPr>
        <w:t xml:space="preserve"> </w:t>
      </w:r>
      <w:r>
        <w:rPr>
          <w:rFonts w:ascii="宋体" w:hAnsi="宋体" w:eastAsia="宋体" w:cs="宋体"/>
          <w:spacing w:val="2"/>
          <w:sz w:val="24"/>
          <w:szCs w:val="24"/>
        </w:rPr>
        <w:t>规划环境影响评价结论和审查意见，充分利用符合时效的数据资料及成果，对建设</w:t>
      </w:r>
      <w:r>
        <w:rPr>
          <w:rFonts w:ascii="宋体" w:hAnsi="宋体" w:eastAsia="宋体" w:cs="宋体"/>
          <w:spacing w:val="5"/>
          <w:sz w:val="24"/>
          <w:szCs w:val="24"/>
        </w:rPr>
        <w:t xml:space="preserve"> </w:t>
      </w:r>
      <w:r>
        <w:rPr>
          <w:rFonts w:ascii="宋体" w:hAnsi="宋体" w:eastAsia="宋体" w:cs="宋体"/>
          <w:spacing w:val="-1"/>
          <w:sz w:val="24"/>
          <w:szCs w:val="24"/>
        </w:rPr>
        <w:t>项目主要环境影响予以重点分析和评价。</w:t>
      </w:r>
    </w:p>
    <w:p w14:paraId="1483E34C">
      <w:pPr>
        <w:spacing w:before="1" w:line="218"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2.2.3</w:t>
      </w:r>
      <w:r>
        <w:rPr>
          <w:rFonts w:ascii="宋体" w:hAnsi="宋体" w:eastAsia="宋体" w:cs="宋体"/>
          <w:b/>
          <w:bCs/>
          <w:spacing w:val="-2"/>
          <w:sz w:val="24"/>
          <w:szCs w:val="24"/>
        </w:rPr>
        <w:t>评价方法</w:t>
      </w:r>
    </w:p>
    <w:p w14:paraId="68FE0120">
      <w:pPr>
        <w:spacing w:before="171" w:line="311" w:lineRule="auto"/>
        <w:ind w:left="4"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）环境现状评价：主要采用现场勘察、历史数据收集并进行必要的现场补充</w:t>
      </w:r>
      <w:r>
        <w:rPr>
          <w:rFonts w:ascii="宋体" w:hAnsi="宋体" w:eastAsia="宋体" w:cs="宋体"/>
          <w:spacing w:val="16"/>
          <w:sz w:val="24"/>
          <w:szCs w:val="24"/>
        </w:rPr>
        <w:t xml:space="preserve"> </w:t>
      </w:r>
      <w:r>
        <w:rPr>
          <w:rFonts w:ascii="宋体" w:hAnsi="宋体" w:eastAsia="宋体" w:cs="宋体"/>
          <w:spacing w:val="-1"/>
          <w:sz w:val="24"/>
          <w:szCs w:val="24"/>
        </w:rPr>
        <w:t>监测，通过对监测数据进行统计和处理进行拟建地环境现状评价。</w:t>
      </w:r>
    </w:p>
    <w:p w14:paraId="6E5FE2DB">
      <w:pPr>
        <w:spacing w:before="166" w:line="334" w:lineRule="auto"/>
        <w:ind w:left="103" w:firstLine="37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）环境影响预测分析和评价：采用数学模型、类比实测和专业判断法等技术</w:t>
      </w:r>
      <w:r>
        <w:rPr>
          <w:rFonts w:ascii="宋体" w:hAnsi="宋体" w:eastAsia="宋体" w:cs="宋体"/>
          <w:spacing w:val="1"/>
          <w:sz w:val="24"/>
          <w:szCs w:val="24"/>
        </w:rPr>
        <w:t xml:space="preserve"> </w:t>
      </w:r>
      <w:r>
        <w:rPr>
          <w:rFonts w:ascii="宋体" w:hAnsi="宋体" w:eastAsia="宋体" w:cs="宋体"/>
          <w:spacing w:val="-1"/>
          <w:sz w:val="24"/>
          <w:szCs w:val="24"/>
        </w:rPr>
        <w:t>方法，分析建设项目污染物排放对周围环境的影响程度及达标情况，提出环保措施</w:t>
      </w:r>
      <w:r>
        <w:rPr>
          <w:rFonts w:ascii="宋体" w:hAnsi="宋体" w:eastAsia="宋体" w:cs="宋体"/>
          <w:spacing w:val="14"/>
          <w:sz w:val="24"/>
          <w:szCs w:val="24"/>
        </w:rPr>
        <w:t xml:space="preserve"> </w:t>
      </w:r>
      <w:r>
        <w:rPr>
          <w:rFonts w:ascii="宋体" w:hAnsi="宋体" w:eastAsia="宋体" w:cs="宋体"/>
          <w:spacing w:val="-3"/>
          <w:sz w:val="24"/>
          <w:szCs w:val="24"/>
        </w:rPr>
        <w:t>及建议。</w:t>
      </w:r>
    </w:p>
    <w:p w14:paraId="31462AD2">
      <w:pPr>
        <w:spacing w:line="334" w:lineRule="auto"/>
        <w:rPr>
          <w:rFonts w:ascii="宋体" w:hAnsi="宋体" w:eastAsia="宋体" w:cs="宋体"/>
          <w:sz w:val="24"/>
          <w:szCs w:val="24"/>
        </w:rPr>
        <w:sectPr>
          <w:footerReference r:id="rId34" w:type="default"/>
          <w:pgSz w:w="11906" w:h="16839"/>
          <w:pgMar w:top="1431" w:right="1588" w:bottom="1485" w:left="1594" w:header="0" w:footer="1249" w:gutter="0"/>
          <w:cols w:space="720" w:num="1"/>
        </w:sectPr>
      </w:pPr>
    </w:p>
    <w:p w14:paraId="133849A2">
      <w:pPr>
        <w:spacing w:before="156" w:line="226" w:lineRule="auto"/>
        <w:ind w:left="2"/>
        <w:outlineLvl w:val="1"/>
        <w:rPr>
          <w:rFonts w:ascii="宋体" w:hAnsi="宋体" w:eastAsia="宋体" w:cs="宋体"/>
          <w:sz w:val="31"/>
          <w:szCs w:val="31"/>
        </w:rPr>
      </w:pPr>
      <w:bookmarkStart w:id="12" w:name="bookmark11"/>
      <w:bookmarkEnd w:id="12"/>
      <w:r>
        <w:rPr>
          <w:rFonts w:ascii="Times New Roman" w:hAnsi="Times New Roman" w:eastAsia="Times New Roman" w:cs="Times New Roman"/>
          <w:b/>
          <w:bCs/>
          <w:spacing w:val="5"/>
          <w:sz w:val="31"/>
          <w:szCs w:val="31"/>
        </w:rPr>
        <w:t>2.3</w:t>
      </w:r>
      <w:r>
        <w:rPr>
          <w:rFonts w:ascii="宋体" w:hAnsi="宋体" w:eastAsia="宋体" w:cs="宋体"/>
          <w:b/>
          <w:bCs/>
          <w:spacing w:val="5"/>
          <w:sz w:val="31"/>
          <w:szCs w:val="31"/>
        </w:rPr>
        <w:t>环境功能区划</w:t>
      </w:r>
    </w:p>
    <w:p w14:paraId="39D2D4BA">
      <w:pPr>
        <w:pStyle w:val="2"/>
        <w:spacing w:line="406" w:lineRule="auto"/>
      </w:pPr>
    </w:p>
    <w:p w14:paraId="0DE8EF2B">
      <w:pPr>
        <w:spacing w:before="78"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2.3.1</w:t>
      </w:r>
      <w:r>
        <w:rPr>
          <w:rFonts w:ascii="宋体" w:hAnsi="宋体" w:eastAsia="宋体" w:cs="宋体"/>
          <w:b/>
          <w:bCs/>
          <w:spacing w:val="-2"/>
          <w:sz w:val="24"/>
          <w:szCs w:val="24"/>
        </w:rPr>
        <w:t>地表水环境功能区区划</w:t>
      </w:r>
    </w:p>
    <w:p w14:paraId="4ED9818D">
      <w:pPr>
        <w:spacing w:before="204" w:line="376" w:lineRule="auto"/>
        <w:ind w:left="5" w:right="219" w:firstLine="480"/>
        <w:jc w:val="both"/>
        <w:rPr>
          <w:rFonts w:ascii="宋体" w:hAnsi="宋体" w:eastAsia="宋体" w:cs="宋体"/>
          <w:sz w:val="24"/>
          <w:szCs w:val="24"/>
        </w:rPr>
      </w:pPr>
      <w:r>
        <w:rPr>
          <w:rFonts w:ascii="宋体" w:hAnsi="宋体" w:eastAsia="宋体" w:cs="宋体"/>
          <w:spacing w:val="2"/>
          <w:sz w:val="24"/>
          <w:szCs w:val="24"/>
        </w:rPr>
        <w:t>本项目猪只尿液、猪舍冲洗水与猪粪一起收集，经异位发酵床发酵制作有机肥</w:t>
      </w:r>
      <w:r>
        <w:rPr>
          <w:rFonts w:ascii="宋体" w:hAnsi="宋体" w:eastAsia="宋体" w:cs="宋体"/>
          <w:spacing w:val="9"/>
          <w:sz w:val="24"/>
          <w:szCs w:val="24"/>
        </w:rPr>
        <w:t xml:space="preserve"> </w:t>
      </w:r>
      <w:r>
        <w:rPr>
          <w:rFonts w:ascii="宋体" w:hAnsi="宋体" w:eastAsia="宋体" w:cs="宋体"/>
          <w:spacing w:val="2"/>
          <w:sz w:val="24"/>
          <w:szCs w:val="24"/>
        </w:rPr>
        <w:t>半成品外售，不单独收集，不外排。项目产生的生活污水与猪只粪污一起经异位发</w:t>
      </w:r>
      <w:r>
        <w:rPr>
          <w:rFonts w:ascii="宋体" w:hAnsi="宋体" w:eastAsia="宋体" w:cs="宋体"/>
          <w:spacing w:val="5"/>
          <w:sz w:val="24"/>
          <w:szCs w:val="24"/>
        </w:rPr>
        <w:t xml:space="preserve"> </w:t>
      </w:r>
      <w:r>
        <w:rPr>
          <w:rFonts w:ascii="宋体" w:hAnsi="宋体" w:eastAsia="宋体" w:cs="宋体"/>
          <w:spacing w:val="2"/>
          <w:sz w:val="24"/>
          <w:szCs w:val="24"/>
        </w:rPr>
        <w:t>酵床发酵制作有机肥半成品外售，不外排。距离本项目最近的地表水功能水体是黄</w:t>
      </w:r>
      <w:r>
        <w:rPr>
          <w:rFonts w:ascii="宋体" w:hAnsi="宋体" w:eastAsia="宋体" w:cs="宋体"/>
          <w:spacing w:val="5"/>
          <w:sz w:val="24"/>
          <w:szCs w:val="24"/>
        </w:rPr>
        <w:t xml:space="preserve"> </w:t>
      </w:r>
      <w:r>
        <w:rPr>
          <w:rFonts w:ascii="宋体" w:hAnsi="宋体" w:eastAsia="宋体" w:cs="宋体"/>
          <w:spacing w:val="-6"/>
          <w:sz w:val="24"/>
          <w:szCs w:val="24"/>
        </w:rPr>
        <w:t>江。</w:t>
      </w:r>
    </w:p>
    <w:p w14:paraId="18B84209">
      <w:pPr>
        <w:spacing w:before="3" w:line="375" w:lineRule="auto"/>
        <w:ind w:right="223" w:firstLine="484"/>
        <w:jc w:val="both"/>
        <w:rPr>
          <w:rFonts w:ascii="宋体" w:hAnsi="宋体" w:eastAsia="宋体" w:cs="宋体"/>
          <w:sz w:val="24"/>
          <w:szCs w:val="24"/>
        </w:rPr>
      </w:pPr>
      <w:r>
        <w:rPr>
          <w:rFonts w:ascii="宋体" w:hAnsi="宋体" w:eastAsia="宋体" w:cs="宋体"/>
          <w:spacing w:val="2"/>
          <w:sz w:val="24"/>
          <w:szCs w:val="24"/>
        </w:rPr>
        <w:t>根据海丰县地表水功能区划图可知，黄江属于Ⅲ类水，因此，黄江执行《地表</w:t>
      </w:r>
      <w:r>
        <w:rPr>
          <w:rFonts w:ascii="宋体" w:hAnsi="宋体" w:eastAsia="宋体" w:cs="宋体"/>
          <w:spacing w:val="5"/>
          <w:sz w:val="24"/>
          <w:szCs w:val="24"/>
        </w:rPr>
        <w:t xml:space="preserve"> </w:t>
      </w:r>
      <w:r>
        <w:rPr>
          <w:rFonts w:ascii="宋体" w:hAnsi="宋体" w:eastAsia="宋体" w:cs="宋体"/>
          <w:spacing w:val="3"/>
          <w:sz w:val="24"/>
          <w:szCs w:val="24"/>
        </w:rPr>
        <w:t>水环境质量标准》（</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3838-2002</w:t>
      </w:r>
      <w:r>
        <w:rPr>
          <w:rFonts w:ascii="宋体" w:hAnsi="宋体" w:eastAsia="宋体" w:cs="宋体"/>
          <w:spacing w:val="3"/>
          <w:sz w:val="24"/>
          <w:szCs w:val="24"/>
        </w:rPr>
        <w:t>）Ⅲ类标准，海丰县地表水环境功能区划图见图</w:t>
      </w:r>
      <w:r>
        <w:rPr>
          <w:rFonts w:ascii="宋体" w:hAnsi="宋体" w:eastAsia="宋体" w:cs="宋体"/>
          <w:spacing w:val="15"/>
          <w:sz w:val="24"/>
          <w:szCs w:val="24"/>
        </w:rPr>
        <w:t xml:space="preserve"> </w:t>
      </w:r>
      <w:r>
        <w:rPr>
          <w:rFonts w:ascii="Times New Roman" w:hAnsi="Times New Roman" w:eastAsia="Times New Roman" w:cs="Times New Roman"/>
          <w:sz w:val="24"/>
          <w:szCs w:val="24"/>
        </w:rPr>
        <w:t>2.3-1</w:t>
      </w:r>
      <w:r>
        <w:rPr>
          <w:rFonts w:ascii="宋体" w:hAnsi="宋体" w:eastAsia="宋体" w:cs="宋体"/>
          <w:sz w:val="24"/>
          <w:szCs w:val="24"/>
        </w:rPr>
        <w:t>。</w:t>
      </w:r>
    </w:p>
    <w:p w14:paraId="22519AE5">
      <w:pPr>
        <w:spacing w:before="1"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2.3.2</w:t>
      </w:r>
      <w:r>
        <w:rPr>
          <w:rFonts w:ascii="宋体" w:hAnsi="宋体" w:eastAsia="宋体" w:cs="宋体"/>
          <w:b/>
          <w:bCs/>
          <w:spacing w:val="-2"/>
          <w:sz w:val="24"/>
          <w:szCs w:val="24"/>
        </w:rPr>
        <w:t>环境空气功能区区划</w:t>
      </w:r>
    </w:p>
    <w:p w14:paraId="16F41D87">
      <w:pPr>
        <w:spacing w:before="166" w:line="374" w:lineRule="auto"/>
        <w:ind w:left="3" w:firstLine="480"/>
        <w:jc w:val="both"/>
        <w:rPr>
          <w:rFonts w:ascii="宋体" w:hAnsi="宋体" w:eastAsia="宋体" w:cs="宋体"/>
          <w:sz w:val="24"/>
          <w:szCs w:val="24"/>
        </w:rPr>
      </w:pPr>
      <w:r>
        <w:rPr>
          <w:rFonts w:ascii="宋体" w:hAnsi="宋体" w:eastAsia="宋体" w:cs="宋体"/>
          <w:spacing w:val="-20"/>
          <w:sz w:val="24"/>
          <w:szCs w:val="24"/>
        </w:rPr>
        <w:t>根据《海丰县环境保护规划（</w:t>
      </w:r>
      <w:r>
        <w:rPr>
          <w:rFonts w:ascii="Times New Roman" w:hAnsi="Times New Roman" w:eastAsia="Times New Roman" w:cs="Times New Roman"/>
          <w:spacing w:val="-20"/>
          <w:sz w:val="24"/>
          <w:szCs w:val="24"/>
        </w:rPr>
        <w:t>2008-2020</w:t>
      </w:r>
      <w:r>
        <w:rPr>
          <w:rFonts w:ascii="Times New Roman" w:hAnsi="Times New Roman" w:eastAsia="Times New Roman" w:cs="Times New Roman"/>
          <w:spacing w:val="13"/>
          <w:sz w:val="24"/>
          <w:szCs w:val="24"/>
        </w:rPr>
        <w:t xml:space="preserve"> </w:t>
      </w:r>
      <w:r>
        <w:rPr>
          <w:rFonts w:ascii="宋体" w:hAnsi="宋体" w:eastAsia="宋体" w:cs="宋体"/>
          <w:spacing w:val="-20"/>
          <w:sz w:val="24"/>
          <w:szCs w:val="24"/>
        </w:rPr>
        <w:t>年）》、《环境空气质量标准》（</w:t>
      </w:r>
      <w:r>
        <w:rPr>
          <w:rFonts w:ascii="Times New Roman" w:hAnsi="Times New Roman" w:eastAsia="Times New Roman" w:cs="Times New Roman"/>
          <w:spacing w:val="-20"/>
          <w:sz w:val="24"/>
          <w:szCs w:val="24"/>
        </w:rPr>
        <w:t>GB3</w:t>
      </w:r>
      <w:r>
        <w:rPr>
          <w:rFonts w:ascii="Times New Roman" w:hAnsi="Times New Roman" w:eastAsia="Times New Roman" w:cs="Times New Roman"/>
          <w:spacing w:val="-21"/>
          <w:sz w:val="24"/>
          <w:szCs w:val="24"/>
        </w:rPr>
        <w:t>095-2012</w:t>
      </w:r>
      <w:r>
        <w:rPr>
          <w:rFonts w:ascii="宋体" w:hAnsi="宋体" w:eastAsia="宋体" w:cs="宋体"/>
          <w:spacing w:val="-21"/>
          <w:sz w:val="24"/>
          <w:szCs w:val="24"/>
        </w:rPr>
        <w:t>）</w:t>
      </w:r>
      <w:r>
        <w:rPr>
          <w:rFonts w:ascii="宋体" w:hAnsi="宋体" w:eastAsia="宋体" w:cs="宋体"/>
          <w:sz w:val="24"/>
          <w:szCs w:val="24"/>
        </w:rPr>
        <w:t xml:space="preserve"> </w:t>
      </w:r>
      <w:r>
        <w:rPr>
          <w:rFonts w:ascii="宋体" w:hAnsi="宋体" w:eastAsia="宋体" w:cs="宋体"/>
          <w:spacing w:val="-1"/>
          <w:sz w:val="24"/>
          <w:szCs w:val="24"/>
        </w:rPr>
        <w:t>及</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2018 </w:t>
      </w:r>
      <w:r>
        <w:rPr>
          <w:rFonts w:ascii="宋体" w:hAnsi="宋体" w:eastAsia="宋体" w:cs="宋体"/>
          <w:spacing w:val="-1"/>
          <w:sz w:val="24"/>
          <w:szCs w:val="24"/>
        </w:rPr>
        <w:t>年修改单的划分依据，本项目所在区域为环境空气二类功能</w:t>
      </w:r>
      <w:r>
        <w:rPr>
          <w:rFonts w:ascii="宋体" w:hAnsi="宋体" w:eastAsia="宋体" w:cs="宋体"/>
          <w:spacing w:val="-2"/>
          <w:sz w:val="24"/>
          <w:szCs w:val="24"/>
        </w:rPr>
        <w:t>区。汕尾市海丰</w:t>
      </w:r>
      <w:r>
        <w:rPr>
          <w:rFonts w:ascii="宋体" w:hAnsi="宋体" w:eastAsia="宋体" w:cs="宋体"/>
          <w:sz w:val="24"/>
          <w:szCs w:val="24"/>
        </w:rPr>
        <w:t xml:space="preserve">  </w:t>
      </w:r>
      <w:r>
        <w:rPr>
          <w:rFonts w:ascii="宋体" w:hAnsi="宋体" w:eastAsia="宋体" w:cs="宋体"/>
          <w:spacing w:val="2"/>
          <w:sz w:val="24"/>
          <w:szCs w:val="24"/>
        </w:rPr>
        <w:t>县大气环境功能区图见图</w:t>
      </w:r>
      <w:r>
        <w:rPr>
          <w:rFonts w:ascii="Times New Roman" w:hAnsi="Times New Roman" w:eastAsia="Times New Roman" w:cs="Times New Roman"/>
          <w:spacing w:val="2"/>
          <w:sz w:val="24"/>
          <w:szCs w:val="24"/>
        </w:rPr>
        <w:t>2.3-2</w:t>
      </w:r>
      <w:r>
        <w:rPr>
          <w:rFonts w:ascii="宋体" w:hAnsi="宋体" w:eastAsia="宋体" w:cs="宋体"/>
          <w:spacing w:val="2"/>
          <w:sz w:val="24"/>
          <w:szCs w:val="24"/>
        </w:rPr>
        <w:t>。</w:t>
      </w:r>
    </w:p>
    <w:p w14:paraId="0A6E740A">
      <w:pPr>
        <w:spacing w:before="44" w:line="221"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2.3.3</w:t>
      </w:r>
      <w:r>
        <w:rPr>
          <w:rFonts w:ascii="宋体" w:hAnsi="宋体" w:eastAsia="宋体" w:cs="宋体"/>
          <w:b/>
          <w:bCs/>
          <w:spacing w:val="-2"/>
          <w:sz w:val="24"/>
          <w:szCs w:val="24"/>
        </w:rPr>
        <w:t>声环境功能区区划</w:t>
      </w:r>
    </w:p>
    <w:p w14:paraId="6FCEA401">
      <w:pPr>
        <w:spacing w:before="167" w:line="372" w:lineRule="auto"/>
        <w:ind w:left="5" w:right="214" w:firstLine="479"/>
        <w:rPr>
          <w:rFonts w:ascii="宋体" w:hAnsi="宋体" w:eastAsia="宋体" w:cs="宋体"/>
          <w:sz w:val="24"/>
          <w:szCs w:val="24"/>
        </w:rPr>
      </w:pPr>
      <w:r>
        <w:rPr>
          <w:rFonts w:ascii="宋体" w:hAnsi="宋体" w:eastAsia="宋体" w:cs="宋体"/>
          <w:spacing w:val="-1"/>
          <w:sz w:val="24"/>
          <w:szCs w:val="24"/>
        </w:rPr>
        <w:t>根据《海丰县环境保护规划（</w:t>
      </w:r>
      <w:r>
        <w:rPr>
          <w:rFonts w:ascii="Times New Roman" w:hAnsi="Times New Roman" w:eastAsia="Times New Roman" w:cs="Times New Roman"/>
          <w:spacing w:val="-1"/>
          <w:sz w:val="24"/>
          <w:szCs w:val="24"/>
        </w:rPr>
        <w:t xml:space="preserve">2008-2020 </w:t>
      </w:r>
      <w:r>
        <w:rPr>
          <w:rFonts w:ascii="宋体" w:hAnsi="宋体" w:eastAsia="宋体" w:cs="宋体"/>
          <w:spacing w:val="-2"/>
          <w:sz w:val="24"/>
          <w:szCs w:val="24"/>
        </w:rPr>
        <w:t>年）》、本项目所在地的属于《声环境</w:t>
      </w:r>
      <w:r>
        <w:rPr>
          <w:rFonts w:ascii="宋体" w:hAnsi="宋体" w:eastAsia="宋体" w:cs="宋体"/>
          <w:sz w:val="24"/>
          <w:szCs w:val="24"/>
        </w:rPr>
        <w:t xml:space="preserve"> 质量标准》（</w:t>
      </w:r>
      <w:r>
        <w:rPr>
          <w:rFonts w:ascii="Times New Roman" w:hAnsi="Times New Roman" w:eastAsia="Times New Roman" w:cs="Times New Roman"/>
          <w:sz w:val="24"/>
          <w:szCs w:val="24"/>
        </w:rPr>
        <w:t>GB 3096-2008</w:t>
      </w:r>
      <w:r>
        <w:rPr>
          <w:rFonts w:ascii="宋体" w:hAnsi="宋体" w:eastAsia="宋体" w:cs="宋体"/>
          <w:sz w:val="24"/>
          <w:szCs w:val="24"/>
        </w:rPr>
        <w:t>）</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类声环境功能控制区。</w:t>
      </w:r>
    </w:p>
    <w:p w14:paraId="42900940">
      <w:pPr>
        <w:spacing w:before="47"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2.3.4</w:t>
      </w:r>
      <w:r>
        <w:rPr>
          <w:rFonts w:ascii="宋体" w:hAnsi="宋体" w:eastAsia="宋体" w:cs="宋体"/>
          <w:b/>
          <w:bCs/>
          <w:spacing w:val="-2"/>
          <w:sz w:val="24"/>
          <w:szCs w:val="24"/>
        </w:rPr>
        <w:t>地下水环境功能区划</w:t>
      </w:r>
    </w:p>
    <w:p w14:paraId="64BDF5BD">
      <w:pPr>
        <w:spacing w:before="166" w:line="374" w:lineRule="auto"/>
        <w:ind w:left="4" w:right="216" w:firstLine="480"/>
        <w:jc w:val="both"/>
        <w:rPr>
          <w:rFonts w:ascii="宋体" w:hAnsi="宋体" w:eastAsia="宋体" w:cs="宋体"/>
          <w:sz w:val="24"/>
          <w:szCs w:val="24"/>
        </w:rPr>
      </w:pPr>
      <w:r>
        <w:rPr>
          <w:rFonts w:ascii="宋体" w:hAnsi="宋体" w:eastAsia="宋体" w:cs="宋体"/>
          <w:spacing w:val="-1"/>
          <w:sz w:val="24"/>
          <w:szCs w:val="24"/>
        </w:rPr>
        <w:t>根据《广东省地下水功能区划》（粤水资源</w:t>
      </w:r>
      <w:r>
        <w:rPr>
          <w:rFonts w:ascii="Times New Roman" w:hAnsi="Times New Roman" w:eastAsia="Times New Roman" w:cs="Times New Roman"/>
          <w:spacing w:val="-1"/>
          <w:sz w:val="24"/>
          <w:szCs w:val="24"/>
        </w:rPr>
        <w:t xml:space="preserve">[2009]9 </w:t>
      </w:r>
      <w:r>
        <w:rPr>
          <w:rFonts w:ascii="宋体" w:hAnsi="宋体" w:eastAsia="宋体" w:cs="宋体"/>
          <w:spacing w:val="-1"/>
          <w:sz w:val="24"/>
          <w:szCs w:val="24"/>
        </w:rPr>
        <w:t>号</w:t>
      </w:r>
      <w:r>
        <w:rPr>
          <w:rFonts w:ascii="宋体" w:hAnsi="宋体" w:eastAsia="宋体" w:cs="宋体"/>
          <w:spacing w:val="8"/>
          <w:sz w:val="24"/>
          <w:szCs w:val="24"/>
        </w:rPr>
        <w:t>），</w:t>
      </w:r>
      <w:r>
        <w:rPr>
          <w:rFonts w:ascii="宋体" w:hAnsi="宋体" w:eastAsia="宋体" w:cs="宋体"/>
          <w:spacing w:val="-1"/>
          <w:sz w:val="24"/>
          <w:szCs w:val="24"/>
        </w:rPr>
        <w:t>项目所在的地下水功</w:t>
      </w:r>
      <w:r>
        <w:rPr>
          <w:rFonts w:ascii="宋体" w:hAnsi="宋体" w:eastAsia="宋体" w:cs="宋体"/>
          <w:spacing w:val="1"/>
          <w:sz w:val="24"/>
          <w:szCs w:val="24"/>
        </w:rPr>
        <w:t xml:space="preserve"> </w:t>
      </w:r>
      <w:r>
        <w:rPr>
          <w:rFonts w:ascii="宋体" w:hAnsi="宋体" w:eastAsia="宋体" w:cs="宋体"/>
          <w:sz w:val="24"/>
          <w:szCs w:val="24"/>
        </w:rPr>
        <w:t>能区属于韩江及粤东诸河汕尾海丰地下水水源涵养区，代码为</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H084415002T03</w:t>
      </w:r>
      <w:r>
        <w:rPr>
          <w:rFonts w:ascii="Times New Roman" w:hAnsi="Times New Roman" w:eastAsia="Times New Roman" w:cs="Times New Roman"/>
          <w:spacing w:val="-25"/>
          <w:sz w:val="24"/>
          <w:szCs w:val="24"/>
        </w:rPr>
        <w:t xml:space="preserve"> </w:t>
      </w:r>
      <w:r>
        <w:rPr>
          <w:rFonts w:ascii="宋体" w:hAnsi="宋体" w:eastAsia="宋体" w:cs="宋体"/>
          <w:sz w:val="24"/>
          <w:szCs w:val="24"/>
        </w:rPr>
        <w:t xml:space="preserve">。汕 </w:t>
      </w:r>
      <w:r>
        <w:rPr>
          <w:rFonts w:ascii="宋体" w:hAnsi="宋体" w:eastAsia="宋体" w:cs="宋体"/>
          <w:spacing w:val="2"/>
          <w:sz w:val="24"/>
          <w:szCs w:val="24"/>
        </w:rPr>
        <w:t>尾市地下水环境功能区划图见图</w:t>
      </w:r>
      <w:r>
        <w:rPr>
          <w:rFonts w:ascii="Times New Roman" w:hAnsi="Times New Roman" w:eastAsia="Times New Roman" w:cs="Times New Roman"/>
          <w:spacing w:val="2"/>
          <w:sz w:val="24"/>
          <w:szCs w:val="24"/>
        </w:rPr>
        <w:t>2.3-3</w:t>
      </w:r>
      <w:r>
        <w:rPr>
          <w:rFonts w:ascii="宋体" w:hAnsi="宋体" w:eastAsia="宋体" w:cs="宋体"/>
          <w:spacing w:val="2"/>
          <w:sz w:val="24"/>
          <w:szCs w:val="24"/>
        </w:rPr>
        <w:t>。</w:t>
      </w:r>
    </w:p>
    <w:p w14:paraId="51693006">
      <w:pPr>
        <w:spacing w:before="45" w:line="221"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2.3.5</w:t>
      </w:r>
      <w:r>
        <w:rPr>
          <w:rFonts w:ascii="宋体" w:hAnsi="宋体" w:eastAsia="宋体" w:cs="宋体"/>
          <w:b/>
          <w:bCs/>
          <w:spacing w:val="-2"/>
          <w:sz w:val="24"/>
          <w:szCs w:val="24"/>
        </w:rPr>
        <w:t>生态环境功能区划</w:t>
      </w:r>
    </w:p>
    <w:p w14:paraId="538D9272">
      <w:pPr>
        <w:spacing w:before="165" w:line="374" w:lineRule="auto"/>
        <w:ind w:left="6" w:right="219" w:firstLine="478"/>
        <w:rPr>
          <w:rFonts w:ascii="宋体" w:hAnsi="宋体" w:eastAsia="宋体" w:cs="宋体"/>
          <w:sz w:val="24"/>
          <w:szCs w:val="24"/>
        </w:rPr>
      </w:pPr>
      <w:r>
        <w:rPr>
          <w:rFonts w:ascii="宋体" w:hAnsi="宋体" w:eastAsia="宋体" w:cs="宋体"/>
          <w:spacing w:val="-2"/>
          <w:sz w:val="24"/>
          <w:szCs w:val="24"/>
        </w:rPr>
        <w:t>根据《汕尾市环境保护规划（</w:t>
      </w:r>
      <w:r>
        <w:rPr>
          <w:rFonts w:ascii="Times New Roman" w:hAnsi="Times New Roman" w:eastAsia="Times New Roman" w:cs="Times New Roman"/>
          <w:spacing w:val="-2"/>
          <w:sz w:val="24"/>
          <w:szCs w:val="24"/>
        </w:rPr>
        <w:t xml:space="preserve">2008-2020 </w:t>
      </w:r>
      <w:r>
        <w:rPr>
          <w:rFonts w:ascii="宋体" w:hAnsi="宋体" w:eastAsia="宋体" w:cs="宋体"/>
          <w:spacing w:val="-2"/>
          <w:sz w:val="24"/>
          <w:szCs w:val="24"/>
        </w:rPr>
        <w:t>年）》，本项目所在区域的的生态环境</w:t>
      </w:r>
      <w:r>
        <w:rPr>
          <w:rFonts w:ascii="宋体" w:hAnsi="宋体" w:eastAsia="宋体" w:cs="宋体"/>
          <w:spacing w:val="18"/>
          <w:sz w:val="24"/>
          <w:szCs w:val="24"/>
        </w:rPr>
        <w:t xml:space="preserve"> </w:t>
      </w:r>
      <w:r>
        <w:rPr>
          <w:rFonts w:ascii="宋体" w:hAnsi="宋体" w:eastAsia="宋体" w:cs="宋体"/>
          <w:spacing w:val="1"/>
          <w:sz w:val="24"/>
          <w:szCs w:val="24"/>
        </w:rPr>
        <w:t>属于城市</w:t>
      </w:r>
      <w:r>
        <w:rPr>
          <w:rFonts w:ascii="Times New Roman" w:hAnsi="Times New Roman" w:eastAsia="Times New Roman" w:cs="Times New Roman"/>
          <w:spacing w:val="1"/>
          <w:sz w:val="24"/>
          <w:szCs w:val="24"/>
        </w:rPr>
        <w:t>-</w:t>
      </w:r>
      <w:r>
        <w:rPr>
          <w:rFonts w:ascii="宋体" w:hAnsi="宋体" w:eastAsia="宋体" w:cs="宋体"/>
          <w:spacing w:val="1"/>
          <w:sz w:val="24"/>
          <w:szCs w:val="24"/>
        </w:rPr>
        <w:t>农业经济生态区。汕尾市海丰县生态功能区划图见图</w:t>
      </w:r>
      <w:r>
        <w:rPr>
          <w:rFonts w:ascii="Times New Roman" w:hAnsi="Times New Roman" w:eastAsia="Times New Roman" w:cs="Times New Roman"/>
          <w:spacing w:val="1"/>
          <w:sz w:val="24"/>
          <w:szCs w:val="24"/>
        </w:rPr>
        <w:t>2.3-4</w:t>
      </w:r>
      <w:r>
        <w:rPr>
          <w:rFonts w:ascii="宋体" w:hAnsi="宋体" w:eastAsia="宋体" w:cs="宋体"/>
          <w:spacing w:val="1"/>
          <w:sz w:val="24"/>
          <w:szCs w:val="24"/>
        </w:rPr>
        <w:t>。</w:t>
      </w:r>
    </w:p>
    <w:p w14:paraId="20CEB7F0">
      <w:pPr>
        <w:spacing w:before="42" w:line="221"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2.3.6</w:t>
      </w:r>
      <w:r>
        <w:rPr>
          <w:rFonts w:ascii="宋体" w:hAnsi="宋体" w:eastAsia="宋体" w:cs="宋体"/>
          <w:b/>
          <w:bCs/>
          <w:spacing w:val="-2"/>
          <w:sz w:val="24"/>
          <w:szCs w:val="24"/>
        </w:rPr>
        <w:t>项目所在区域环境功能属性</w:t>
      </w:r>
    </w:p>
    <w:p w14:paraId="7551B602">
      <w:pPr>
        <w:spacing w:before="165" w:line="359" w:lineRule="exact"/>
        <w:ind w:left="485"/>
        <w:rPr>
          <w:rFonts w:ascii="宋体" w:hAnsi="宋体" w:eastAsia="宋体" w:cs="宋体"/>
          <w:sz w:val="24"/>
          <w:szCs w:val="24"/>
        </w:rPr>
      </w:pPr>
      <w:r>
        <w:rPr>
          <w:rFonts w:ascii="宋体" w:hAnsi="宋体" w:eastAsia="宋体" w:cs="宋体"/>
          <w:spacing w:val="4"/>
          <w:position w:val="2"/>
          <w:sz w:val="24"/>
          <w:szCs w:val="24"/>
        </w:rPr>
        <w:t>本项目所属的各类功能区区划汇总如表</w:t>
      </w:r>
      <w:r>
        <w:rPr>
          <w:rFonts w:ascii="Times New Roman" w:hAnsi="Times New Roman" w:eastAsia="Times New Roman" w:cs="Times New Roman"/>
          <w:spacing w:val="4"/>
          <w:position w:val="2"/>
          <w:sz w:val="24"/>
          <w:szCs w:val="24"/>
        </w:rPr>
        <w:t>2.3-1</w:t>
      </w:r>
      <w:r>
        <w:rPr>
          <w:rFonts w:ascii="宋体" w:hAnsi="宋体" w:eastAsia="宋体" w:cs="宋体"/>
          <w:spacing w:val="4"/>
          <w:position w:val="2"/>
          <w:sz w:val="24"/>
          <w:szCs w:val="24"/>
        </w:rPr>
        <w:t>所列。</w:t>
      </w:r>
    </w:p>
    <w:p w14:paraId="2D0F8EC6">
      <w:pPr>
        <w:spacing w:line="359" w:lineRule="exact"/>
        <w:rPr>
          <w:rFonts w:ascii="宋体" w:hAnsi="宋体" w:eastAsia="宋体" w:cs="宋体"/>
          <w:sz w:val="24"/>
          <w:szCs w:val="24"/>
        </w:rPr>
        <w:sectPr>
          <w:footerReference r:id="rId35" w:type="default"/>
          <w:pgSz w:w="11906" w:h="16839"/>
          <w:pgMar w:top="1431" w:right="1369" w:bottom="1485" w:left="1593" w:header="0" w:footer="1249" w:gutter="0"/>
          <w:cols w:space="720" w:num="1"/>
        </w:sectPr>
      </w:pPr>
    </w:p>
    <w:p w14:paraId="46CB2820">
      <w:pPr>
        <w:spacing w:before="48" w:line="212" w:lineRule="auto"/>
        <w:ind w:left="2166"/>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b/>
          <w:bCs/>
          <w:spacing w:val="-2"/>
          <w:sz w:val="24"/>
          <w:szCs w:val="24"/>
        </w:rPr>
        <w:t xml:space="preserve">2.3-1    </w:t>
      </w:r>
      <w:r>
        <w:rPr>
          <w:rFonts w:ascii="宋体" w:hAnsi="宋体" w:eastAsia="宋体" w:cs="宋体"/>
          <w:b/>
          <w:bCs/>
          <w:spacing w:val="-2"/>
          <w:sz w:val="24"/>
          <w:szCs w:val="24"/>
        </w:rPr>
        <w:t>本项目拟选址所在地环境功能属性</w:t>
      </w: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0"/>
        <w:gridCol w:w="2441"/>
        <w:gridCol w:w="5839"/>
      </w:tblGrid>
      <w:tr w14:paraId="1B4D4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70" w:type="dxa"/>
            <w:vAlign w:val="top"/>
          </w:tcPr>
          <w:p w14:paraId="20E8C1B3">
            <w:pPr>
              <w:pStyle w:val="6"/>
              <w:spacing w:before="69" w:line="230" w:lineRule="auto"/>
              <w:ind w:left="130"/>
            </w:pPr>
            <w:r>
              <w:rPr>
                <w:spacing w:val="5"/>
              </w:rPr>
              <w:t>序号</w:t>
            </w:r>
          </w:p>
        </w:tc>
        <w:tc>
          <w:tcPr>
            <w:tcW w:w="2441" w:type="dxa"/>
            <w:vAlign w:val="top"/>
          </w:tcPr>
          <w:p w14:paraId="031F46ED">
            <w:pPr>
              <w:pStyle w:val="6"/>
              <w:spacing w:before="69" w:line="230" w:lineRule="auto"/>
              <w:ind w:left="494"/>
            </w:pPr>
            <w:r>
              <w:rPr>
                <w:spacing w:val="8"/>
              </w:rPr>
              <w:t>功能区区划名称</w:t>
            </w:r>
          </w:p>
        </w:tc>
        <w:tc>
          <w:tcPr>
            <w:tcW w:w="5839" w:type="dxa"/>
            <w:vAlign w:val="top"/>
          </w:tcPr>
          <w:p w14:paraId="76218E36">
            <w:pPr>
              <w:pStyle w:val="6"/>
              <w:spacing w:before="69" w:line="227" w:lineRule="auto"/>
              <w:ind w:left="2083"/>
            </w:pPr>
            <w:r>
              <w:rPr>
                <w:spacing w:val="8"/>
              </w:rPr>
              <w:t>评价区域所属类别</w:t>
            </w:r>
          </w:p>
        </w:tc>
      </w:tr>
      <w:tr w14:paraId="6E4F7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70" w:type="dxa"/>
            <w:vAlign w:val="top"/>
          </w:tcPr>
          <w:p w14:paraId="452808AD">
            <w:pPr>
              <w:spacing w:before="138" w:line="274" w:lineRule="exact"/>
              <w:ind w:left="30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441" w:type="dxa"/>
            <w:vAlign w:val="top"/>
          </w:tcPr>
          <w:p w14:paraId="423D868C">
            <w:pPr>
              <w:pStyle w:val="6"/>
              <w:spacing w:before="167" w:line="228" w:lineRule="auto"/>
              <w:ind w:left="385"/>
            </w:pPr>
            <w:r>
              <w:rPr>
                <w:spacing w:val="8"/>
              </w:rPr>
              <w:t>地表水环境功能区</w:t>
            </w:r>
          </w:p>
        </w:tc>
        <w:tc>
          <w:tcPr>
            <w:tcW w:w="5839" w:type="dxa"/>
            <w:vAlign w:val="top"/>
          </w:tcPr>
          <w:p w14:paraId="656A23D9">
            <w:pPr>
              <w:pStyle w:val="6"/>
              <w:spacing w:before="32" w:line="222" w:lineRule="auto"/>
              <w:ind w:left="355"/>
            </w:pPr>
            <w:r>
              <w:rPr>
                <w:spacing w:val="10"/>
              </w:rPr>
              <w:t>黄江，</w:t>
            </w:r>
            <w:r>
              <w:rPr>
                <w:spacing w:val="-33"/>
              </w:rPr>
              <w:t xml:space="preserve"> </w:t>
            </w:r>
            <w:r>
              <w:rPr>
                <w:spacing w:val="10"/>
              </w:rPr>
              <w:t>目标水质为Ⅲ类，执行《地表水环境质量标准》</w:t>
            </w:r>
          </w:p>
          <w:p w14:paraId="08143573">
            <w:pPr>
              <w:pStyle w:val="6"/>
              <w:spacing w:line="265" w:lineRule="exact"/>
              <w:ind w:left="1575"/>
            </w:pPr>
            <w:r>
              <w:rPr>
                <w:spacing w:val="8"/>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8"/>
                <w:position w:val="1"/>
              </w:rPr>
              <w:t>3838-2002</w:t>
            </w:r>
            <w:r>
              <w:rPr>
                <w:spacing w:val="8"/>
                <w:position w:val="1"/>
              </w:rPr>
              <w:t>）Ⅲ类标准。</w:t>
            </w:r>
          </w:p>
        </w:tc>
      </w:tr>
      <w:tr w14:paraId="2E85B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70" w:type="dxa"/>
            <w:vAlign w:val="top"/>
          </w:tcPr>
          <w:p w14:paraId="27BB131D">
            <w:pPr>
              <w:spacing w:before="136" w:line="274" w:lineRule="exact"/>
              <w:ind w:left="28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441" w:type="dxa"/>
            <w:vAlign w:val="top"/>
          </w:tcPr>
          <w:p w14:paraId="1650D5C1">
            <w:pPr>
              <w:pStyle w:val="6"/>
              <w:spacing w:before="167" w:line="228" w:lineRule="auto"/>
              <w:ind w:left="385"/>
            </w:pPr>
            <w:r>
              <w:rPr>
                <w:spacing w:val="8"/>
              </w:rPr>
              <w:t>地下水环境功能区</w:t>
            </w:r>
          </w:p>
        </w:tc>
        <w:tc>
          <w:tcPr>
            <w:tcW w:w="5839" w:type="dxa"/>
            <w:vAlign w:val="top"/>
          </w:tcPr>
          <w:p w14:paraId="001201B3">
            <w:pPr>
              <w:pStyle w:val="6"/>
              <w:spacing w:before="2" w:line="274" w:lineRule="exact"/>
              <w:ind w:left="150"/>
            </w:pPr>
            <w:r>
              <w:rPr>
                <w:spacing w:val="10"/>
                <w:position w:val="2"/>
              </w:rPr>
              <w:t>韩江及粤东诸河分散式开放利用区（</w:t>
            </w:r>
            <w:r>
              <w:rPr>
                <w:rFonts w:ascii="Times New Roman" w:hAnsi="Times New Roman" w:eastAsia="Times New Roman" w:cs="Times New Roman"/>
                <w:spacing w:val="10"/>
                <w:position w:val="2"/>
              </w:rPr>
              <w:t>H084415001Q01</w:t>
            </w:r>
            <w:r>
              <w:rPr>
                <w:spacing w:val="22"/>
                <w:position w:val="2"/>
              </w:rPr>
              <w:t>），</w:t>
            </w:r>
            <w:r>
              <w:rPr>
                <w:spacing w:val="10"/>
                <w:position w:val="2"/>
              </w:rPr>
              <w:t>执</w:t>
            </w:r>
          </w:p>
          <w:p w14:paraId="4CE3768E">
            <w:pPr>
              <w:pStyle w:val="6"/>
              <w:spacing w:before="27" w:line="217" w:lineRule="auto"/>
              <w:ind w:left="894"/>
            </w:pPr>
            <w:r>
              <w:rPr>
                <w:spacing w:val="9"/>
              </w:rPr>
              <w:t>行《地下水环境质量标准》</w:t>
            </w:r>
            <w:r>
              <w:rPr>
                <w:spacing w:val="-39"/>
              </w:rPr>
              <w:t xml:space="preserve"> </w:t>
            </w:r>
            <w:r>
              <w:rPr>
                <w:spacing w:val="9"/>
              </w:rPr>
              <w:t>中的Ⅲ类标准。</w:t>
            </w:r>
          </w:p>
        </w:tc>
      </w:tr>
      <w:tr w14:paraId="7038E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70" w:type="dxa"/>
            <w:vAlign w:val="top"/>
          </w:tcPr>
          <w:p w14:paraId="058C619E">
            <w:pPr>
              <w:spacing w:before="139" w:line="274" w:lineRule="exact"/>
              <w:ind w:left="28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441" w:type="dxa"/>
            <w:vAlign w:val="top"/>
          </w:tcPr>
          <w:p w14:paraId="5E4EF8AA">
            <w:pPr>
              <w:pStyle w:val="6"/>
              <w:spacing w:before="168" w:line="229" w:lineRule="auto"/>
              <w:ind w:left="490"/>
            </w:pPr>
            <w:r>
              <w:rPr>
                <w:spacing w:val="8"/>
              </w:rPr>
              <w:t>环境空气功能区</w:t>
            </w:r>
          </w:p>
        </w:tc>
        <w:tc>
          <w:tcPr>
            <w:tcW w:w="5839" w:type="dxa"/>
            <w:vAlign w:val="top"/>
          </w:tcPr>
          <w:p w14:paraId="15774C5C">
            <w:pPr>
              <w:pStyle w:val="6"/>
              <w:spacing w:before="33" w:line="222" w:lineRule="auto"/>
              <w:ind w:left="407"/>
            </w:pPr>
            <w:r>
              <w:rPr>
                <w:spacing w:val="9"/>
              </w:rPr>
              <w:t>二类环境空气质量功能区，执行《环境空气质量标准》</w:t>
            </w:r>
          </w:p>
          <w:p w14:paraId="7AB860C0">
            <w:pPr>
              <w:pStyle w:val="6"/>
              <w:spacing w:line="264" w:lineRule="exact"/>
              <w:ind w:left="1599"/>
            </w:pPr>
            <w:r>
              <w:rPr>
                <w:spacing w:val="6"/>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6"/>
                <w:position w:val="1"/>
              </w:rPr>
              <w:t>3095-2012</w:t>
            </w:r>
            <w:r>
              <w:rPr>
                <w:spacing w:val="6"/>
                <w:position w:val="1"/>
              </w:rPr>
              <w:t>）中二级标准</w:t>
            </w:r>
          </w:p>
        </w:tc>
      </w:tr>
      <w:tr w14:paraId="26A5D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70" w:type="dxa"/>
            <w:vAlign w:val="top"/>
          </w:tcPr>
          <w:p w14:paraId="5F68F2E2">
            <w:pPr>
              <w:spacing w:before="140" w:line="275" w:lineRule="exact"/>
              <w:ind w:left="28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441" w:type="dxa"/>
            <w:vAlign w:val="top"/>
          </w:tcPr>
          <w:p w14:paraId="275980E8">
            <w:pPr>
              <w:pStyle w:val="6"/>
              <w:spacing w:before="169" w:line="229" w:lineRule="auto"/>
              <w:ind w:left="598"/>
            </w:pPr>
            <w:r>
              <w:rPr>
                <w:spacing w:val="7"/>
              </w:rPr>
              <w:t>声环境功能区</w:t>
            </w:r>
          </w:p>
        </w:tc>
        <w:tc>
          <w:tcPr>
            <w:tcW w:w="5839" w:type="dxa"/>
            <w:vAlign w:val="top"/>
          </w:tcPr>
          <w:p w14:paraId="71DBD5FD">
            <w:pPr>
              <w:pStyle w:val="6"/>
              <w:spacing w:before="4" w:line="274" w:lineRule="exact"/>
              <w:ind w:left="273"/>
            </w:pPr>
            <w:r>
              <w:rPr>
                <w:spacing w:val="10"/>
                <w:position w:val="1"/>
              </w:rPr>
              <w:t>项目区域为</w:t>
            </w:r>
            <w:r>
              <w:rPr>
                <w:spacing w:val="-37"/>
                <w:position w:val="1"/>
              </w:rPr>
              <w:t xml:space="preserve"> </w:t>
            </w:r>
            <w:r>
              <w:rPr>
                <w:rFonts w:ascii="Times New Roman" w:hAnsi="Times New Roman" w:eastAsia="Times New Roman" w:cs="Times New Roman"/>
                <w:spacing w:val="10"/>
                <w:position w:val="1"/>
              </w:rPr>
              <w:t xml:space="preserve">2 </w:t>
            </w:r>
            <w:r>
              <w:rPr>
                <w:spacing w:val="10"/>
                <w:position w:val="1"/>
              </w:rPr>
              <w:t>类标</w:t>
            </w:r>
            <w:r>
              <w:rPr>
                <w:spacing w:val="-59"/>
                <w:position w:val="1"/>
              </w:rPr>
              <w:t xml:space="preserve"> </w:t>
            </w:r>
            <w:r>
              <w:rPr>
                <w:spacing w:val="10"/>
                <w:position w:val="1"/>
              </w:rPr>
              <w:t>准适</w:t>
            </w:r>
            <w:r>
              <w:rPr>
                <w:spacing w:val="-60"/>
                <w:position w:val="1"/>
              </w:rPr>
              <w:t xml:space="preserve"> </w:t>
            </w:r>
            <w:r>
              <w:rPr>
                <w:spacing w:val="10"/>
                <w:position w:val="1"/>
              </w:rPr>
              <w:t>用区</w:t>
            </w:r>
            <w:r>
              <w:rPr>
                <w:spacing w:val="-46"/>
                <w:position w:val="1"/>
              </w:rPr>
              <w:t xml:space="preserve"> </w:t>
            </w:r>
            <w:r>
              <w:rPr>
                <w:spacing w:val="10"/>
                <w:position w:val="1"/>
              </w:rPr>
              <w:t>，</w:t>
            </w:r>
            <w:r>
              <w:rPr>
                <w:spacing w:val="-56"/>
                <w:position w:val="1"/>
              </w:rPr>
              <w:t xml:space="preserve"> </w:t>
            </w:r>
            <w:r>
              <w:rPr>
                <w:spacing w:val="10"/>
                <w:position w:val="1"/>
              </w:rPr>
              <w:t>执</w:t>
            </w:r>
            <w:r>
              <w:rPr>
                <w:spacing w:val="-57"/>
                <w:position w:val="1"/>
              </w:rPr>
              <w:t xml:space="preserve"> </w:t>
            </w:r>
            <w:r>
              <w:rPr>
                <w:spacing w:val="10"/>
                <w:position w:val="1"/>
              </w:rPr>
              <w:t>行《声环境质量标准》</w:t>
            </w:r>
          </w:p>
          <w:p w14:paraId="280229E3">
            <w:pPr>
              <w:pStyle w:val="6"/>
              <w:ind w:left="1729"/>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3096-2008</w:t>
            </w:r>
            <w:r>
              <w:rPr>
                <w:spacing w:val="5"/>
              </w:rPr>
              <w:t>）</w:t>
            </w:r>
            <w:r>
              <w:rPr>
                <w:rFonts w:ascii="Times New Roman" w:hAnsi="Times New Roman" w:eastAsia="Times New Roman" w:cs="Times New Roman"/>
                <w:spacing w:val="5"/>
              </w:rPr>
              <w:t xml:space="preserve">2 </w:t>
            </w:r>
            <w:r>
              <w:rPr>
                <w:spacing w:val="5"/>
              </w:rPr>
              <w:t>类标准</w:t>
            </w:r>
          </w:p>
        </w:tc>
      </w:tr>
      <w:tr w14:paraId="18163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0" w:type="dxa"/>
            <w:vAlign w:val="top"/>
          </w:tcPr>
          <w:p w14:paraId="1F97BFB5">
            <w:pPr>
              <w:spacing w:before="110" w:line="192"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441" w:type="dxa"/>
            <w:vAlign w:val="top"/>
          </w:tcPr>
          <w:p w14:paraId="3F196EB4">
            <w:pPr>
              <w:pStyle w:val="6"/>
              <w:spacing w:before="68" w:line="228" w:lineRule="auto"/>
              <w:ind w:left="490"/>
            </w:pPr>
            <w:r>
              <w:rPr>
                <w:spacing w:val="8"/>
              </w:rPr>
              <w:t>基本农田保护区</w:t>
            </w:r>
          </w:p>
        </w:tc>
        <w:tc>
          <w:tcPr>
            <w:tcW w:w="5839" w:type="dxa"/>
            <w:vAlign w:val="top"/>
          </w:tcPr>
          <w:p w14:paraId="6A014961">
            <w:pPr>
              <w:pStyle w:val="6"/>
              <w:spacing w:before="69" w:line="229" w:lineRule="auto"/>
              <w:ind w:left="2825"/>
            </w:pPr>
            <w:r>
              <w:t>否</w:t>
            </w:r>
          </w:p>
        </w:tc>
      </w:tr>
      <w:tr w14:paraId="38086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0" w:type="dxa"/>
            <w:vAlign w:val="top"/>
          </w:tcPr>
          <w:p w14:paraId="5881F274">
            <w:pPr>
              <w:spacing w:before="38" w:line="274" w:lineRule="exact"/>
              <w:ind w:left="28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441" w:type="dxa"/>
            <w:vAlign w:val="top"/>
          </w:tcPr>
          <w:p w14:paraId="205E43F5">
            <w:pPr>
              <w:pStyle w:val="6"/>
              <w:spacing w:before="69" w:line="228" w:lineRule="auto"/>
              <w:ind w:left="494"/>
            </w:pPr>
            <w:r>
              <w:rPr>
                <w:spacing w:val="8"/>
              </w:rPr>
              <w:t>是否风景保护区</w:t>
            </w:r>
          </w:p>
        </w:tc>
        <w:tc>
          <w:tcPr>
            <w:tcW w:w="5839" w:type="dxa"/>
            <w:vAlign w:val="top"/>
          </w:tcPr>
          <w:p w14:paraId="010250FC">
            <w:pPr>
              <w:pStyle w:val="6"/>
              <w:spacing w:before="69" w:line="229" w:lineRule="auto"/>
              <w:ind w:left="2825"/>
            </w:pPr>
            <w:r>
              <w:t>否</w:t>
            </w:r>
          </w:p>
        </w:tc>
      </w:tr>
      <w:tr w14:paraId="51876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0" w:type="dxa"/>
            <w:vAlign w:val="top"/>
          </w:tcPr>
          <w:p w14:paraId="51887E97">
            <w:pPr>
              <w:spacing w:before="108" w:line="192"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441" w:type="dxa"/>
            <w:vAlign w:val="top"/>
          </w:tcPr>
          <w:p w14:paraId="4C4C80CB">
            <w:pPr>
              <w:pStyle w:val="6"/>
              <w:spacing w:before="69" w:line="229" w:lineRule="auto"/>
              <w:ind w:left="494"/>
            </w:pPr>
            <w:r>
              <w:rPr>
                <w:spacing w:val="8"/>
              </w:rPr>
              <w:t>是否自然保护区</w:t>
            </w:r>
          </w:p>
        </w:tc>
        <w:tc>
          <w:tcPr>
            <w:tcW w:w="5839" w:type="dxa"/>
            <w:vAlign w:val="top"/>
          </w:tcPr>
          <w:p w14:paraId="2EBBE4B6">
            <w:pPr>
              <w:pStyle w:val="6"/>
              <w:spacing w:before="69" w:line="229" w:lineRule="auto"/>
              <w:ind w:left="2825"/>
            </w:pPr>
            <w:r>
              <w:t>否</w:t>
            </w:r>
          </w:p>
        </w:tc>
      </w:tr>
      <w:tr w14:paraId="06AB4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0" w:type="dxa"/>
            <w:vAlign w:val="top"/>
          </w:tcPr>
          <w:p w14:paraId="30B18842">
            <w:pPr>
              <w:spacing w:before="39" w:line="274" w:lineRule="exact"/>
              <w:ind w:left="29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441" w:type="dxa"/>
            <w:vAlign w:val="top"/>
          </w:tcPr>
          <w:p w14:paraId="1F675271">
            <w:pPr>
              <w:pStyle w:val="6"/>
              <w:spacing w:before="70" w:line="228" w:lineRule="auto"/>
              <w:ind w:left="597"/>
            </w:pPr>
            <w:r>
              <w:rPr>
                <w:spacing w:val="7"/>
              </w:rPr>
              <w:t>是否森林公园</w:t>
            </w:r>
          </w:p>
        </w:tc>
        <w:tc>
          <w:tcPr>
            <w:tcW w:w="5839" w:type="dxa"/>
            <w:vAlign w:val="top"/>
          </w:tcPr>
          <w:p w14:paraId="031650FF">
            <w:pPr>
              <w:pStyle w:val="6"/>
              <w:spacing w:before="70" w:line="229" w:lineRule="auto"/>
              <w:ind w:left="2825"/>
            </w:pPr>
            <w:r>
              <w:t>否</w:t>
            </w:r>
          </w:p>
        </w:tc>
      </w:tr>
      <w:tr w14:paraId="186FE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0" w:type="dxa"/>
            <w:vAlign w:val="top"/>
          </w:tcPr>
          <w:p w14:paraId="3A3D4AC8">
            <w:pPr>
              <w:spacing w:before="39" w:line="274" w:lineRule="exact"/>
              <w:ind w:left="28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441" w:type="dxa"/>
            <w:vAlign w:val="top"/>
          </w:tcPr>
          <w:p w14:paraId="4FEE9527">
            <w:pPr>
              <w:pStyle w:val="6"/>
              <w:spacing w:before="70" w:line="229" w:lineRule="auto"/>
              <w:ind w:left="282"/>
            </w:pPr>
            <w:r>
              <w:rPr>
                <w:spacing w:val="8"/>
              </w:rPr>
              <w:t>是否生态功能保护区</w:t>
            </w:r>
          </w:p>
        </w:tc>
        <w:tc>
          <w:tcPr>
            <w:tcW w:w="5839" w:type="dxa"/>
            <w:vAlign w:val="top"/>
          </w:tcPr>
          <w:p w14:paraId="5C613D8B">
            <w:pPr>
              <w:pStyle w:val="6"/>
              <w:spacing w:before="70" w:line="229" w:lineRule="auto"/>
              <w:ind w:left="2825"/>
            </w:pPr>
            <w:r>
              <w:t>否</w:t>
            </w:r>
          </w:p>
        </w:tc>
      </w:tr>
      <w:tr w14:paraId="4F732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0" w:type="dxa"/>
            <w:vAlign w:val="top"/>
          </w:tcPr>
          <w:p w14:paraId="5D67BE03">
            <w:pPr>
              <w:spacing w:before="40"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441" w:type="dxa"/>
            <w:vAlign w:val="top"/>
          </w:tcPr>
          <w:p w14:paraId="78FC5543">
            <w:pPr>
              <w:pStyle w:val="6"/>
              <w:spacing w:before="68" w:line="228" w:lineRule="auto"/>
              <w:ind w:left="494"/>
            </w:pPr>
            <w:r>
              <w:rPr>
                <w:spacing w:val="8"/>
              </w:rPr>
              <w:t>是否人口密集区</w:t>
            </w:r>
          </w:p>
        </w:tc>
        <w:tc>
          <w:tcPr>
            <w:tcW w:w="5839" w:type="dxa"/>
            <w:vAlign w:val="top"/>
          </w:tcPr>
          <w:p w14:paraId="3AF03B33">
            <w:pPr>
              <w:pStyle w:val="6"/>
              <w:spacing w:before="68" w:line="229" w:lineRule="auto"/>
              <w:ind w:left="2825"/>
            </w:pPr>
            <w:r>
              <w:t>否</w:t>
            </w:r>
          </w:p>
        </w:tc>
      </w:tr>
      <w:tr w14:paraId="165F3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0" w:type="dxa"/>
            <w:vAlign w:val="top"/>
          </w:tcPr>
          <w:p w14:paraId="7A392F09">
            <w:pPr>
              <w:spacing w:before="40" w:line="274"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11</w:t>
            </w:r>
          </w:p>
        </w:tc>
        <w:tc>
          <w:tcPr>
            <w:tcW w:w="2441" w:type="dxa"/>
            <w:vAlign w:val="top"/>
          </w:tcPr>
          <w:p w14:paraId="40D1939F">
            <w:pPr>
              <w:pStyle w:val="6"/>
              <w:spacing w:before="68" w:line="229" w:lineRule="auto"/>
              <w:ind w:left="114"/>
            </w:pPr>
            <w:r>
              <w:rPr>
                <w:spacing w:val="1"/>
              </w:rPr>
              <w:t>是否三河、三湖、两控区</w:t>
            </w:r>
          </w:p>
        </w:tc>
        <w:tc>
          <w:tcPr>
            <w:tcW w:w="5839" w:type="dxa"/>
            <w:vAlign w:val="top"/>
          </w:tcPr>
          <w:p w14:paraId="5B32D063">
            <w:pPr>
              <w:pStyle w:val="6"/>
              <w:spacing w:before="68" w:line="229" w:lineRule="auto"/>
              <w:ind w:left="2087"/>
            </w:pPr>
            <w:r>
              <w:rPr>
                <w:spacing w:val="7"/>
              </w:rPr>
              <w:t>是（酸雨控制区）</w:t>
            </w:r>
          </w:p>
        </w:tc>
      </w:tr>
      <w:tr w14:paraId="0E919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0" w:type="dxa"/>
            <w:vAlign w:val="top"/>
          </w:tcPr>
          <w:p w14:paraId="6EE7047F">
            <w:pPr>
              <w:spacing w:before="38"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2441" w:type="dxa"/>
            <w:vAlign w:val="top"/>
          </w:tcPr>
          <w:p w14:paraId="1280C47A">
            <w:pPr>
              <w:pStyle w:val="6"/>
              <w:spacing w:before="69" w:line="228" w:lineRule="auto"/>
              <w:ind w:left="597"/>
            </w:pPr>
            <w:r>
              <w:rPr>
                <w:spacing w:val="7"/>
              </w:rPr>
              <w:t>是否水库库区</w:t>
            </w:r>
          </w:p>
        </w:tc>
        <w:tc>
          <w:tcPr>
            <w:tcW w:w="5839" w:type="dxa"/>
            <w:vAlign w:val="top"/>
          </w:tcPr>
          <w:p w14:paraId="07312348">
            <w:pPr>
              <w:pStyle w:val="6"/>
              <w:spacing w:before="69" w:line="229" w:lineRule="auto"/>
              <w:ind w:left="2825"/>
            </w:pPr>
            <w:r>
              <w:t>否</w:t>
            </w:r>
          </w:p>
        </w:tc>
      </w:tr>
      <w:tr w14:paraId="39F08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70" w:type="dxa"/>
            <w:vAlign w:val="top"/>
          </w:tcPr>
          <w:p w14:paraId="2CFB2BBF">
            <w:pPr>
              <w:spacing w:before="142"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2441" w:type="dxa"/>
            <w:vAlign w:val="top"/>
          </w:tcPr>
          <w:p w14:paraId="0A16EBFA">
            <w:pPr>
              <w:pStyle w:val="6"/>
              <w:spacing w:before="36" w:line="228" w:lineRule="auto"/>
              <w:ind w:left="177"/>
            </w:pPr>
            <w:r>
              <w:rPr>
                <w:spacing w:val="8"/>
              </w:rPr>
              <w:t>是否污水处理厂集水范</w:t>
            </w:r>
          </w:p>
          <w:p w14:paraId="76136057">
            <w:pPr>
              <w:pStyle w:val="6"/>
              <w:spacing w:before="23" w:line="219" w:lineRule="auto"/>
              <w:ind w:left="1138"/>
            </w:pPr>
            <w:r>
              <w:t>围</w:t>
            </w:r>
          </w:p>
        </w:tc>
        <w:tc>
          <w:tcPr>
            <w:tcW w:w="5839" w:type="dxa"/>
            <w:vAlign w:val="top"/>
          </w:tcPr>
          <w:p w14:paraId="50D4495C">
            <w:pPr>
              <w:pStyle w:val="6"/>
              <w:spacing w:before="170" w:line="229" w:lineRule="auto"/>
              <w:ind w:left="2825"/>
            </w:pPr>
            <w:r>
              <w:t>否</w:t>
            </w:r>
          </w:p>
        </w:tc>
      </w:tr>
    </w:tbl>
    <w:p w14:paraId="0A808F44">
      <w:pPr>
        <w:pStyle w:val="2"/>
      </w:pPr>
    </w:p>
    <w:p w14:paraId="39DD1355">
      <w:pPr>
        <w:sectPr>
          <w:footerReference r:id="rId36" w:type="default"/>
          <w:pgSz w:w="11906" w:h="16839"/>
          <w:pgMar w:top="1405" w:right="1475" w:bottom="1485" w:left="1475" w:header="0" w:footer="1249" w:gutter="0"/>
          <w:cols w:space="720" w:num="1"/>
        </w:sectPr>
      </w:pPr>
    </w:p>
    <w:p w14:paraId="73FA7DEE">
      <w:pPr>
        <w:spacing w:line="7816" w:lineRule="exact"/>
        <w:ind w:firstLine="942"/>
      </w:pPr>
      <w:r>
        <w:rPr>
          <w:position w:val="-156"/>
        </w:rPr>
        <w:drawing>
          <wp:inline distT="0" distB="0" distL="0" distR="0">
            <wp:extent cx="6298565" cy="496316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01"/>
                    <a:stretch>
                      <a:fillRect/>
                    </a:stretch>
                  </pic:blipFill>
                  <pic:spPr>
                    <a:xfrm>
                      <a:off x="0" y="0"/>
                      <a:ext cx="6298691" cy="4963667"/>
                    </a:xfrm>
                    <a:prstGeom prst="rect">
                      <a:avLst/>
                    </a:prstGeom>
                  </pic:spPr>
                </pic:pic>
              </a:graphicData>
            </a:graphic>
          </wp:inline>
        </w:drawing>
      </w:r>
    </w:p>
    <w:p w14:paraId="32051179">
      <w:pPr>
        <w:spacing w:before="128" w:line="220" w:lineRule="auto"/>
        <w:ind w:left="3835"/>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54"/>
          <w:sz w:val="24"/>
          <w:szCs w:val="24"/>
        </w:rPr>
        <w:t xml:space="preserve"> </w:t>
      </w:r>
      <w:r>
        <w:rPr>
          <w:rFonts w:ascii="Times New Roman" w:hAnsi="Times New Roman" w:eastAsia="Times New Roman" w:cs="Times New Roman"/>
          <w:b/>
          <w:bCs/>
          <w:spacing w:val="-3"/>
          <w:sz w:val="24"/>
          <w:szCs w:val="24"/>
        </w:rPr>
        <w:t>2.3-1</w:t>
      </w:r>
      <w:r>
        <w:rPr>
          <w:rFonts w:ascii="Times New Roman" w:hAnsi="Times New Roman" w:eastAsia="Times New Roman" w:cs="Times New Roman"/>
          <w:b/>
          <w:bCs/>
          <w:spacing w:val="14"/>
          <w:sz w:val="24"/>
          <w:szCs w:val="24"/>
        </w:rPr>
        <w:t xml:space="preserve"> </w:t>
      </w:r>
      <w:r>
        <w:rPr>
          <w:rFonts w:ascii="宋体" w:hAnsi="宋体" w:eastAsia="宋体" w:cs="宋体"/>
          <w:b/>
          <w:bCs/>
          <w:spacing w:val="-3"/>
          <w:sz w:val="24"/>
          <w:szCs w:val="24"/>
        </w:rPr>
        <w:t>水环境功能区划图（</w:t>
      </w:r>
      <w:r>
        <w:rPr>
          <w:rFonts w:ascii="Times New Roman" w:hAnsi="Times New Roman" w:eastAsia="Times New Roman" w:cs="Times New Roman"/>
          <w:b/>
          <w:bCs/>
          <w:spacing w:val="-3"/>
          <w:sz w:val="24"/>
          <w:szCs w:val="24"/>
        </w:rPr>
        <w:t>1:500000</w:t>
      </w:r>
      <w:r>
        <w:rPr>
          <w:rFonts w:ascii="宋体" w:hAnsi="宋体" w:eastAsia="宋体" w:cs="宋体"/>
          <w:b/>
          <w:bCs/>
          <w:spacing w:val="-3"/>
          <w:sz w:val="24"/>
          <w:szCs w:val="24"/>
        </w:rPr>
        <w:t>）</w:t>
      </w:r>
    </w:p>
    <w:p w14:paraId="16BD25B9">
      <w:pPr>
        <w:spacing w:line="220" w:lineRule="auto"/>
        <w:rPr>
          <w:rFonts w:ascii="宋体" w:hAnsi="宋体" w:eastAsia="宋体" w:cs="宋体"/>
          <w:sz w:val="24"/>
          <w:szCs w:val="24"/>
        </w:rPr>
        <w:sectPr>
          <w:footerReference r:id="rId37" w:type="default"/>
          <w:pgSz w:w="16839" w:h="11906"/>
          <w:pgMar w:top="288" w:right="2525" w:bottom="1485" w:left="2525" w:header="0" w:footer="1249" w:gutter="0"/>
          <w:cols w:space="720" w:num="1"/>
        </w:sectPr>
      </w:pPr>
    </w:p>
    <w:p w14:paraId="5F111994">
      <w:pPr>
        <w:spacing w:line="7903" w:lineRule="exact"/>
        <w:ind w:firstLine="563"/>
      </w:pPr>
      <w:r>
        <w:rPr>
          <w:position w:val="-158"/>
        </w:rPr>
        <w:drawing>
          <wp:inline distT="0" distB="0" distL="0" distR="0">
            <wp:extent cx="6384925" cy="501840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02"/>
                    <a:stretch>
                      <a:fillRect/>
                    </a:stretch>
                  </pic:blipFill>
                  <pic:spPr>
                    <a:xfrm>
                      <a:off x="0" y="0"/>
                      <a:ext cx="6385559" cy="5018532"/>
                    </a:xfrm>
                    <a:prstGeom prst="rect">
                      <a:avLst/>
                    </a:prstGeom>
                  </pic:spPr>
                </pic:pic>
              </a:graphicData>
            </a:graphic>
          </wp:inline>
        </w:drawing>
      </w:r>
    </w:p>
    <w:p w14:paraId="045B8CFB">
      <w:pPr>
        <w:spacing w:before="248" w:line="221" w:lineRule="auto"/>
        <w:ind w:left="3715"/>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36"/>
          <w:sz w:val="24"/>
          <w:szCs w:val="24"/>
        </w:rPr>
        <w:t xml:space="preserve"> </w:t>
      </w:r>
      <w:r>
        <w:rPr>
          <w:rFonts w:ascii="Times New Roman" w:hAnsi="Times New Roman" w:eastAsia="Times New Roman" w:cs="Times New Roman"/>
          <w:b/>
          <w:bCs/>
          <w:spacing w:val="-3"/>
          <w:sz w:val="24"/>
          <w:szCs w:val="24"/>
        </w:rPr>
        <w:t xml:space="preserve">2.3-2 </w:t>
      </w:r>
      <w:r>
        <w:rPr>
          <w:rFonts w:ascii="宋体" w:hAnsi="宋体" w:eastAsia="宋体" w:cs="宋体"/>
          <w:b/>
          <w:bCs/>
          <w:spacing w:val="-3"/>
          <w:sz w:val="24"/>
          <w:szCs w:val="24"/>
        </w:rPr>
        <w:t>大气环境功能区划图（</w:t>
      </w:r>
      <w:r>
        <w:rPr>
          <w:rFonts w:ascii="Times New Roman" w:hAnsi="Times New Roman" w:eastAsia="Times New Roman" w:cs="Times New Roman"/>
          <w:b/>
          <w:bCs/>
          <w:spacing w:val="-3"/>
          <w:sz w:val="24"/>
          <w:szCs w:val="24"/>
        </w:rPr>
        <w:t>1:500000</w:t>
      </w:r>
      <w:r>
        <w:rPr>
          <w:rFonts w:ascii="宋体" w:hAnsi="宋体" w:eastAsia="宋体" w:cs="宋体"/>
          <w:b/>
          <w:bCs/>
          <w:spacing w:val="-3"/>
          <w:sz w:val="24"/>
          <w:szCs w:val="24"/>
        </w:rPr>
        <w:t>）</w:t>
      </w:r>
    </w:p>
    <w:p w14:paraId="0B902D63">
      <w:pPr>
        <w:spacing w:line="221" w:lineRule="auto"/>
        <w:rPr>
          <w:rFonts w:ascii="宋体" w:hAnsi="宋体" w:eastAsia="宋体" w:cs="宋体"/>
          <w:sz w:val="24"/>
          <w:szCs w:val="24"/>
        </w:rPr>
        <w:sectPr>
          <w:footerReference r:id="rId38" w:type="default"/>
          <w:pgSz w:w="16839" w:h="11906"/>
          <w:pgMar w:top="407" w:right="2525" w:bottom="1485" w:left="2525" w:header="0" w:footer="1249" w:gutter="0"/>
          <w:cols w:space="720" w:num="1"/>
        </w:sectPr>
      </w:pPr>
    </w:p>
    <w:p w14:paraId="27945B78">
      <w:pPr>
        <w:spacing w:line="7581" w:lineRule="exact"/>
        <w:ind w:firstLine="474"/>
      </w:pPr>
      <w:r>
        <w:rPr>
          <w:position w:val="-151"/>
        </w:rPr>
        <w:drawing>
          <wp:inline distT="0" distB="0" distL="0" distR="0">
            <wp:extent cx="6923405" cy="481393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03"/>
                    <a:stretch>
                      <a:fillRect/>
                    </a:stretch>
                  </pic:blipFill>
                  <pic:spPr>
                    <a:xfrm>
                      <a:off x="0" y="0"/>
                      <a:ext cx="6923532" cy="4814316"/>
                    </a:xfrm>
                    <a:prstGeom prst="rect">
                      <a:avLst/>
                    </a:prstGeom>
                  </pic:spPr>
                </pic:pic>
              </a:graphicData>
            </a:graphic>
          </wp:inline>
        </w:drawing>
      </w:r>
    </w:p>
    <w:p w14:paraId="368D51ED">
      <w:pPr>
        <w:spacing w:before="246" w:line="220" w:lineRule="auto"/>
        <w:ind w:left="3516"/>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37"/>
          <w:sz w:val="24"/>
          <w:szCs w:val="24"/>
        </w:rPr>
        <w:t xml:space="preserve"> </w:t>
      </w:r>
      <w:r>
        <w:rPr>
          <w:rFonts w:ascii="Times New Roman" w:hAnsi="Times New Roman" w:eastAsia="Times New Roman" w:cs="Times New Roman"/>
          <w:b/>
          <w:bCs/>
          <w:spacing w:val="-3"/>
          <w:sz w:val="24"/>
          <w:szCs w:val="24"/>
        </w:rPr>
        <w:t xml:space="preserve">2.3-3 </w:t>
      </w:r>
      <w:r>
        <w:rPr>
          <w:rFonts w:ascii="宋体" w:hAnsi="宋体" w:eastAsia="宋体" w:cs="宋体"/>
          <w:b/>
          <w:bCs/>
          <w:spacing w:val="-3"/>
          <w:sz w:val="24"/>
          <w:szCs w:val="24"/>
        </w:rPr>
        <w:t>地下水环境功能区划图（</w:t>
      </w:r>
      <w:r>
        <w:rPr>
          <w:rFonts w:ascii="Times New Roman" w:hAnsi="Times New Roman" w:eastAsia="Times New Roman" w:cs="Times New Roman"/>
          <w:b/>
          <w:bCs/>
          <w:spacing w:val="-3"/>
          <w:sz w:val="24"/>
          <w:szCs w:val="24"/>
        </w:rPr>
        <w:t>1</w:t>
      </w: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710000</w:t>
      </w:r>
      <w:r>
        <w:rPr>
          <w:rFonts w:ascii="宋体" w:hAnsi="宋体" w:eastAsia="宋体" w:cs="宋体"/>
          <w:b/>
          <w:bCs/>
          <w:spacing w:val="-3"/>
          <w:sz w:val="24"/>
          <w:szCs w:val="24"/>
        </w:rPr>
        <w:t>）</w:t>
      </w:r>
    </w:p>
    <w:p w14:paraId="18BAF7E2">
      <w:pPr>
        <w:spacing w:line="220" w:lineRule="auto"/>
        <w:rPr>
          <w:rFonts w:ascii="宋体" w:hAnsi="宋体" w:eastAsia="宋体" w:cs="宋体"/>
          <w:sz w:val="24"/>
          <w:szCs w:val="24"/>
        </w:rPr>
        <w:sectPr>
          <w:footerReference r:id="rId39" w:type="default"/>
          <w:pgSz w:w="16839" w:h="11906"/>
          <w:pgMar w:top="405" w:right="2525" w:bottom="1485" w:left="2525" w:header="0" w:footer="1249" w:gutter="0"/>
          <w:cols w:space="720" w:num="1"/>
        </w:sectPr>
      </w:pPr>
    </w:p>
    <w:p w14:paraId="380BE484">
      <w:pPr>
        <w:spacing w:line="7771" w:lineRule="exact"/>
        <w:ind w:firstLine="951"/>
      </w:pPr>
      <w:r>
        <w:rPr>
          <w:position w:val="-155"/>
        </w:rPr>
        <w:drawing>
          <wp:inline distT="0" distB="0" distL="0" distR="0">
            <wp:extent cx="6293485" cy="49345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04"/>
                    <a:stretch>
                      <a:fillRect/>
                    </a:stretch>
                  </pic:blipFill>
                  <pic:spPr>
                    <a:xfrm>
                      <a:off x="0" y="0"/>
                      <a:ext cx="6294119" cy="4934711"/>
                    </a:xfrm>
                    <a:prstGeom prst="rect">
                      <a:avLst/>
                    </a:prstGeom>
                  </pic:spPr>
                </pic:pic>
              </a:graphicData>
            </a:graphic>
          </wp:inline>
        </w:drawing>
      </w:r>
    </w:p>
    <w:p w14:paraId="1F654CD1">
      <w:pPr>
        <w:spacing w:before="151" w:line="222" w:lineRule="auto"/>
        <w:ind w:left="3955"/>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39"/>
          <w:sz w:val="24"/>
          <w:szCs w:val="24"/>
        </w:rPr>
        <w:t xml:space="preserve"> </w:t>
      </w:r>
      <w:r>
        <w:rPr>
          <w:rFonts w:ascii="Times New Roman" w:hAnsi="Times New Roman" w:eastAsia="Times New Roman" w:cs="Times New Roman"/>
          <w:b/>
          <w:bCs/>
          <w:spacing w:val="-3"/>
          <w:sz w:val="24"/>
          <w:szCs w:val="24"/>
        </w:rPr>
        <w:t xml:space="preserve">2.3-4 </w:t>
      </w:r>
      <w:r>
        <w:rPr>
          <w:rFonts w:ascii="宋体" w:hAnsi="宋体" w:eastAsia="宋体" w:cs="宋体"/>
          <w:b/>
          <w:bCs/>
          <w:spacing w:val="-3"/>
          <w:sz w:val="24"/>
          <w:szCs w:val="24"/>
        </w:rPr>
        <w:t>生态功能区划图（</w:t>
      </w:r>
      <w:r>
        <w:rPr>
          <w:rFonts w:ascii="Times New Roman" w:hAnsi="Times New Roman" w:eastAsia="Times New Roman" w:cs="Times New Roman"/>
          <w:b/>
          <w:bCs/>
          <w:spacing w:val="-3"/>
          <w:sz w:val="24"/>
          <w:szCs w:val="24"/>
        </w:rPr>
        <w:t>1:500000</w:t>
      </w:r>
      <w:r>
        <w:rPr>
          <w:rFonts w:ascii="宋体" w:hAnsi="宋体" w:eastAsia="宋体" w:cs="宋体"/>
          <w:b/>
          <w:bCs/>
          <w:spacing w:val="-3"/>
          <w:sz w:val="24"/>
          <w:szCs w:val="24"/>
        </w:rPr>
        <w:t>）</w:t>
      </w:r>
    </w:p>
    <w:p w14:paraId="6537325B">
      <w:pPr>
        <w:spacing w:line="222" w:lineRule="auto"/>
        <w:rPr>
          <w:rFonts w:ascii="宋体" w:hAnsi="宋体" w:eastAsia="宋体" w:cs="宋体"/>
          <w:sz w:val="24"/>
          <w:szCs w:val="24"/>
        </w:rPr>
        <w:sectPr>
          <w:footerReference r:id="rId40" w:type="default"/>
          <w:pgSz w:w="16839" w:h="11906"/>
          <w:pgMar w:top="309" w:right="2525" w:bottom="1485" w:left="2525" w:header="0" w:footer="1249" w:gutter="0"/>
          <w:cols w:space="720" w:num="1"/>
        </w:sectPr>
      </w:pPr>
    </w:p>
    <w:p w14:paraId="16655372">
      <w:pPr>
        <w:pStyle w:val="2"/>
        <w:spacing w:line="312" w:lineRule="auto"/>
      </w:pPr>
    </w:p>
    <w:p w14:paraId="54F64AB8">
      <w:pPr>
        <w:spacing w:before="101" w:line="224" w:lineRule="auto"/>
        <w:ind w:left="121"/>
        <w:outlineLvl w:val="1"/>
        <w:rPr>
          <w:rFonts w:ascii="宋体" w:hAnsi="宋体" w:eastAsia="宋体" w:cs="宋体"/>
          <w:sz w:val="31"/>
          <w:szCs w:val="31"/>
        </w:rPr>
      </w:pPr>
      <w:bookmarkStart w:id="13" w:name="bookmark12"/>
      <w:bookmarkEnd w:id="13"/>
      <w:r>
        <w:rPr>
          <w:rFonts w:ascii="Times New Roman" w:hAnsi="Times New Roman" w:eastAsia="Times New Roman" w:cs="Times New Roman"/>
          <w:b/>
          <w:bCs/>
          <w:spacing w:val="5"/>
          <w:sz w:val="31"/>
          <w:szCs w:val="31"/>
        </w:rPr>
        <w:t>2.4</w:t>
      </w:r>
      <w:r>
        <w:rPr>
          <w:rFonts w:ascii="宋体" w:hAnsi="宋体" w:eastAsia="宋体" w:cs="宋体"/>
          <w:b/>
          <w:bCs/>
          <w:spacing w:val="5"/>
          <w:sz w:val="31"/>
          <w:szCs w:val="31"/>
        </w:rPr>
        <w:t>评价等级与范围</w:t>
      </w:r>
    </w:p>
    <w:p w14:paraId="0902DD6A">
      <w:pPr>
        <w:pStyle w:val="2"/>
        <w:spacing w:line="412" w:lineRule="auto"/>
      </w:pPr>
    </w:p>
    <w:p w14:paraId="6A316D74">
      <w:pPr>
        <w:spacing w:before="78"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2.4.1</w:t>
      </w:r>
      <w:r>
        <w:rPr>
          <w:rFonts w:ascii="宋体" w:hAnsi="宋体" w:eastAsia="宋体" w:cs="宋体"/>
          <w:b/>
          <w:bCs/>
          <w:spacing w:val="-2"/>
          <w:sz w:val="24"/>
          <w:szCs w:val="24"/>
        </w:rPr>
        <w:t>地表水环境影响评价等级与范围</w:t>
      </w:r>
    </w:p>
    <w:p w14:paraId="15ED1943">
      <w:pPr>
        <w:spacing w:before="167"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）评价等级</w:t>
      </w:r>
    </w:p>
    <w:p w14:paraId="0AA6EFC0">
      <w:pPr>
        <w:spacing w:before="130" w:line="366" w:lineRule="auto"/>
        <w:ind w:left="125" w:right="108" w:firstLine="477"/>
        <w:rPr>
          <w:rFonts w:ascii="宋体" w:hAnsi="宋体" w:eastAsia="宋体" w:cs="宋体"/>
          <w:sz w:val="24"/>
          <w:szCs w:val="24"/>
        </w:rPr>
      </w:pPr>
      <w:r>
        <w:rPr>
          <w:rFonts w:ascii="宋体" w:hAnsi="宋体" w:eastAsia="宋体" w:cs="宋体"/>
          <w:spacing w:val="-2"/>
          <w:sz w:val="24"/>
          <w:szCs w:val="24"/>
        </w:rPr>
        <w:t>根据《环境影响评价技术导则地表水环境》（</w:t>
      </w:r>
      <w:r>
        <w:rPr>
          <w:rFonts w:ascii="Times New Roman" w:hAnsi="Times New Roman" w:eastAsia="Times New Roman" w:cs="Times New Roman"/>
          <w:spacing w:val="-2"/>
          <w:sz w:val="24"/>
          <w:szCs w:val="24"/>
        </w:rPr>
        <w:t>HJ2.3-2018</w:t>
      </w:r>
      <w:r>
        <w:rPr>
          <w:rFonts w:ascii="宋体" w:hAnsi="宋体" w:eastAsia="宋体" w:cs="宋体"/>
          <w:spacing w:val="-2"/>
          <w:sz w:val="24"/>
          <w:szCs w:val="24"/>
        </w:rPr>
        <w:t>）规定，水污</w:t>
      </w:r>
      <w:r>
        <w:rPr>
          <w:rFonts w:ascii="宋体" w:hAnsi="宋体" w:eastAsia="宋体" w:cs="宋体"/>
          <w:spacing w:val="-3"/>
          <w:sz w:val="24"/>
          <w:szCs w:val="24"/>
        </w:rPr>
        <w:t>染影响型</w:t>
      </w:r>
      <w:r>
        <w:rPr>
          <w:rFonts w:ascii="宋体" w:hAnsi="宋体" w:eastAsia="宋体" w:cs="宋体"/>
          <w:sz w:val="24"/>
          <w:szCs w:val="24"/>
        </w:rPr>
        <w:t xml:space="preserve"> </w:t>
      </w:r>
      <w:r>
        <w:rPr>
          <w:rFonts w:ascii="宋体" w:hAnsi="宋体" w:eastAsia="宋体" w:cs="宋体"/>
          <w:spacing w:val="-1"/>
          <w:sz w:val="24"/>
          <w:szCs w:val="24"/>
        </w:rPr>
        <w:t>建设项目根据排放方式和废水排放量划分评价等级。</w:t>
      </w:r>
    </w:p>
    <w:p w14:paraId="13FFAA30">
      <w:pPr>
        <w:spacing w:before="64" w:line="378" w:lineRule="auto"/>
        <w:ind w:left="122" w:right="201" w:firstLine="480"/>
        <w:jc w:val="both"/>
        <w:rPr>
          <w:rFonts w:ascii="宋体" w:hAnsi="宋体" w:eastAsia="宋体" w:cs="宋体"/>
          <w:sz w:val="24"/>
          <w:szCs w:val="24"/>
        </w:rPr>
      </w:pPr>
      <w:r>
        <w:rPr>
          <w:rFonts w:ascii="宋体" w:hAnsi="宋体" w:eastAsia="宋体" w:cs="宋体"/>
          <w:sz w:val="24"/>
          <w:szCs w:val="24"/>
        </w:rPr>
        <w:t>本项目猪只尿液、猪舍冲洗水与猪粪一起收集，经</w:t>
      </w:r>
      <w:r>
        <w:rPr>
          <w:rFonts w:ascii="宋体" w:hAnsi="宋体" w:eastAsia="宋体" w:cs="宋体"/>
          <w:spacing w:val="-1"/>
          <w:sz w:val="24"/>
          <w:szCs w:val="24"/>
        </w:rPr>
        <w:t>异位发酵床发酵制作有机肥</w:t>
      </w:r>
      <w:r>
        <w:rPr>
          <w:rFonts w:ascii="宋体" w:hAnsi="宋体" w:eastAsia="宋体" w:cs="宋体"/>
          <w:sz w:val="24"/>
          <w:szCs w:val="24"/>
        </w:rPr>
        <w:t xml:space="preserve"> 半成品外售，不单独收集，不外排。项目产生的生活污水</w:t>
      </w:r>
      <w:r>
        <w:rPr>
          <w:rFonts w:ascii="宋体" w:hAnsi="宋体" w:eastAsia="宋体" w:cs="宋体"/>
          <w:spacing w:val="-1"/>
          <w:sz w:val="24"/>
          <w:szCs w:val="24"/>
        </w:rPr>
        <w:t>与猪只粪污一起经异位发</w:t>
      </w:r>
      <w:r>
        <w:rPr>
          <w:rFonts w:ascii="宋体" w:hAnsi="宋体" w:eastAsia="宋体" w:cs="宋体"/>
          <w:sz w:val="24"/>
          <w:szCs w:val="24"/>
        </w:rPr>
        <w:t xml:space="preserve"> 酵床发酵制作有机肥半成品外售，不行外排。根据《环境</w:t>
      </w:r>
      <w:r>
        <w:rPr>
          <w:rFonts w:ascii="宋体" w:hAnsi="宋体" w:eastAsia="宋体" w:cs="宋体"/>
          <w:spacing w:val="-1"/>
          <w:sz w:val="24"/>
          <w:szCs w:val="24"/>
        </w:rPr>
        <w:t>影响评价技术导则—地表</w:t>
      </w:r>
      <w:r>
        <w:rPr>
          <w:rFonts w:ascii="宋体" w:hAnsi="宋体" w:eastAsia="宋体" w:cs="宋体"/>
          <w:sz w:val="24"/>
          <w:szCs w:val="24"/>
        </w:rPr>
        <w:t xml:space="preserve"> </w:t>
      </w:r>
      <w:r>
        <w:rPr>
          <w:rFonts w:ascii="宋体" w:hAnsi="宋体" w:eastAsia="宋体" w:cs="宋体"/>
          <w:spacing w:val="1"/>
          <w:sz w:val="24"/>
          <w:szCs w:val="24"/>
        </w:rPr>
        <w:t>水环境》（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2.3-2018</w:t>
      </w:r>
      <w:r>
        <w:rPr>
          <w:rFonts w:ascii="宋体" w:hAnsi="宋体" w:eastAsia="宋体" w:cs="宋体"/>
          <w:spacing w:val="1"/>
          <w:sz w:val="24"/>
          <w:szCs w:val="24"/>
        </w:rPr>
        <w:t>）的要求，水污染影响型建设项目根据废水排放方式和排放</w:t>
      </w:r>
      <w:r>
        <w:rPr>
          <w:rFonts w:ascii="宋体" w:hAnsi="宋体" w:eastAsia="宋体" w:cs="宋体"/>
          <w:spacing w:val="9"/>
          <w:sz w:val="24"/>
          <w:szCs w:val="24"/>
        </w:rPr>
        <w:t xml:space="preserve"> </w:t>
      </w:r>
      <w:r>
        <w:rPr>
          <w:rFonts w:ascii="宋体" w:hAnsi="宋体" w:eastAsia="宋体" w:cs="宋体"/>
          <w:spacing w:val="-1"/>
          <w:sz w:val="24"/>
          <w:szCs w:val="24"/>
        </w:rPr>
        <w:t>量划分评价等级，见表</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2.4-1</w:t>
      </w:r>
      <w:r>
        <w:rPr>
          <w:rFonts w:ascii="宋体" w:hAnsi="宋体" w:eastAsia="宋体" w:cs="宋体"/>
          <w:spacing w:val="-1"/>
          <w:sz w:val="24"/>
          <w:szCs w:val="24"/>
        </w:rPr>
        <w:t>。</w:t>
      </w:r>
    </w:p>
    <w:p w14:paraId="4FA2E5BD">
      <w:pPr>
        <w:spacing w:before="1" w:line="226" w:lineRule="auto"/>
        <w:ind w:left="2508"/>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8"/>
          <w:sz w:val="20"/>
          <w:szCs w:val="20"/>
        </w:rPr>
        <w:t xml:space="preserve"> </w:t>
      </w:r>
      <w:r>
        <w:rPr>
          <w:rFonts w:ascii="Times New Roman" w:hAnsi="Times New Roman" w:eastAsia="Times New Roman" w:cs="Times New Roman"/>
          <w:b/>
          <w:bCs/>
          <w:spacing w:val="6"/>
          <w:sz w:val="20"/>
          <w:szCs w:val="20"/>
        </w:rPr>
        <w:t xml:space="preserve">2.4-1  </w:t>
      </w:r>
      <w:r>
        <w:rPr>
          <w:rFonts w:ascii="宋体" w:hAnsi="宋体" w:eastAsia="宋体" w:cs="宋体"/>
          <w:b/>
          <w:bCs/>
          <w:spacing w:val="6"/>
          <w:sz w:val="20"/>
          <w:szCs w:val="20"/>
        </w:rPr>
        <w:t>水污染影响型建设项目评价等级判定表</w:t>
      </w:r>
    </w:p>
    <w:p w14:paraId="013F7AE6">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5"/>
        <w:gridCol w:w="2027"/>
        <w:gridCol w:w="4868"/>
      </w:tblGrid>
      <w:tr w14:paraId="32587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55" w:type="dxa"/>
            <w:vMerge w:val="restart"/>
            <w:tcBorders>
              <w:bottom w:val="nil"/>
            </w:tcBorders>
            <w:vAlign w:val="top"/>
          </w:tcPr>
          <w:p w14:paraId="114E81D5">
            <w:pPr>
              <w:spacing w:line="326" w:lineRule="auto"/>
              <w:rPr>
                <w:rFonts w:ascii="Arial"/>
                <w:sz w:val="21"/>
              </w:rPr>
            </w:pPr>
          </w:p>
          <w:p w14:paraId="68228BB8">
            <w:pPr>
              <w:pStyle w:val="6"/>
              <w:spacing w:before="65" w:line="227" w:lineRule="auto"/>
              <w:ind w:left="612"/>
            </w:pPr>
            <w:r>
              <w:rPr>
                <w:b/>
                <w:bCs/>
                <w:spacing w:val="6"/>
              </w:rPr>
              <w:t>评价等级</w:t>
            </w:r>
          </w:p>
        </w:tc>
        <w:tc>
          <w:tcPr>
            <w:tcW w:w="6895" w:type="dxa"/>
            <w:gridSpan w:val="2"/>
            <w:vAlign w:val="top"/>
          </w:tcPr>
          <w:p w14:paraId="3CCC6AF7">
            <w:pPr>
              <w:pStyle w:val="6"/>
              <w:spacing w:before="64" w:line="228" w:lineRule="auto"/>
              <w:ind w:left="3032"/>
            </w:pPr>
            <w:r>
              <w:rPr>
                <w:b/>
                <w:bCs/>
                <w:spacing w:val="6"/>
              </w:rPr>
              <w:t>判定依据</w:t>
            </w:r>
          </w:p>
        </w:tc>
      </w:tr>
      <w:tr w14:paraId="5971F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2055" w:type="dxa"/>
            <w:vMerge w:val="continue"/>
            <w:tcBorders>
              <w:top w:val="nil"/>
            </w:tcBorders>
            <w:vAlign w:val="top"/>
          </w:tcPr>
          <w:p w14:paraId="3C3942AF">
            <w:pPr>
              <w:rPr>
                <w:rFonts w:ascii="Arial"/>
                <w:sz w:val="21"/>
              </w:rPr>
            </w:pPr>
          </w:p>
        </w:tc>
        <w:tc>
          <w:tcPr>
            <w:tcW w:w="2027" w:type="dxa"/>
            <w:vAlign w:val="top"/>
          </w:tcPr>
          <w:p w14:paraId="24718F73">
            <w:pPr>
              <w:pStyle w:val="6"/>
              <w:spacing w:before="221" w:line="230" w:lineRule="auto"/>
              <w:ind w:left="598"/>
            </w:pPr>
            <w:r>
              <w:rPr>
                <w:b/>
                <w:bCs/>
                <w:spacing w:val="6"/>
              </w:rPr>
              <w:t>排放方式</w:t>
            </w:r>
          </w:p>
        </w:tc>
        <w:tc>
          <w:tcPr>
            <w:tcW w:w="4868" w:type="dxa"/>
            <w:vAlign w:val="top"/>
          </w:tcPr>
          <w:p w14:paraId="4DA74920">
            <w:pPr>
              <w:pStyle w:val="6"/>
              <w:spacing w:before="60" w:line="221" w:lineRule="auto"/>
              <w:ind w:left="121"/>
            </w:pPr>
            <w:r>
              <w:rPr>
                <w:b/>
                <w:bCs/>
                <w:spacing w:val="6"/>
              </w:rPr>
              <w:t>废水排放量</w:t>
            </w:r>
            <w:r>
              <w:rPr>
                <w:spacing w:val="-40"/>
              </w:rPr>
              <w:t xml:space="preserve"> </w:t>
            </w:r>
            <w:r>
              <w:rPr>
                <w:rFonts w:ascii="Times New Roman" w:hAnsi="Times New Roman" w:eastAsia="Times New Roman" w:cs="Times New Roman"/>
                <w:b/>
                <w:bCs/>
                <w:spacing w:val="6"/>
              </w:rPr>
              <w:t>Q/</w:t>
            </w:r>
            <w:r>
              <w:rPr>
                <w:b/>
                <w:bCs/>
                <w:spacing w:val="6"/>
              </w:rPr>
              <w:t>（</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6"/>
                <w:sz w:val="13"/>
                <w:szCs w:val="13"/>
              </w:rPr>
              <w:t>3</w:t>
            </w:r>
            <w:r>
              <w:rPr>
                <w:rFonts w:ascii="Times New Roman" w:hAnsi="Times New Roman" w:eastAsia="Times New Roman" w:cs="Times New Roman"/>
                <w:b/>
                <w:bCs/>
                <w:spacing w:val="6"/>
              </w:rPr>
              <w:t>/d</w:t>
            </w:r>
            <w:r>
              <w:rPr>
                <w:b/>
                <w:bCs/>
                <w:spacing w:val="6"/>
              </w:rPr>
              <w:t>）</w:t>
            </w:r>
            <w:r>
              <w:rPr>
                <w:rFonts w:ascii="Times New Roman" w:hAnsi="Times New Roman" w:eastAsia="Times New Roman" w:cs="Times New Roman"/>
                <w:b/>
                <w:bCs/>
                <w:spacing w:val="6"/>
              </w:rPr>
              <w:t>;</w:t>
            </w:r>
            <w:r>
              <w:rPr>
                <w:b/>
                <w:bCs/>
                <w:spacing w:val="6"/>
              </w:rPr>
              <w:t>水污染物当量数</w:t>
            </w:r>
            <w:r>
              <w:rPr>
                <w:spacing w:val="-43"/>
              </w:rPr>
              <w:t xml:space="preserve"> </w:t>
            </w:r>
            <w:r>
              <w:rPr>
                <w:rFonts w:ascii="Times New Roman" w:hAnsi="Times New Roman" w:eastAsia="Times New Roman" w:cs="Times New Roman"/>
                <w:b/>
                <w:bCs/>
                <w:spacing w:val="6"/>
              </w:rPr>
              <w:t>W/</w:t>
            </w:r>
            <w:r>
              <w:rPr>
                <w:b/>
                <w:bCs/>
                <w:spacing w:val="5"/>
              </w:rPr>
              <w:t>（无量</w:t>
            </w:r>
          </w:p>
          <w:p w14:paraId="7045934C">
            <w:pPr>
              <w:pStyle w:val="6"/>
              <w:spacing w:before="85" w:line="231" w:lineRule="auto"/>
              <w:ind w:left="2232"/>
            </w:pPr>
            <w:r>
              <w:rPr>
                <w:b/>
                <w:bCs/>
                <w:spacing w:val="-4"/>
              </w:rPr>
              <w:t>纲）</w:t>
            </w:r>
          </w:p>
        </w:tc>
      </w:tr>
      <w:tr w14:paraId="63CA3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055" w:type="dxa"/>
            <w:vAlign w:val="top"/>
          </w:tcPr>
          <w:p w14:paraId="381904A5">
            <w:pPr>
              <w:pStyle w:val="6"/>
              <w:spacing w:before="59" w:line="231" w:lineRule="auto"/>
              <w:ind w:left="828"/>
            </w:pPr>
            <w:r>
              <w:rPr>
                <w:spacing w:val="3"/>
              </w:rPr>
              <w:t>一级</w:t>
            </w:r>
          </w:p>
        </w:tc>
        <w:tc>
          <w:tcPr>
            <w:tcW w:w="2027" w:type="dxa"/>
            <w:vAlign w:val="top"/>
          </w:tcPr>
          <w:p w14:paraId="4F53EBAD">
            <w:pPr>
              <w:pStyle w:val="6"/>
              <w:spacing w:before="59" w:line="230" w:lineRule="auto"/>
              <w:ind w:left="600"/>
            </w:pPr>
            <w:r>
              <w:rPr>
                <w:spacing w:val="6"/>
              </w:rPr>
              <w:t>直接排放</w:t>
            </w:r>
          </w:p>
        </w:tc>
        <w:tc>
          <w:tcPr>
            <w:tcW w:w="4868" w:type="dxa"/>
            <w:vAlign w:val="top"/>
          </w:tcPr>
          <w:p w14:paraId="7E01AB56">
            <w:pPr>
              <w:pStyle w:val="6"/>
              <w:spacing w:before="28" w:line="274" w:lineRule="exact"/>
              <w:ind w:left="1318"/>
              <w:rPr>
                <w:rFonts w:ascii="Times New Roman" w:hAnsi="Times New Roman" w:eastAsia="Times New Roman" w:cs="Times New Roman"/>
              </w:rPr>
            </w:pPr>
            <w:r>
              <w:rPr>
                <w:rFonts w:ascii="Times New Roman" w:hAnsi="Times New Roman" w:eastAsia="Times New Roman" w:cs="Times New Roman"/>
                <w:spacing w:val="5"/>
                <w:position w:val="2"/>
              </w:rPr>
              <w:t>Q</w:t>
            </w:r>
            <w:r>
              <w:rPr>
                <w:spacing w:val="5"/>
                <w:position w:val="2"/>
              </w:rPr>
              <w:t>≥</w:t>
            </w:r>
            <w:r>
              <w:rPr>
                <w:rFonts w:ascii="Times New Roman" w:hAnsi="Times New Roman" w:eastAsia="Times New Roman" w:cs="Times New Roman"/>
                <w:spacing w:val="5"/>
                <w:position w:val="2"/>
              </w:rPr>
              <w:t xml:space="preserve">20000 </w:t>
            </w:r>
            <w:r>
              <w:rPr>
                <w:spacing w:val="5"/>
                <w:position w:val="2"/>
              </w:rPr>
              <w:t>或</w:t>
            </w:r>
            <w:r>
              <w:rPr>
                <w:spacing w:val="-37"/>
                <w:position w:val="2"/>
              </w:rPr>
              <w:t xml:space="preserve"> </w:t>
            </w:r>
            <w:r>
              <w:rPr>
                <w:rFonts w:ascii="Times New Roman" w:hAnsi="Times New Roman" w:eastAsia="Times New Roman" w:cs="Times New Roman"/>
                <w:spacing w:val="5"/>
                <w:position w:val="2"/>
              </w:rPr>
              <w:t>W</w:t>
            </w:r>
            <w:r>
              <w:rPr>
                <w:spacing w:val="5"/>
                <w:position w:val="2"/>
              </w:rPr>
              <w:t>≥</w:t>
            </w:r>
            <w:r>
              <w:rPr>
                <w:rFonts w:ascii="Times New Roman" w:hAnsi="Times New Roman" w:eastAsia="Times New Roman" w:cs="Times New Roman"/>
                <w:spacing w:val="5"/>
                <w:position w:val="2"/>
              </w:rPr>
              <w:t>600000</w:t>
            </w:r>
          </w:p>
        </w:tc>
      </w:tr>
      <w:tr w14:paraId="09E60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055" w:type="dxa"/>
            <w:vAlign w:val="top"/>
          </w:tcPr>
          <w:p w14:paraId="0C051F5E">
            <w:pPr>
              <w:pStyle w:val="6"/>
              <w:spacing w:before="60" w:line="231" w:lineRule="auto"/>
              <w:ind w:left="828"/>
            </w:pPr>
            <w:r>
              <w:rPr>
                <w:spacing w:val="3"/>
              </w:rPr>
              <w:t>二级</w:t>
            </w:r>
          </w:p>
        </w:tc>
        <w:tc>
          <w:tcPr>
            <w:tcW w:w="2027" w:type="dxa"/>
            <w:vAlign w:val="top"/>
          </w:tcPr>
          <w:p w14:paraId="5685DD88">
            <w:pPr>
              <w:pStyle w:val="6"/>
              <w:spacing w:before="60" w:line="230" w:lineRule="auto"/>
              <w:ind w:left="600"/>
            </w:pPr>
            <w:r>
              <w:rPr>
                <w:spacing w:val="6"/>
              </w:rPr>
              <w:t>直接排放</w:t>
            </w:r>
          </w:p>
        </w:tc>
        <w:tc>
          <w:tcPr>
            <w:tcW w:w="4868" w:type="dxa"/>
            <w:vAlign w:val="top"/>
          </w:tcPr>
          <w:p w14:paraId="01FD87FC">
            <w:pPr>
              <w:pStyle w:val="6"/>
              <w:spacing w:before="60" w:line="229" w:lineRule="auto"/>
              <w:ind w:left="2229"/>
            </w:pPr>
            <w:r>
              <w:rPr>
                <w:spacing w:val="4"/>
              </w:rPr>
              <w:t>其他</w:t>
            </w:r>
          </w:p>
        </w:tc>
      </w:tr>
      <w:tr w14:paraId="16EDD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055" w:type="dxa"/>
            <w:vAlign w:val="top"/>
          </w:tcPr>
          <w:p w14:paraId="4BC6F8D1">
            <w:pPr>
              <w:pStyle w:val="6"/>
              <w:spacing w:before="61" w:line="231" w:lineRule="auto"/>
              <w:ind w:left="721"/>
              <w:rPr>
                <w:rFonts w:ascii="Times New Roman" w:hAnsi="Times New Roman" w:eastAsia="Times New Roman" w:cs="Times New Roman"/>
              </w:rPr>
            </w:pPr>
            <w:r>
              <w:rPr>
                <w:spacing w:val="4"/>
              </w:rPr>
              <w:t>三级</w:t>
            </w:r>
            <w:r>
              <w:rPr>
                <w:spacing w:val="-42"/>
              </w:rPr>
              <w:t xml:space="preserve"> </w:t>
            </w:r>
            <w:r>
              <w:rPr>
                <w:rFonts w:ascii="Times New Roman" w:hAnsi="Times New Roman" w:eastAsia="Times New Roman" w:cs="Times New Roman"/>
                <w:spacing w:val="4"/>
              </w:rPr>
              <w:t>A</w:t>
            </w:r>
          </w:p>
        </w:tc>
        <w:tc>
          <w:tcPr>
            <w:tcW w:w="2027" w:type="dxa"/>
            <w:vAlign w:val="top"/>
          </w:tcPr>
          <w:p w14:paraId="4EEC7D0D">
            <w:pPr>
              <w:pStyle w:val="6"/>
              <w:spacing w:before="61" w:line="230" w:lineRule="auto"/>
              <w:ind w:left="600"/>
            </w:pPr>
            <w:r>
              <w:rPr>
                <w:spacing w:val="6"/>
              </w:rPr>
              <w:t>直接排放</w:t>
            </w:r>
          </w:p>
        </w:tc>
        <w:tc>
          <w:tcPr>
            <w:tcW w:w="4868" w:type="dxa"/>
            <w:vAlign w:val="top"/>
          </w:tcPr>
          <w:p w14:paraId="7E0B9AEC">
            <w:pPr>
              <w:pStyle w:val="6"/>
              <w:spacing w:before="30" w:line="274" w:lineRule="exact"/>
              <w:ind w:left="1529"/>
              <w:rPr>
                <w:rFonts w:ascii="Times New Roman" w:hAnsi="Times New Roman" w:eastAsia="Times New Roman" w:cs="Times New Roman"/>
              </w:rPr>
            </w:pPr>
            <w:r>
              <w:rPr>
                <w:rFonts w:ascii="Times New Roman" w:hAnsi="Times New Roman" w:eastAsia="Times New Roman" w:cs="Times New Roman"/>
                <w:spacing w:val="5"/>
                <w:position w:val="2"/>
              </w:rPr>
              <w:t>Q</w:t>
            </w:r>
            <w:r>
              <w:rPr>
                <w:spacing w:val="5"/>
                <w:position w:val="2"/>
              </w:rPr>
              <w:t>≤</w:t>
            </w:r>
            <w:r>
              <w:rPr>
                <w:rFonts w:ascii="Times New Roman" w:hAnsi="Times New Roman" w:eastAsia="Times New Roman" w:cs="Times New Roman"/>
                <w:spacing w:val="5"/>
                <w:position w:val="2"/>
              </w:rPr>
              <w:t xml:space="preserve">200 </w:t>
            </w:r>
            <w:r>
              <w:rPr>
                <w:spacing w:val="5"/>
                <w:position w:val="2"/>
              </w:rPr>
              <w:t>且</w:t>
            </w:r>
            <w:r>
              <w:rPr>
                <w:spacing w:val="-39"/>
                <w:position w:val="2"/>
              </w:rPr>
              <w:t xml:space="preserve"> </w:t>
            </w:r>
            <w:r>
              <w:rPr>
                <w:rFonts w:ascii="Times New Roman" w:hAnsi="Times New Roman" w:eastAsia="Times New Roman" w:cs="Times New Roman"/>
                <w:spacing w:val="5"/>
                <w:position w:val="2"/>
              </w:rPr>
              <w:t>W</w:t>
            </w:r>
            <w:r>
              <w:rPr>
                <w:spacing w:val="5"/>
                <w:position w:val="2"/>
              </w:rPr>
              <w:t>≤</w:t>
            </w:r>
            <w:r>
              <w:rPr>
                <w:rFonts w:ascii="Times New Roman" w:hAnsi="Times New Roman" w:eastAsia="Times New Roman" w:cs="Times New Roman"/>
                <w:spacing w:val="5"/>
                <w:position w:val="2"/>
              </w:rPr>
              <w:t>6000</w:t>
            </w:r>
          </w:p>
        </w:tc>
      </w:tr>
      <w:tr w14:paraId="6C675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55" w:type="dxa"/>
            <w:vAlign w:val="top"/>
          </w:tcPr>
          <w:p w14:paraId="5D524398">
            <w:pPr>
              <w:pStyle w:val="6"/>
              <w:spacing w:before="62" w:line="231" w:lineRule="auto"/>
              <w:ind w:left="728"/>
              <w:rPr>
                <w:rFonts w:ascii="Times New Roman" w:hAnsi="Times New Roman" w:eastAsia="Times New Roman" w:cs="Times New Roman"/>
              </w:rPr>
            </w:pPr>
            <w:r>
              <w:rPr>
                <w:spacing w:val="3"/>
              </w:rPr>
              <w:t>三级</w:t>
            </w:r>
            <w:r>
              <w:rPr>
                <w:spacing w:val="-42"/>
              </w:rPr>
              <w:t xml:space="preserve"> </w:t>
            </w:r>
            <w:r>
              <w:rPr>
                <w:rFonts w:ascii="Times New Roman" w:hAnsi="Times New Roman" w:eastAsia="Times New Roman" w:cs="Times New Roman"/>
                <w:spacing w:val="3"/>
              </w:rPr>
              <w:t>B</w:t>
            </w:r>
          </w:p>
        </w:tc>
        <w:tc>
          <w:tcPr>
            <w:tcW w:w="2027" w:type="dxa"/>
            <w:vAlign w:val="top"/>
          </w:tcPr>
          <w:p w14:paraId="3589C574">
            <w:pPr>
              <w:pStyle w:val="6"/>
              <w:spacing w:before="62" w:line="230" w:lineRule="auto"/>
              <w:ind w:left="614"/>
            </w:pPr>
            <w:r>
              <w:rPr>
                <w:spacing w:val="3"/>
              </w:rPr>
              <w:t>间接排放</w:t>
            </w:r>
          </w:p>
        </w:tc>
        <w:tc>
          <w:tcPr>
            <w:tcW w:w="4868" w:type="dxa"/>
            <w:vAlign w:val="top"/>
          </w:tcPr>
          <w:p w14:paraId="0C86F388">
            <w:pPr>
              <w:tabs>
                <w:tab w:val="left" w:pos="2535"/>
              </w:tabs>
              <w:spacing w:line="208" w:lineRule="auto"/>
              <w:ind w:left="2333"/>
              <w:rPr>
                <w:rFonts w:ascii="Arial"/>
                <w:sz w:val="21"/>
              </w:rPr>
            </w:pPr>
            <w:r>
              <w:rPr>
                <w:rFonts w:ascii="Arial" w:hAnsi="Arial" w:eastAsia="Arial" w:cs="Arial"/>
                <w:sz w:val="21"/>
                <w:szCs w:val="21"/>
                <w:u w:val="single" w:color="auto"/>
              </w:rPr>
              <w:tab/>
            </w:r>
          </w:p>
        </w:tc>
      </w:tr>
    </w:tbl>
    <w:p w14:paraId="2863DA81">
      <w:pPr>
        <w:spacing w:before="124" w:line="219" w:lineRule="auto"/>
        <w:ind w:left="603"/>
        <w:rPr>
          <w:rFonts w:ascii="宋体" w:hAnsi="宋体" w:eastAsia="宋体" w:cs="宋体"/>
          <w:sz w:val="24"/>
          <w:szCs w:val="24"/>
        </w:rPr>
      </w:pPr>
      <w:r>
        <w:rPr>
          <w:rFonts w:ascii="宋体" w:hAnsi="宋体" w:eastAsia="宋体" w:cs="宋体"/>
          <w:spacing w:val="-1"/>
          <w:sz w:val="24"/>
          <w:szCs w:val="24"/>
        </w:rPr>
        <w:t>本项目废水不外排，因此，本项目不开展地表水影响评价。</w:t>
      </w:r>
    </w:p>
    <w:p w14:paraId="06D27DF0">
      <w:pPr>
        <w:spacing w:before="205"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2.4.2</w:t>
      </w:r>
      <w:r>
        <w:rPr>
          <w:rFonts w:ascii="宋体" w:hAnsi="宋体" w:eastAsia="宋体" w:cs="宋体"/>
          <w:b/>
          <w:bCs/>
          <w:spacing w:val="-2"/>
          <w:sz w:val="24"/>
          <w:szCs w:val="24"/>
        </w:rPr>
        <w:t>大气环境影响评价等级与范围</w:t>
      </w:r>
    </w:p>
    <w:p w14:paraId="0E94727A">
      <w:pPr>
        <w:spacing w:before="167"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）评价等级</w:t>
      </w:r>
    </w:p>
    <w:p w14:paraId="1BE4CCCC">
      <w:pPr>
        <w:spacing w:before="132" w:line="372" w:lineRule="auto"/>
        <w:ind w:left="123" w:right="108" w:firstLine="479"/>
        <w:rPr>
          <w:rFonts w:ascii="宋体" w:hAnsi="宋体" w:eastAsia="宋体" w:cs="宋体"/>
          <w:sz w:val="24"/>
          <w:szCs w:val="24"/>
        </w:rPr>
      </w:pPr>
      <w:r>
        <w:rPr>
          <w:rFonts w:ascii="宋体" w:hAnsi="宋体" w:eastAsia="宋体" w:cs="宋体"/>
          <w:spacing w:val="-2"/>
          <w:sz w:val="24"/>
          <w:szCs w:val="24"/>
        </w:rPr>
        <w:t>根据《环境影响评价技术导则大气环境》（</w:t>
      </w:r>
      <w:r>
        <w:rPr>
          <w:rFonts w:ascii="Times New Roman" w:hAnsi="Times New Roman" w:eastAsia="Times New Roman" w:cs="Times New Roman"/>
          <w:spacing w:val="-2"/>
          <w:sz w:val="24"/>
          <w:szCs w:val="24"/>
        </w:rPr>
        <w:t>HJ2.2-2018</w:t>
      </w:r>
      <w:r>
        <w:rPr>
          <w:rFonts w:ascii="宋体" w:hAnsi="宋体" w:eastAsia="宋体" w:cs="宋体"/>
          <w:spacing w:val="-2"/>
          <w:sz w:val="24"/>
          <w:szCs w:val="24"/>
        </w:rPr>
        <w:t>）对确定环境影</w:t>
      </w:r>
      <w:r>
        <w:rPr>
          <w:rFonts w:ascii="宋体" w:hAnsi="宋体" w:eastAsia="宋体" w:cs="宋体"/>
          <w:spacing w:val="-3"/>
          <w:sz w:val="24"/>
          <w:szCs w:val="24"/>
        </w:rPr>
        <w:t>响评价工</w:t>
      </w:r>
      <w:r>
        <w:rPr>
          <w:rFonts w:ascii="宋体" w:hAnsi="宋体" w:eastAsia="宋体" w:cs="宋体"/>
          <w:sz w:val="24"/>
          <w:szCs w:val="24"/>
        </w:rPr>
        <w:t xml:space="preserve"> </w:t>
      </w:r>
      <w:r>
        <w:rPr>
          <w:rFonts w:ascii="宋体" w:hAnsi="宋体" w:eastAsia="宋体" w:cs="宋体"/>
          <w:spacing w:val="-1"/>
          <w:sz w:val="24"/>
          <w:szCs w:val="24"/>
        </w:rPr>
        <w:t>作等级的规定：</w:t>
      </w:r>
      <w:r>
        <w:rPr>
          <w:rFonts w:ascii="Times New Roman" w:hAnsi="Times New Roman" w:eastAsia="Times New Roman" w:cs="Times New Roman"/>
          <w:spacing w:val="-1"/>
          <w:sz w:val="24"/>
          <w:szCs w:val="24"/>
        </w:rPr>
        <w:t>“</w:t>
      </w:r>
      <w:r>
        <w:rPr>
          <w:rFonts w:ascii="宋体" w:hAnsi="宋体" w:eastAsia="宋体" w:cs="宋体"/>
          <w:spacing w:val="-1"/>
          <w:sz w:val="24"/>
          <w:szCs w:val="24"/>
        </w:rPr>
        <w:t>根据项目污染源初步调查结果，分别计算项目排放主要污染物的最</w:t>
      </w:r>
      <w:r>
        <w:rPr>
          <w:rFonts w:ascii="宋体" w:hAnsi="宋体" w:eastAsia="宋体" w:cs="宋体"/>
          <w:spacing w:val="10"/>
          <w:sz w:val="24"/>
          <w:szCs w:val="24"/>
        </w:rPr>
        <w:t xml:space="preserve"> </w:t>
      </w:r>
      <w:r>
        <w:rPr>
          <w:rFonts w:ascii="宋体" w:hAnsi="宋体" w:eastAsia="宋体" w:cs="宋体"/>
          <w:spacing w:val="-2"/>
          <w:sz w:val="24"/>
          <w:szCs w:val="24"/>
        </w:rPr>
        <w:t>大地面空气质量浓度占标率</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P</w:t>
      </w:r>
      <w:r>
        <w:rPr>
          <w:rFonts w:ascii="Times New Roman" w:hAnsi="Times New Roman" w:eastAsia="Times New Roman" w:cs="Times New Roman"/>
          <w:spacing w:val="-2"/>
          <w:position w:val="-1"/>
          <w:sz w:val="15"/>
          <w:szCs w:val="15"/>
        </w:rPr>
        <w:t>i</w:t>
      </w:r>
      <w:r>
        <w:rPr>
          <w:rFonts w:ascii="宋体" w:hAnsi="宋体" w:eastAsia="宋体" w:cs="宋体"/>
          <w:spacing w:val="-2"/>
          <w:sz w:val="24"/>
          <w:szCs w:val="24"/>
        </w:rPr>
        <w:t>（第</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i </w:t>
      </w:r>
      <w:r>
        <w:rPr>
          <w:rFonts w:ascii="宋体" w:hAnsi="宋体" w:eastAsia="宋体" w:cs="宋体"/>
          <w:spacing w:val="-2"/>
          <w:sz w:val="24"/>
          <w:szCs w:val="24"/>
        </w:rPr>
        <w:t>个污染物</w:t>
      </w:r>
      <w:r>
        <w:rPr>
          <w:rFonts w:ascii="宋体" w:hAnsi="宋体" w:eastAsia="宋体" w:cs="宋体"/>
          <w:spacing w:val="-3"/>
          <w:sz w:val="24"/>
          <w:szCs w:val="24"/>
        </w:rPr>
        <w:t>，简称</w:t>
      </w:r>
      <w:r>
        <w:rPr>
          <w:rFonts w:ascii="Times New Roman" w:hAnsi="Times New Roman" w:eastAsia="Times New Roman" w:cs="Times New Roman"/>
          <w:spacing w:val="-3"/>
          <w:sz w:val="24"/>
          <w:szCs w:val="24"/>
        </w:rPr>
        <w:t>‘</w:t>
      </w:r>
      <w:r>
        <w:rPr>
          <w:rFonts w:ascii="宋体" w:hAnsi="宋体" w:eastAsia="宋体" w:cs="宋体"/>
          <w:spacing w:val="-3"/>
          <w:sz w:val="24"/>
          <w:szCs w:val="24"/>
        </w:rPr>
        <w:t>最大浓度占标率</w:t>
      </w:r>
      <w:r>
        <w:rPr>
          <w:rFonts w:ascii="宋体" w:hAnsi="宋体" w:eastAsia="宋体" w:cs="宋体"/>
          <w:spacing w:val="-26"/>
          <w:sz w:val="24"/>
          <w:szCs w:val="24"/>
        </w:rPr>
        <w:t>），</w:t>
      </w:r>
      <w:r>
        <w:rPr>
          <w:rFonts w:ascii="宋体" w:hAnsi="宋体" w:eastAsia="宋体" w:cs="宋体"/>
          <w:spacing w:val="-3"/>
          <w:sz w:val="24"/>
          <w:szCs w:val="24"/>
        </w:rPr>
        <w:t>及第</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 xml:space="preserve">i </w:t>
      </w:r>
      <w:r>
        <w:rPr>
          <w:rFonts w:ascii="宋体" w:hAnsi="宋体" w:eastAsia="宋体" w:cs="宋体"/>
          <w:spacing w:val="-3"/>
          <w:sz w:val="24"/>
          <w:szCs w:val="24"/>
        </w:rPr>
        <w:t>个污</w:t>
      </w:r>
      <w:r>
        <w:rPr>
          <w:rFonts w:ascii="宋体" w:hAnsi="宋体" w:eastAsia="宋体" w:cs="宋体"/>
          <w:sz w:val="24"/>
          <w:szCs w:val="24"/>
        </w:rPr>
        <w:t xml:space="preserve"> </w:t>
      </w:r>
      <w:r>
        <w:rPr>
          <w:rFonts w:ascii="宋体" w:hAnsi="宋体" w:eastAsia="宋体" w:cs="宋体"/>
          <w:spacing w:val="-3"/>
          <w:sz w:val="24"/>
          <w:szCs w:val="24"/>
        </w:rPr>
        <w:t>染物的地面空气质量浓度达到标准值的</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10%</w:t>
      </w:r>
      <w:r>
        <w:rPr>
          <w:rFonts w:ascii="宋体" w:hAnsi="宋体" w:eastAsia="宋体" w:cs="宋体"/>
          <w:spacing w:val="-3"/>
          <w:sz w:val="24"/>
          <w:szCs w:val="24"/>
        </w:rPr>
        <w:t>时所对应的最远距离</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4"/>
          <w:sz w:val="24"/>
          <w:szCs w:val="24"/>
        </w:rPr>
        <w:t>0%</w:t>
      </w:r>
      <w:r>
        <w:rPr>
          <w:rFonts w:ascii="Times New Roman" w:hAnsi="Times New Roman" w:eastAsia="Times New Roman" w:cs="Times New Roman"/>
          <w:spacing w:val="-26"/>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5"/>
          <w:sz w:val="24"/>
          <w:szCs w:val="24"/>
        </w:rPr>
        <w:t xml:space="preserve"> </w:t>
      </w:r>
      <w:r>
        <w:rPr>
          <w:rFonts w:ascii="宋体" w:hAnsi="宋体" w:eastAsia="宋体" w:cs="宋体"/>
          <w:spacing w:val="-4"/>
          <w:sz w:val="24"/>
          <w:szCs w:val="24"/>
        </w:rPr>
        <w:t>。其中</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P</w:t>
      </w:r>
      <w:r>
        <w:rPr>
          <w:rFonts w:ascii="Times New Roman" w:hAnsi="Times New Roman" w:eastAsia="Times New Roman" w:cs="Times New Roman"/>
          <w:spacing w:val="-4"/>
          <w:position w:val="-1"/>
          <w:sz w:val="15"/>
          <w:szCs w:val="15"/>
        </w:rPr>
        <w:t>i</w:t>
      </w:r>
      <w:r>
        <w:rPr>
          <w:rFonts w:ascii="Times New Roman" w:hAnsi="Times New Roman" w:eastAsia="Times New Roman" w:cs="Times New Roman"/>
          <w:position w:val="-1"/>
          <w:sz w:val="15"/>
          <w:szCs w:val="15"/>
        </w:rPr>
        <w:t xml:space="preserve"> </w:t>
      </w:r>
      <w:r>
        <w:rPr>
          <w:rFonts w:ascii="宋体" w:hAnsi="宋体" w:eastAsia="宋体" w:cs="宋体"/>
          <w:spacing w:val="-3"/>
          <w:sz w:val="24"/>
          <w:szCs w:val="24"/>
        </w:rPr>
        <w:t>定义为：</w:t>
      </w:r>
    </w:p>
    <w:p w14:paraId="3E606D7C">
      <w:pPr>
        <w:spacing w:before="23" w:line="319" w:lineRule="exact"/>
        <w:ind w:left="3847"/>
        <w:rPr>
          <w:rFonts w:ascii="Times New Roman" w:hAnsi="Times New Roman" w:eastAsia="Times New Roman" w:cs="Times New Roman"/>
          <w:sz w:val="24"/>
          <w:szCs w:val="24"/>
        </w:rPr>
      </w:pPr>
      <w:r>
        <w:rPr>
          <w:rFonts w:ascii="Times New Roman" w:hAnsi="Times New Roman" w:eastAsia="Times New Roman" w:cs="Times New Roman"/>
          <w:i/>
          <w:iCs/>
          <w:position w:val="2"/>
          <w:sz w:val="24"/>
          <w:szCs w:val="24"/>
        </w:rPr>
        <w:t>Pi=Ci/Coi×100%</w:t>
      </w:r>
    </w:p>
    <w:p w14:paraId="5C85188E">
      <w:pPr>
        <w:spacing w:before="209" w:line="221" w:lineRule="auto"/>
        <w:ind w:left="607"/>
        <w:rPr>
          <w:rFonts w:ascii="宋体" w:hAnsi="宋体" w:eastAsia="宋体" w:cs="宋体"/>
          <w:sz w:val="24"/>
          <w:szCs w:val="24"/>
        </w:rPr>
      </w:pPr>
      <w:r>
        <w:rPr>
          <w:rFonts w:ascii="宋体" w:hAnsi="宋体" w:eastAsia="宋体" w:cs="宋体"/>
          <w:spacing w:val="-5"/>
          <w:sz w:val="24"/>
          <w:szCs w:val="24"/>
        </w:rPr>
        <w:t>式中：</w:t>
      </w:r>
    </w:p>
    <w:p w14:paraId="19D0D7EB">
      <w:pPr>
        <w:spacing w:before="165" w:line="360" w:lineRule="exact"/>
        <w:ind w:left="597"/>
        <w:rPr>
          <w:rFonts w:ascii="宋体" w:hAnsi="宋体" w:eastAsia="宋体" w:cs="宋体"/>
          <w:sz w:val="24"/>
          <w:szCs w:val="24"/>
        </w:rPr>
      </w:pPr>
      <w:r>
        <w:rPr>
          <w:rFonts w:ascii="Times New Roman" w:hAnsi="Times New Roman" w:eastAsia="Times New Roman" w:cs="Times New Roman"/>
          <w:spacing w:val="-1"/>
          <w:position w:val="2"/>
          <w:sz w:val="24"/>
          <w:szCs w:val="24"/>
        </w:rPr>
        <w:t>Pi---</w:t>
      </w:r>
      <w:r>
        <w:rPr>
          <w:rFonts w:ascii="宋体" w:hAnsi="宋体" w:eastAsia="宋体" w:cs="宋体"/>
          <w:spacing w:val="-1"/>
          <w:position w:val="2"/>
          <w:sz w:val="24"/>
          <w:szCs w:val="24"/>
        </w:rPr>
        <w:t>第</w:t>
      </w:r>
      <w:r>
        <w:rPr>
          <w:rFonts w:ascii="宋体" w:hAnsi="宋体" w:eastAsia="宋体" w:cs="宋体"/>
          <w:spacing w:val="-43"/>
          <w:position w:val="2"/>
          <w:sz w:val="24"/>
          <w:szCs w:val="24"/>
        </w:rPr>
        <w:t xml:space="preserve"> </w:t>
      </w:r>
      <w:r>
        <w:rPr>
          <w:rFonts w:ascii="Times New Roman" w:hAnsi="Times New Roman" w:eastAsia="Times New Roman" w:cs="Times New Roman"/>
          <w:spacing w:val="-1"/>
          <w:position w:val="2"/>
          <w:sz w:val="24"/>
          <w:szCs w:val="24"/>
        </w:rPr>
        <w:t xml:space="preserve">i </w:t>
      </w:r>
      <w:r>
        <w:rPr>
          <w:rFonts w:ascii="宋体" w:hAnsi="宋体" w:eastAsia="宋体" w:cs="宋体"/>
          <w:spacing w:val="-1"/>
          <w:position w:val="2"/>
          <w:sz w:val="24"/>
          <w:szCs w:val="24"/>
        </w:rPr>
        <w:t>个污染物的最大地面浓度占标率，</w:t>
      </w:r>
      <w:r>
        <w:rPr>
          <w:rFonts w:ascii="Times New Roman" w:hAnsi="Times New Roman" w:eastAsia="Times New Roman" w:cs="Times New Roman"/>
          <w:spacing w:val="-1"/>
          <w:position w:val="2"/>
          <w:sz w:val="24"/>
          <w:szCs w:val="24"/>
        </w:rPr>
        <w:t>%</w:t>
      </w:r>
      <w:r>
        <w:rPr>
          <w:rFonts w:ascii="宋体" w:hAnsi="宋体" w:eastAsia="宋体" w:cs="宋体"/>
          <w:spacing w:val="-1"/>
          <w:position w:val="2"/>
          <w:sz w:val="24"/>
          <w:szCs w:val="24"/>
        </w:rPr>
        <w:t>；</w:t>
      </w:r>
    </w:p>
    <w:p w14:paraId="25209319">
      <w:pPr>
        <w:spacing w:line="360" w:lineRule="exact"/>
        <w:rPr>
          <w:rFonts w:ascii="宋体" w:hAnsi="宋体" w:eastAsia="宋体" w:cs="宋体"/>
          <w:sz w:val="24"/>
          <w:szCs w:val="24"/>
        </w:rPr>
        <w:sectPr>
          <w:footerReference r:id="rId41" w:type="default"/>
          <w:pgSz w:w="11906" w:h="16839"/>
          <w:pgMar w:top="1431" w:right="1475" w:bottom="1485" w:left="1475" w:header="0" w:footer="1249" w:gutter="0"/>
          <w:cols w:space="720" w:num="1"/>
        </w:sectPr>
      </w:pPr>
    </w:p>
    <w:p w14:paraId="350C1FF3">
      <w:pPr>
        <w:spacing w:before="75" w:line="333" w:lineRule="exact"/>
        <w:ind w:left="604"/>
        <w:rPr>
          <w:rFonts w:ascii="宋体" w:hAnsi="宋体" w:eastAsia="宋体" w:cs="宋体"/>
          <w:sz w:val="24"/>
          <w:szCs w:val="24"/>
        </w:rPr>
      </w:pPr>
      <w:r>
        <w:rPr>
          <w:rFonts w:ascii="Times New Roman" w:hAnsi="Times New Roman" w:eastAsia="Times New Roman" w:cs="Times New Roman"/>
          <w:spacing w:val="-1"/>
          <w:position w:val="3"/>
          <w:sz w:val="24"/>
          <w:szCs w:val="24"/>
        </w:rPr>
        <w:t>Ci---</w:t>
      </w:r>
      <w:r>
        <w:rPr>
          <w:rFonts w:ascii="宋体" w:hAnsi="宋体" w:eastAsia="宋体" w:cs="宋体"/>
          <w:spacing w:val="-1"/>
          <w:position w:val="3"/>
          <w:sz w:val="24"/>
          <w:szCs w:val="24"/>
        </w:rPr>
        <w:t>采用估算模式计算出的第</w:t>
      </w:r>
      <w:r>
        <w:rPr>
          <w:rFonts w:ascii="宋体" w:hAnsi="宋体" w:eastAsia="宋体" w:cs="宋体"/>
          <w:spacing w:val="-53"/>
          <w:position w:val="3"/>
          <w:sz w:val="24"/>
          <w:szCs w:val="24"/>
        </w:rPr>
        <w:t xml:space="preserve"> </w:t>
      </w:r>
      <w:r>
        <w:rPr>
          <w:rFonts w:ascii="Times New Roman" w:hAnsi="Times New Roman" w:eastAsia="Times New Roman" w:cs="Times New Roman"/>
          <w:spacing w:val="-1"/>
          <w:position w:val="3"/>
          <w:sz w:val="24"/>
          <w:szCs w:val="24"/>
        </w:rPr>
        <w:t xml:space="preserve">i </w:t>
      </w:r>
      <w:r>
        <w:rPr>
          <w:rFonts w:ascii="宋体" w:hAnsi="宋体" w:eastAsia="宋体" w:cs="宋体"/>
          <w:spacing w:val="-1"/>
          <w:position w:val="3"/>
          <w:sz w:val="24"/>
          <w:szCs w:val="24"/>
        </w:rPr>
        <w:t>个污染物的最大</w:t>
      </w:r>
      <w:r>
        <w:rPr>
          <w:rFonts w:ascii="宋体" w:hAnsi="宋体" w:eastAsia="宋体" w:cs="宋体"/>
          <w:spacing w:val="-32"/>
          <w:position w:val="3"/>
          <w:sz w:val="24"/>
          <w:szCs w:val="24"/>
        </w:rPr>
        <w:t xml:space="preserve"> </w:t>
      </w:r>
      <w:r>
        <w:rPr>
          <w:rFonts w:ascii="Times New Roman" w:hAnsi="Times New Roman" w:eastAsia="Times New Roman" w:cs="Times New Roman"/>
          <w:spacing w:val="-1"/>
          <w:position w:val="3"/>
          <w:sz w:val="24"/>
          <w:szCs w:val="24"/>
        </w:rPr>
        <w:t xml:space="preserve">1h </w:t>
      </w:r>
      <w:r>
        <w:rPr>
          <w:rFonts w:ascii="宋体" w:hAnsi="宋体" w:eastAsia="宋体" w:cs="宋体"/>
          <w:spacing w:val="-1"/>
          <w:position w:val="3"/>
          <w:sz w:val="24"/>
          <w:szCs w:val="24"/>
        </w:rPr>
        <w:t>地面空气质量浓度，</w:t>
      </w:r>
      <w:r>
        <w:rPr>
          <w:rFonts w:ascii="Times New Roman" w:hAnsi="Times New Roman" w:eastAsia="Times New Roman" w:cs="Times New Roman"/>
          <w:spacing w:val="-1"/>
          <w:position w:val="3"/>
          <w:sz w:val="24"/>
          <w:szCs w:val="24"/>
        </w:rPr>
        <w:t>μg/</w:t>
      </w:r>
      <w:r>
        <w:rPr>
          <w:rFonts w:ascii="Times New Roman" w:hAnsi="Times New Roman" w:eastAsia="Times New Roman" w:cs="Times New Roman"/>
          <w:spacing w:val="-2"/>
          <w:position w:val="3"/>
          <w:sz w:val="24"/>
          <w:szCs w:val="24"/>
        </w:rPr>
        <w:t>m³</w:t>
      </w:r>
      <w:r>
        <w:rPr>
          <w:rFonts w:ascii="Times New Roman" w:hAnsi="Times New Roman" w:eastAsia="Times New Roman" w:cs="Times New Roman"/>
          <w:spacing w:val="-30"/>
          <w:position w:val="3"/>
          <w:sz w:val="24"/>
          <w:szCs w:val="24"/>
        </w:rPr>
        <w:t xml:space="preserve"> </w:t>
      </w:r>
      <w:r>
        <w:rPr>
          <w:rFonts w:ascii="宋体" w:hAnsi="宋体" w:eastAsia="宋体" w:cs="宋体"/>
          <w:spacing w:val="-2"/>
          <w:position w:val="3"/>
          <w:sz w:val="24"/>
          <w:szCs w:val="24"/>
        </w:rPr>
        <w:t>;</w:t>
      </w:r>
    </w:p>
    <w:p w14:paraId="38157153">
      <w:pPr>
        <w:spacing w:before="157" w:line="375" w:lineRule="auto"/>
        <w:ind w:left="126" w:right="108" w:firstLine="478"/>
        <w:jc w:val="both"/>
        <w:rPr>
          <w:rFonts w:ascii="宋体" w:hAnsi="宋体" w:eastAsia="宋体" w:cs="宋体"/>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2"/>
          <w:sz w:val="15"/>
          <w:szCs w:val="15"/>
        </w:rPr>
        <w:t>oi</w:t>
      </w:r>
      <w:r>
        <w:rPr>
          <w:rFonts w:ascii="Times New Roman" w:hAnsi="Times New Roman" w:eastAsia="Times New Roman" w:cs="Times New Roman"/>
          <w:spacing w:val="-2"/>
          <w:sz w:val="24"/>
          <w:szCs w:val="24"/>
        </w:rPr>
        <w:t>---</w:t>
      </w:r>
      <w:r>
        <w:rPr>
          <w:rFonts w:ascii="宋体" w:hAnsi="宋体" w:eastAsia="宋体" w:cs="宋体"/>
          <w:spacing w:val="-2"/>
          <w:sz w:val="24"/>
          <w:szCs w:val="24"/>
        </w:rPr>
        <w:t>第</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i </w:t>
      </w:r>
      <w:r>
        <w:rPr>
          <w:rFonts w:ascii="宋体" w:hAnsi="宋体" w:eastAsia="宋体" w:cs="宋体"/>
          <w:spacing w:val="-2"/>
          <w:sz w:val="24"/>
          <w:szCs w:val="24"/>
        </w:rPr>
        <w:t>个污染物的环境空气质量浓度标准，</w:t>
      </w:r>
      <w:r>
        <w:rPr>
          <w:rFonts w:ascii="Times New Roman" w:hAnsi="Times New Roman" w:eastAsia="Times New Roman" w:cs="Times New Roman"/>
          <w:spacing w:val="-2"/>
          <w:sz w:val="24"/>
          <w:szCs w:val="24"/>
        </w:rPr>
        <w:t>μg/m</w:t>
      </w:r>
      <w:r>
        <w:rPr>
          <w:rFonts w:ascii="Times New Roman" w:hAnsi="Times New Roman" w:eastAsia="Times New Roman" w:cs="Times New Roman"/>
          <w:spacing w:val="-2"/>
          <w:position w:val="8"/>
          <w:sz w:val="15"/>
          <w:szCs w:val="15"/>
        </w:rPr>
        <w:t>3</w:t>
      </w:r>
      <w:r>
        <w:rPr>
          <w:rFonts w:ascii="宋体" w:hAnsi="宋体" w:eastAsia="宋体" w:cs="宋体"/>
          <w:spacing w:val="-2"/>
          <w:sz w:val="24"/>
          <w:szCs w:val="24"/>
        </w:rPr>
        <w:t>。一般选用</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GB3095-20</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32"/>
          <w:w w:val="101"/>
          <w:sz w:val="24"/>
          <w:szCs w:val="24"/>
        </w:rPr>
        <w:t xml:space="preserve"> </w:t>
      </w:r>
      <w:r>
        <w:rPr>
          <w:rFonts w:ascii="宋体" w:hAnsi="宋体" w:eastAsia="宋体" w:cs="宋体"/>
          <w:spacing w:val="-3"/>
          <w:sz w:val="24"/>
          <w:szCs w:val="24"/>
        </w:rPr>
        <w:t>中</w:t>
      </w:r>
      <w:r>
        <w:rPr>
          <w:rFonts w:ascii="宋体" w:hAnsi="宋体" w:eastAsia="宋体" w:cs="宋体"/>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小时平均取样时间的二级标准的浓度限值，如项目位于一类环境</w:t>
      </w:r>
      <w:r>
        <w:rPr>
          <w:rFonts w:ascii="宋体" w:hAnsi="宋体" w:eastAsia="宋体" w:cs="宋体"/>
          <w:spacing w:val="-4"/>
          <w:sz w:val="24"/>
          <w:szCs w:val="24"/>
        </w:rPr>
        <w:t>空气功能区，应选</w:t>
      </w:r>
      <w:r>
        <w:rPr>
          <w:rFonts w:ascii="宋体" w:hAnsi="宋体" w:eastAsia="宋体" w:cs="宋体"/>
          <w:sz w:val="24"/>
          <w:szCs w:val="24"/>
        </w:rPr>
        <w:t xml:space="preserve"> </w:t>
      </w:r>
      <w:r>
        <w:rPr>
          <w:rFonts w:ascii="宋体" w:hAnsi="宋体" w:eastAsia="宋体" w:cs="宋体"/>
          <w:spacing w:val="-3"/>
          <w:sz w:val="24"/>
          <w:szCs w:val="24"/>
        </w:rPr>
        <w:t>择相应的一级浓度限值；对于该标准中未包含的污染物，使用</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5.2 </w:t>
      </w:r>
      <w:r>
        <w:rPr>
          <w:rFonts w:ascii="宋体" w:hAnsi="宋体" w:eastAsia="宋体" w:cs="宋体"/>
          <w:spacing w:val="-3"/>
          <w:sz w:val="24"/>
          <w:szCs w:val="24"/>
        </w:rPr>
        <w:t>确定的各评价因子</w:t>
      </w:r>
      <w:r>
        <w:rPr>
          <w:rFonts w:ascii="宋体" w:hAnsi="宋体" w:eastAsia="宋体" w:cs="宋体"/>
          <w:sz w:val="24"/>
          <w:szCs w:val="24"/>
        </w:rPr>
        <w:t xml:space="preserve"> </w:t>
      </w:r>
      <w:r>
        <w:rPr>
          <w:rFonts w:ascii="Times New Roman" w:hAnsi="Times New Roman" w:eastAsia="Times New Roman" w:cs="Times New Roman"/>
          <w:spacing w:val="-3"/>
          <w:sz w:val="24"/>
          <w:szCs w:val="24"/>
        </w:rPr>
        <w:t xml:space="preserve">1h </w:t>
      </w:r>
      <w:r>
        <w:rPr>
          <w:rFonts w:ascii="宋体" w:hAnsi="宋体" w:eastAsia="宋体" w:cs="宋体"/>
          <w:spacing w:val="-3"/>
          <w:sz w:val="24"/>
          <w:szCs w:val="24"/>
        </w:rPr>
        <w:t>平均质量浓度限值。对于仅有</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8h </w:t>
      </w:r>
      <w:r>
        <w:rPr>
          <w:rFonts w:ascii="宋体" w:hAnsi="宋体" w:eastAsia="宋体" w:cs="宋体"/>
          <w:spacing w:val="-3"/>
          <w:sz w:val="24"/>
          <w:szCs w:val="24"/>
        </w:rPr>
        <w:t>平均质量浓度限值、日平均质量浓度限值或年平</w:t>
      </w:r>
      <w:r>
        <w:rPr>
          <w:rFonts w:ascii="宋体" w:hAnsi="宋体" w:eastAsia="宋体" w:cs="宋体"/>
          <w:sz w:val="24"/>
          <w:szCs w:val="24"/>
        </w:rPr>
        <w:t xml:space="preserve"> </w:t>
      </w:r>
      <w:r>
        <w:rPr>
          <w:rFonts w:ascii="宋体" w:hAnsi="宋体" w:eastAsia="宋体" w:cs="宋体"/>
          <w:spacing w:val="-1"/>
          <w:sz w:val="24"/>
          <w:szCs w:val="24"/>
        </w:rPr>
        <w:t>均治理那个浓度限值的，可分别按</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倍、</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倍、</w:t>
      </w:r>
      <w:r>
        <w:rPr>
          <w:rFonts w:ascii="Times New Roman" w:hAnsi="Times New Roman" w:eastAsia="Times New Roman" w:cs="Times New Roman"/>
          <w:spacing w:val="-1"/>
          <w:sz w:val="24"/>
          <w:szCs w:val="24"/>
        </w:rPr>
        <w:t xml:space="preserve">6 </w:t>
      </w:r>
      <w:r>
        <w:rPr>
          <w:rFonts w:ascii="宋体" w:hAnsi="宋体" w:eastAsia="宋体" w:cs="宋体"/>
          <w:spacing w:val="-1"/>
          <w:sz w:val="24"/>
          <w:szCs w:val="24"/>
        </w:rPr>
        <w:t>倍折算为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1h </w:t>
      </w:r>
      <w:r>
        <w:rPr>
          <w:rFonts w:ascii="宋体" w:hAnsi="宋体" w:eastAsia="宋体" w:cs="宋体"/>
          <w:spacing w:val="-1"/>
          <w:sz w:val="24"/>
          <w:szCs w:val="24"/>
        </w:rPr>
        <w:t>平均质量浓</w:t>
      </w:r>
      <w:r>
        <w:rPr>
          <w:rFonts w:ascii="宋体" w:hAnsi="宋体" w:eastAsia="宋体" w:cs="宋体"/>
          <w:spacing w:val="-2"/>
          <w:sz w:val="24"/>
          <w:szCs w:val="24"/>
        </w:rPr>
        <w:t>度限值。</w:t>
      </w:r>
    </w:p>
    <w:p w14:paraId="1606871D">
      <w:pPr>
        <w:spacing w:before="5" w:line="374" w:lineRule="auto"/>
        <w:ind w:left="120" w:right="115" w:firstLine="484"/>
        <w:rPr>
          <w:rFonts w:ascii="宋体" w:hAnsi="宋体" w:eastAsia="宋体" w:cs="宋体"/>
          <w:sz w:val="24"/>
          <w:szCs w:val="24"/>
        </w:rPr>
      </w:pPr>
      <w:r>
        <w:rPr>
          <w:rFonts w:ascii="宋体" w:hAnsi="宋体" w:eastAsia="宋体" w:cs="宋体"/>
          <w:spacing w:val="6"/>
          <w:sz w:val="24"/>
          <w:szCs w:val="24"/>
        </w:rPr>
        <w:t>评价工作等级按表</w:t>
      </w:r>
      <w:r>
        <w:rPr>
          <w:rFonts w:ascii="Times New Roman" w:hAnsi="Times New Roman" w:eastAsia="Times New Roman" w:cs="Times New Roman"/>
          <w:spacing w:val="6"/>
          <w:sz w:val="24"/>
          <w:szCs w:val="24"/>
        </w:rPr>
        <w:t>2.4-2</w:t>
      </w:r>
      <w:r>
        <w:rPr>
          <w:rFonts w:ascii="Times New Roman" w:hAnsi="Times New Roman" w:eastAsia="Times New Roman" w:cs="Times New Roman"/>
          <w:spacing w:val="36"/>
          <w:sz w:val="24"/>
          <w:szCs w:val="24"/>
        </w:rPr>
        <w:t xml:space="preserve"> </w:t>
      </w:r>
      <w:r>
        <w:rPr>
          <w:rFonts w:ascii="宋体" w:hAnsi="宋体" w:eastAsia="宋体" w:cs="宋体"/>
          <w:spacing w:val="6"/>
          <w:sz w:val="24"/>
          <w:szCs w:val="24"/>
        </w:rPr>
        <w:t>的分级判据进行划分，</w:t>
      </w:r>
      <w:r>
        <w:rPr>
          <w:rFonts w:ascii="宋体" w:hAnsi="宋体" w:eastAsia="宋体" w:cs="宋体"/>
          <w:spacing w:val="5"/>
          <w:sz w:val="24"/>
          <w:szCs w:val="24"/>
        </w:rPr>
        <w:t>最大地面空气质量浓度占标率</w:t>
      </w:r>
      <w:r>
        <w:rPr>
          <w:rFonts w:ascii="宋体" w:hAnsi="宋体" w:eastAsia="宋体" w:cs="宋体"/>
          <w:sz w:val="24"/>
          <w:szCs w:val="24"/>
        </w:rPr>
        <w:t xml:space="preserve"> </w:t>
      </w:r>
      <w:r>
        <w:rPr>
          <w:rFonts w:ascii="Times New Roman" w:hAnsi="Times New Roman" w:eastAsia="Times New Roman" w:cs="Times New Roman"/>
          <w:spacing w:val="-2"/>
          <w:sz w:val="24"/>
          <w:szCs w:val="24"/>
        </w:rPr>
        <w:t>P</w:t>
      </w:r>
      <w:r>
        <w:rPr>
          <w:rFonts w:ascii="Times New Roman" w:hAnsi="Times New Roman" w:eastAsia="Times New Roman" w:cs="Times New Roman"/>
          <w:spacing w:val="-2"/>
          <w:position w:val="-1"/>
          <w:sz w:val="15"/>
          <w:szCs w:val="15"/>
        </w:rPr>
        <w:t>i</w:t>
      </w:r>
      <w:r>
        <w:rPr>
          <w:rFonts w:ascii="Times New Roman" w:hAnsi="Times New Roman" w:eastAsia="Times New Roman" w:cs="Times New Roman"/>
          <w:spacing w:val="12"/>
          <w:w w:val="102"/>
          <w:position w:val="-1"/>
          <w:sz w:val="15"/>
          <w:szCs w:val="15"/>
        </w:rPr>
        <w:t xml:space="preserve"> </w:t>
      </w:r>
      <w:r>
        <w:rPr>
          <w:rFonts w:ascii="宋体" w:hAnsi="宋体" w:eastAsia="宋体" w:cs="宋体"/>
          <w:spacing w:val="-2"/>
          <w:sz w:val="24"/>
          <w:szCs w:val="24"/>
        </w:rPr>
        <w:t>按上述公式计算，如污染物数</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i </w:t>
      </w:r>
      <w:r>
        <w:rPr>
          <w:rFonts w:ascii="宋体" w:hAnsi="宋体" w:eastAsia="宋体" w:cs="宋体"/>
          <w:spacing w:val="-2"/>
          <w:sz w:val="24"/>
          <w:szCs w:val="24"/>
        </w:rPr>
        <w:t>大于</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，取</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P </w:t>
      </w:r>
      <w:r>
        <w:rPr>
          <w:rFonts w:ascii="宋体" w:hAnsi="宋体" w:eastAsia="宋体" w:cs="宋体"/>
          <w:spacing w:val="-2"/>
          <w:sz w:val="24"/>
          <w:szCs w:val="24"/>
        </w:rPr>
        <w:t>值</w:t>
      </w:r>
      <w:r>
        <w:rPr>
          <w:rFonts w:ascii="宋体" w:hAnsi="宋体" w:eastAsia="宋体" w:cs="宋体"/>
          <w:spacing w:val="-3"/>
          <w:sz w:val="24"/>
          <w:szCs w:val="24"/>
        </w:rPr>
        <w:t>中最大者</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P</w:t>
      </w:r>
      <w:r>
        <w:rPr>
          <w:rFonts w:ascii="Times New Roman" w:hAnsi="Times New Roman" w:eastAsia="Times New Roman" w:cs="Times New Roman"/>
          <w:spacing w:val="-3"/>
          <w:position w:val="-1"/>
          <w:sz w:val="15"/>
          <w:szCs w:val="15"/>
        </w:rPr>
        <w:t>max</w:t>
      </w:r>
      <w:r>
        <w:rPr>
          <w:rFonts w:ascii="宋体" w:hAnsi="宋体" w:eastAsia="宋体" w:cs="宋体"/>
          <w:spacing w:val="-3"/>
          <w:sz w:val="24"/>
          <w:szCs w:val="24"/>
        </w:rPr>
        <w:t>。</w:t>
      </w:r>
    </w:p>
    <w:p w14:paraId="63F9E827">
      <w:pPr>
        <w:spacing w:before="56" w:line="227" w:lineRule="auto"/>
        <w:ind w:left="3245"/>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5"/>
          <w:sz w:val="20"/>
          <w:szCs w:val="20"/>
        </w:rPr>
        <w:t xml:space="preserve">2.4-2  </w:t>
      </w:r>
      <w:r>
        <w:rPr>
          <w:rFonts w:ascii="宋体" w:hAnsi="宋体" w:eastAsia="宋体" w:cs="宋体"/>
          <w:b/>
          <w:bCs/>
          <w:spacing w:val="5"/>
          <w:sz w:val="20"/>
          <w:szCs w:val="20"/>
        </w:rPr>
        <w:t>评价工作等级判据</w:t>
      </w:r>
    </w:p>
    <w:p w14:paraId="266E5A2F">
      <w:pPr>
        <w:spacing w:line="104" w:lineRule="exact"/>
      </w:pPr>
    </w:p>
    <w:tbl>
      <w:tblPr>
        <w:tblStyle w:val="5"/>
        <w:tblW w:w="8950"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6"/>
        <w:gridCol w:w="6854"/>
      </w:tblGrid>
      <w:tr w14:paraId="034AC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2096" w:type="dxa"/>
            <w:vAlign w:val="top"/>
          </w:tcPr>
          <w:p w14:paraId="0C517812">
            <w:pPr>
              <w:pStyle w:val="6"/>
              <w:spacing w:before="86" w:line="227" w:lineRule="auto"/>
              <w:ind w:left="423"/>
            </w:pPr>
            <w:r>
              <w:rPr>
                <w:b/>
                <w:bCs/>
                <w:spacing w:val="7"/>
              </w:rPr>
              <w:t>评价工作等级</w:t>
            </w:r>
          </w:p>
        </w:tc>
        <w:tc>
          <w:tcPr>
            <w:tcW w:w="6854" w:type="dxa"/>
            <w:vAlign w:val="top"/>
          </w:tcPr>
          <w:p w14:paraId="6323EB17">
            <w:pPr>
              <w:pStyle w:val="6"/>
              <w:spacing w:before="86" w:line="227" w:lineRule="auto"/>
              <w:ind w:left="2589"/>
            </w:pPr>
            <w:r>
              <w:rPr>
                <w:b/>
                <w:bCs/>
                <w:spacing w:val="7"/>
              </w:rPr>
              <w:t>评价工作分级判据</w:t>
            </w:r>
          </w:p>
        </w:tc>
      </w:tr>
      <w:tr w14:paraId="1F440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096" w:type="dxa"/>
            <w:vAlign w:val="top"/>
          </w:tcPr>
          <w:p w14:paraId="7A48DE91">
            <w:pPr>
              <w:pStyle w:val="6"/>
              <w:spacing w:before="59" w:line="227" w:lineRule="auto"/>
              <w:ind w:left="636"/>
            </w:pPr>
            <w:r>
              <w:rPr>
                <w:spacing w:val="6"/>
              </w:rPr>
              <w:t>一级评价</w:t>
            </w:r>
          </w:p>
        </w:tc>
        <w:tc>
          <w:tcPr>
            <w:tcW w:w="6854" w:type="dxa"/>
            <w:vAlign w:val="top"/>
          </w:tcPr>
          <w:p w14:paraId="2CBF53C9">
            <w:pPr>
              <w:spacing w:before="28" w:line="274" w:lineRule="exact"/>
              <w:ind w:left="300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P</w:t>
            </w:r>
            <w:r>
              <w:rPr>
                <w:rFonts w:ascii="Times New Roman" w:hAnsi="Times New Roman" w:eastAsia="Times New Roman" w:cs="Times New Roman"/>
                <w:position w:val="1"/>
                <w:sz w:val="13"/>
                <w:szCs w:val="13"/>
              </w:rPr>
              <w:t>max</w:t>
            </w:r>
            <w:r>
              <w:rPr>
                <w:rFonts w:ascii="Times New Roman" w:hAnsi="Times New Roman" w:eastAsia="Times New Roman" w:cs="Times New Roman"/>
                <w:spacing w:val="2"/>
                <w:position w:val="2"/>
                <w:sz w:val="20"/>
                <w:szCs w:val="20"/>
              </w:rPr>
              <w:t>≥</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2"/>
                <w:position w:val="2"/>
                <w:sz w:val="20"/>
                <w:szCs w:val="20"/>
              </w:rPr>
              <w:t>10%</w:t>
            </w:r>
          </w:p>
        </w:tc>
      </w:tr>
      <w:tr w14:paraId="35F9D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0" w:hRule="atLeast"/>
        </w:trPr>
        <w:tc>
          <w:tcPr>
            <w:tcW w:w="2096" w:type="dxa"/>
            <w:shd w:val="clear" w:color="auto" w:fill="9FD3A4"/>
            <w:vAlign w:val="top"/>
          </w:tcPr>
          <w:p w14:paraId="157915A0">
            <w:pPr>
              <w:pStyle w:val="6"/>
              <w:spacing w:before="60" w:line="227" w:lineRule="auto"/>
              <w:ind w:left="636"/>
            </w:pPr>
            <w:r>
              <w:rPr>
                <w:spacing w:val="6"/>
              </w:rPr>
              <w:t>二级评价</w:t>
            </w:r>
          </w:p>
        </w:tc>
        <w:tc>
          <w:tcPr>
            <w:tcW w:w="6854" w:type="dxa"/>
            <w:shd w:val="clear" w:color="auto" w:fill="9FD3A4"/>
            <w:vAlign w:val="top"/>
          </w:tcPr>
          <w:p w14:paraId="5F8A6760">
            <w:pPr>
              <w:pStyle w:val="6"/>
              <w:spacing w:before="29" w:line="274" w:lineRule="exact"/>
              <w:ind w:left="2779"/>
              <w:rPr>
                <w:rFonts w:ascii="Times New Roman" w:hAnsi="Times New Roman" w:eastAsia="Times New Roman" w:cs="Times New Roman"/>
              </w:rPr>
            </w:pPr>
            <w:r>
              <w:rPr>
                <w:rFonts w:ascii="Times New Roman" w:hAnsi="Times New Roman" w:eastAsia="Times New Roman" w:cs="Times New Roman"/>
                <w:spacing w:val="5"/>
                <w:position w:val="2"/>
              </w:rPr>
              <w:t>1%≤</w:t>
            </w:r>
            <w:r>
              <w:rPr>
                <w:rFonts w:ascii="Times New Roman" w:hAnsi="Times New Roman" w:eastAsia="Times New Roman" w:cs="Times New Roman"/>
                <w:position w:val="2"/>
              </w:rPr>
              <w:t>P</w:t>
            </w:r>
            <w:r>
              <w:rPr>
                <w:rFonts w:ascii="Times New Roman" w:hAnsi="Times New Roman" w:eastAsia="Times New Roman" w:cs="Times New Roman"/>
                <w:position w:val="1"/>
                <w:sz w:val="13"/>
                <w:szCs w:val="13"/>
              </w:rPr>
              <w:t>max</w:t>
            </w:r>
            <w:r>
              <w:rPr>
                <w:spacing w:val="5"/>
                <w:position w:val="2"/>
              </w:rPr>
              <w:t>＜</w:t>
            </w:r>
            <w:r>
              <w:rPr>
                <w:rFonts w:ascii="Times New Roman" w:hAnsi="Times New Roman" w:eastAsia="Times New Roman" w:cs="Times New Roman"/>
                <w:spacing w:val="5"/>
                <w:position w:val="2"/>
              </w:rPr>
              <w:t>10%</w:t>
            </w:r>
          </w:p>
        </w:tc>
      </w:tr>
      <w:tr w14:paraId="1D5B5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6" w:type="dxa"/>
            <w:vAlign w:val="top"/>
          </w:tcPr>
          <w:p w14:paraId="5923E7B9">
            <w:pPr>
              <w:pStyle w:val="6"/>
              <w:spacing w:before="61" w:line="227" w:lineRule="auto"/>
              <w:ind w:left="632"/>
            </w:pPr>
            <w:r>
              <w:rPr>
                <w:spacing w:val="7"/>
              </w:rPr>
              <w:t>三级评价</w:t>
            </w:r>
          </w:p>
        </w:tc>
        <w:tc>
          <w:tcPr>
            <w:tcW w:w="6854" w:type="dxa"/>
            <w:vAlign w:val="top"/>
          </w:tcPr>
          <w:p w14:paraId="4A673975">
            <w:pPr>
              <w:spacing w:before="30" w:line="274" w:lineRule="exact"/>
              <w:ind w:left="30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P</w:t>
            </w:r>
            <w:r>
              <w:rPr>
                <w:rFonts w:ascii="Times New Roman" w:hAnsi="Times New Roman" w:eastAsia="Times New Roman" w:cs="Times New Roman"/>
                <w:position w:val="1"/>
                <w:sz w:val="13"/>
                <w:szCs w:val="13"/>
              </w:rPr>
              <w:t>max</w:t>
            </w:r>
            <w:r>
              <w:rPr>
                <w:rFonts w:ascii="Times New Roman" w:hAnsi="Times New Roman" w:eastAsia="Times New Roman" w:cs="Times New Roman"/>
                <w:position w:val="2"/>
                <w:sz w:val="20"/>
                <w:szCs w:val="20"/>
              </w:rPr>
              <w:t>≤</w:t>
            </w:r>
            <w:r>
              <w:rPr>
                <w:rFonts w:ascii="Times New Roman" w:hAnsi="Times New Roman" w:eastAsia="Times New Roman" w:cs="Times New Roman"/>
                <w:spacing w:val="-21"/>
                <w:position w:val="2"/>
                <w:sz w:val="20"/>
                <w:szCs w:val="20"/>
              </w:rPr>
              <w:t xml:space="preserve"> </w:t>
            </w:r>
            <w:r>
              <w:rPr>
                <w:rFonts w:ascii="Times New Roman" w:hAnsi="Times New Roman" w:eastAsia="Times New Roman" w:cs="Times New Roman"/>
                <w:position w:val="2"/>
                <w:sz w:val="20"/>
                <w:szCs w:val="20"/>
              </w:rPr>
              <w:t>1%</w:t>
            </w:r>
          </w:p>
        </w:tc>
      </w:tr>
    </w:tbl>
    <w:p w14:paraId="2137AC85">
      <w:pPr>
        <w:spacing w:before="288" w:line="362" w:lineRule="auto"/>
        <w:ind w:left="125" w:right="110" w:firstLine="480"/>
        <w:rPr>
          <w:rFonts w:ascii="宋体" w:hAnsi="宋体" w:eastAsia="宋体" w:cs="宋体"/>
          <w:sz w:val="24"/>
          <w:szCs w:val="24"/>
        </w:rPr>
      </w:pPr>
      <w:r>
        <w:rPr>
          <w:rFonts w:ascii="宋体" w:hAnsi="宋体" w:eastAsia="宋体" w:cs="宋体"/>
          <w:spacing w:val="-3"/>
          <w:sz w:val="24"/>
          <w:szCs w:val="24"/>
        </w:rPr>
        <w:t>本项目建成后，主要的大气污染源有猪舍、有机肥发酵车间产生</w:t>
      </w:r>
      <w:r>
        <w:rPr>
          <w:rFonts w:ascii="宋体" w:hAnsi="宋体" w:eastAsia="宋体" w:cs="宋体"/>
          <w:spacing w:val="-61"/>
          <w:sz w:val="24"/>
          <w:szCs w:val="24"/>
        </w:rPr>
        <w:t xml:space="preserve"> </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12"/>
          <w:position w:val="-1"/>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、饲</w:t>
      </w:r>
      <w:r>
        <w:rPr>
          <w:rFonts w:ascii="宋体" w:hAnsi="宋体" w:eastAsia="宋体" w:cs="宋体"/>
          <w:sz w:val="24"/>
          <w:szCs w:val="24"/>
        </w:rPr>
        <w:t xml:space="preserve"> </w:t>
      </w:r>
      <w:r>
        <w:rPr>
          <w:rFonts w:ascii="宋体" w:hAnsi="宋体" w:eastAsia="宋体" w:cs="宋体"/>
          <w:spacing w:val="-3"/>
          <w:sz w:val="24"/>
          <w:szCs w:val="24"/>
        </w:rPr>
        <w:t>料加工房产生的</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TSP</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，备用发电机房产生的</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SO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3"/>
          <w:position w:val="-1"/>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5"/>
          <w:szCs w:val="15"/>
        </w:rPr>
        <w:t>X</w:t>
      </w:r>
      <w:r>
        <w:rPr>
          <w:rFonts w:ascii="Times New Roman" w:hAnsi="Times New Roman" w:eastAsia="Times New Roman" w:cs="Times New Roman"/>
          <w:spacing w:val="-11"/>
          <w:position w:val="-1"/>
          <w:sz w:val="15"/>
          <w:szCs w:val="15"/>
        </w:rPr>
        <w:t xml:space="preserve"> </w:t>
      </w:r>
      <w:r>
        <w:rPr>
          <w:rFonts w:ascii="宋体" w:hAnsi="宋体" w:eastAsia="宋体" w:cs="宋体"/>
          <w:spacing w:val="-4"/>
          <w:sz w:val="24"/>
          <w:szCs w:val="24"/>
        </w:rPr>
        <w:t>、烟尘。</w:t>
      </w:r>
    </w:p>
    <w:p w14:paraId="6E8532D3">
      <w:pPr>
        <w:spacing w:before="2" w:line="373" w:lineRule="auto"/>
        <w:ind w:left="125" w:right="47" w:firstLine="480"/>
        <w:rPr>
          <w:rFonts w:ascii="宋体" w:hAnsi="宋体" w:eastAsia="宋体" w:cs="宋体"/>
          <w:sz w:val="24"/>
          <w:szCs w:val="24"/>
        </w:rPr>
      </w:pPr>
      <w:r>
        <w:rPr>
          <w:rFonts w:ascii="宋体" w:hAnsi="宋体" w:eastAsia="宋体" w:cs="宋体"/>
          <w:spacing w:val="-6"/>
          <w:sz w:val="24"/>
          <w:szCs w:val="24"/>
        </w:rPr>
        <w:t>根据《环境影响评价技术导则大气环境》（</w:t>
      </w:r>
      <w:r>
        <w:rPr>
          <w:rFonts w:ascii="Times New Roman" w:hAnsi="Times New Roman" w:eastAsia="Times New Roman" w:cs="Times New Roman"/>
          <w:spacing w:val="-6"/>
          <w:sz w:val="24"/>
          <w:szCs w:val="24"/>
        </w:rPr>
        <w:t>HJ2.2-2</w:t>
      </w:r>
      <w:r>
        <w:rPr>
          <w:rFonts w:ascii="Times New Roman" w:hAnsi="Times New Roman" w:eastAsia="Times New Roman" w:cs="Times New Roman"/>
          <w:spacing w:val="-7"/>
          <w:sz w:val="24"/>
          <w:szCs w:val="24"/>
        </w:rPr>
        <w:t>018</w:t>
      </w:r>
      <w:r>
        <w:rPr>
          <w:rFonts w:ascii="宋体" w:hAnsi="宋体" w:eastAsia="宋体" w:cs="宋体"/>
          <w:spacing w:val="-7"/>
          <w:sz w:val="24"/>
          <w:szCs w:val="24"/>
        </w:rPr>
        <w:t>）建议估算模式进行估算，</w:t>
      </w:r>
      <w:r>
        <w:rPr>
          <w:rFonts w:ascii="宋体" w:hAnsi="宋体" w:eastAsia="宋体" w:cs="宋体"/>
          <w:sz w:val="24"/>
          <w:szCs w:val="24"/>
        </w:rPr>
        <w:t xml:space="preserve"> </w:t>
      </w:r>
      <w:r>
        <w:rPr>
          <w:rFonts w:ascii="宋体" w:hAnsi="宋体" w:eastAsia="宋体" w:cs="宋体"/>
          <w:spacing w:val="-2"/>
          <w:sz w:val="24"/>
          <w:szCs w:val="24"/>
        </w:rPr>
        <w:t>计算结果见表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2.4-3</w:t>
      </w:r>
      <w:r>
        <w:rPr>
          <w:rFonts w:ascii="宋体" w:hAnsi="宋体" w:eastAsia="宋体" w:cs="宋体"/>
          <w:spacing w:val="-2"/>
          <w:sz w:val="24"/>
          <w:szCs w:val="24"/>
        </w:rPr>
        <w:t>。</w:t>
      </w:r>
    </w:p>
    <w:p w14:paraId="6D1B7159">
      <w:pPr>
        <w:spacing w:before="57" w:line="227" w:lineRule="auto"/>
        <w:ind w:left="2878"/>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3"/>
          <w:sz w:val="20"/>
          <w:szCs w:val="20"/>
        </w:rPr>
        <w:t xml:space="preserve"> </w:t>
      </w:r>
      <w:r>
        <w:rPr>
          <w:rFonts w:ascii="Times New Roman" w:hAnsi="Times New Roman" w:eastAsia="Times New Roman" w:cs="Times New Roman"/>
          <w:b/>
          <w:bCs/>
          <w:spacing w:val="6"/>
          <w:sz w:val="20"/>
          <w:szCs w:val="20"/>
        </w:rPr>
        <w:t xml:space="preserve">2.4-3    </w:t>
      </w:r>
      <w:r>
        <w:rPr>
          <w:rFonts w:ascii="宋体" w:hAnsi="宋体" w:eastAsia="宋体" w:cs="宋体"/>
          <w:b/>
          <w:bCs/>
          <w:spacing w:val="6"/>
          <w:sz w:val="20"/>
          <w:szCs w:val="20"/>
        </w:rPr>
        <w:t>大气污染物估算模式计算</w:t>
      </w:r>
      <w:r>
        <w:rPr>
          <w:rFonts w:ascii="宋体" w:hAnsi="宋体" w:eastAsia="宋体" w:cs="宋体"/>
          <w:b/>
          <w:bCs/>
          <w:spacing w:val="5"/>
          <w:sz w:val="20"/>
          <w:szCs w:val="20"/>
        </w:rPr>
        <w:t>结果</w:t>
      </w:r>
    </w:p>
    <w:p w14:paraId="419E2E8D">
      <w:pPr>
        <w:spacing w:line="104" w:lineRule="exact"/>
      </w:pPr>
    </w:p>
    <w:tbl>
      <w:tblPr>
        <w:tblStyle w:val="5"/>
        <w:tblW w:w="89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1"/>
        <w:gridCol w:w="955"/>
        <w:gridCol w:w="1039"/>
        <w:gridCol w:w="1087"/>
        <w:gridCol w:w="1465"/>
        <w:gridCol w:w="1275"/>
        <w:gridCol w:w="1418"/>
      </w:tblGrid>
      <w:tr w14:paraId="688A0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1711" w:type="dxa"/>
            <w:vAlign w:val="top"/>
          </w:tcPr>
          <w:p w14:paraId="6BCE5AAC">
            <w:pPr>
              <w:pStyle w:val="6"/>
              <w:spacing w:before="225" w:line="229" w:lineRule="auto"/>
              <w:ind w:left="545"/>
            </w:pPr>
            <w:r>
              <w:rPr>
                <w:b/>
                <w:bCs/>
                <w:spacing w:val="5"/>
              </w:rPr>
              <w:t>污染源</w:t>
            </w:r>
          </w:p>
        </w:tc>
        <w:tc>
          <w:tcPr>
            <w:tcW w:w="955" w:type="dxa"/>
            <w:vAlign w:val="top"/>
          </w:tcPr>
          <w:p w14:paraId="5377027D">
            <w:pPr>
              <w:pStyle w:val="6"/>
              <w:spacing w:before="226" w:line="228" w:lineRule="auto"/>
              <w:ind w:left="267"/>
            </w:pPr>
            <w:r>
              <w:rPr>
                <w:b/>
                <w:bCs/>
                <w:spacing w:val="3"/>
              </w:rPr>
              <w:t>类型</w:t>
            </w:r>
          </w:p>
        </w:tc>
        <w:tc>
          <w:tcPr>
            <w:tcW w:w="1039" w:type="dxa"/>
            <w:vAlign w:val="top"/>
          </w:tcPr>
          <w:p w14:paraId="31F9EA6B">
            <w:pPr>
              <w:pStyle w:val="6"/>
              <w:spacing w:before="225" w:line="229" w:lineRule="auto"/>
              <w:ind w:left="207"/>
            </w:pPr>
            <w:r>
              <w:rPr>
                <w:b/>
                <w:bCs/>
                <w:spacing w:val="5"/>
              </w:rPr>
              <w:t>污染物</w:t>
            </w:r>
          </w:p>
        </w:tc>
        <w:tc>
          <w:tcPr>
            <w:tcW w:w="1087" w:type="dxa"/>
            <w:vAlign w:val="top"/>
          </w:tcPr>
          <w:p w14:paraId="6B78E648">
            <w:pPr>
              <w:pStyle w:val="6"/>
              <w:spacing w:before="62" w:line="231" w:lineRule="auto"/>
              <w:ind w:left="334"/>
            </w:pPr>
            <w:r>
              <w:rPr>
                <w:b/>
                <w:bCs/>
                <w:spacing w:val="4"/>
              </w:rPr>
              <w:t>源强</w:t>
            </w:r>
          </w:p>
          <w:p w14:paraId="26BE876A">
            <w:pPr>
              <w:pStyle w:val="6"/>
              <w:spacing w:before="75" w:line="221" w:lineRule="auto"/>
              <w:ind w:left="148"/>
            </w:pPr>
            <w:r>
              <w:rPr>
                <w:b/>
                <w:bCs/>
              </w:rPr>
              <w:t>（</w:t>
            </w:r>
            <w:r>
              <w:rPr>
                <w:rFonts w:ascii="Times New Roman" w:hAnsi="Times New Roman" w:eastAsia="Times New Roman" w:cs="Times New Roman"/>
                <w:b/>
                <w:bCs/>
              </w:rPr>
              <w:t>kg/h</w:t>
            </w:r>
            <w:r>
              <w:rPr>
                <w:b/>
                <w:bCs/>
              </w:rPr>
              <w:t>）</w:t>
            </w:r>
          </w:p>
        </w:tc>
        <w:tc>
          <w:tcPr>
            <w:tcW w:w="1465" w:type="dxa"/>
            <w:vAlign w:val="top"/>
          </w:tcPr>
          <w:p w14:paraId="171B9420">
            <w:pPr>
              <w:pStyle w:val="6"/>
              <w:spacing w:before="61" w:line="272" w:lineRule="auto"/>
              <w:ind w:left="130" w:right="137" w:firstLine="82"/>
            </w:pPr>
            <w:r>
              <w:rPr>
                <w:b/>
                <w:bCs/>
                <w:spacing w:val="6"/>
              </w:rPr>
              <w:t>最大落地浓</w:t>
            </w:r>
            <w:r>
              <w:t xml:space="preserve"> </w:t>
            </w:r>
            <w:r>
              <w:rPr>
                <w:b/>
                <w:bCs/>
                <w:spacing w:val="-2"/>
              </w:rPr>
              <w:t>度（</w:t>
            </w:r>
            <w:r>
              <w:rPr>
                <w:spacing w:val="-59"/>
              </w:rPr>
              <w:t xml:space="preserve"> </w:t>
            </w:r>
            <w:r>
              <w:rPr>
                <w:rFonts w:ascii="Times New Roman" w:hAnsi="Times New Roman" w:eastAsia="Times New Roman" w:cs="Times New Roman"/>
                <w:b/>
                <w:bCs/>
                <w:spacing w:val="-2"/>
              </w:rPr>
              <w:t>mg/m</w:t>
            </w:r>
            <w:r>
              <w:rPr>
                <w:rFonts w:ascii="Times New Roman" w:hAnsi="Times New Roman" w:eastAsia="Times New Roman" w:cs="Times New Roman"/>
                <w:b/>
                <w:bCs/>
                <w:spacing w:val="-2"/>
                <w:position w:val="6"/>
                <w:sz w:val="13"/>
                <w:szCs w:val="13"/>
              </w:rPr>
              <w:t>3</w:t>
            </w:r>
            <w:r>
              <w:rPr>
                <w:b/>
                <w:bCs/>
                <w:spacing w:val="-2"/>
              </w:rPr>
              <w:t>）</w:t>
            </w:r>
          </w:p>
        </w:tc>
        <w:tc>
          <w:tcPr>
            <w:tcW w:w="1275" w:type="dxa"/>
            <w:vAlign w:val="top"/>
          </w:tcPr>
          <w:p w14:paraId="51AE4D51">
            <w:pPr>
              <w:pStyle w:val="6"/>
              <w:spacing w:before="62" w:line="228" w:lineRule="auto"/>
              <w:ind w:left="225"/>
            </w:pPr>
            <w:r>
              <w:rPr>
                <w:b/>
                <w:bCs/>
                <w:spacing w:val="6"/>
              </w:rPr>
              <w:t>标准限值</w:t>
            </w:r>
          </w:p>
          <w:p w14:paraId="42784046">
            <w:pPr>
              <w:pStyle w:val="6"/>
              <w:spacing w:before="78" w:line="221" w:lineRule="auto"/>
              <w:ind w:left="155"/>
            </w:pPr>
            <w:r>
              <w:rPr>
                <w:b/>
                <w:bCs/>
                <w:spacing w:val="2"/>
              </w:rPr>
              <w:t>（</w:t>
            </w:r>
            <w:r>
              <w:rPr>
                <w:rFonts w:ascii="Times New Roman" w:hAnsi="Times New Roman" w:eastAsia="Times New Roman" w:cs="Times New Roman"/>
                <w:b/>
                <w:bCs/>
              </w:rPr>
              <w:t>mg</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6"/>
                <w:sz w:val="13"/>
                <w:szCs w:val="13"/>
              </w:rPr>
              <w:t>3</w:t>
            </w:r>
            <w:r>
              <w:rPr>
                <w:b/>
                <w:bCs/>
                <w:spacing w:val="2"/>
              </w:rPr>
              <w:t>）</w:t>
            </w:r>
          </w:p>
        </w:tc>
        <w:tc>
          <w:tcPr>
            <w:tcW w:w="1418" w:type="dxa"/>
            <w:vAlign w:val="top"/>
          </w:tcPr>
          <w:p w14:paraId="2E00CA37">
            <w:pPr>
              <w:pStyle w:val="6"/>
              <w:spacing w:before="225" w:line="241" w:lineRule="auto"/>
              <w:ind w:left="139"/>
            </w:pPr>
            <w:r>
              <w:rPr>
                <w:rFonts w:ascii="Times New Roman" w:hAnsi="Times New Roman" w:eastAsia="Times New Roman" w:cs="Times New Roman"/>
                <w:b/>
                <w:bCs/>
              </w:rPr>
              <w:t>Pmax</w:t>
            </w:r>
            <w:r>
              <w:rPr>
                <w:b/>
                <w:bCs/>
                <w:spacing w:val="11"/>
              </w:rPr>
              <w:t>（</w:t>
            </w:r>
            <w:r>
              <w:rPr>
                <w:rFonts w:ascii="Times New Roman" w:hAnsi="Times New Roman" w:eastAsia="Times New Roman" w:cs="Times New Roman"/>
                <w:b/>
                <w:bCs/>
                <w:spacing w:val="11"/>
              </w:rPr>
              <w:t>%</w:t>
            </w:r>
            <w:r>
              <w:rPr>
                <w:b/>
                <w:bCs/>
                <w:spacing w:val="11"/>
              </w:rPr>
              <w:t>）</w:t>
            </w:r>
          </w:p>
        </w:tc>
      </w:tr>
      <w:tr w14:paraId="268F3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11" w:type="dxa"/>
            <w:vMerge w:val="restart"/>
            <w:tcBorders>
              <w:bottom w:val="nil"/>
            </w:tcBorders>
            <w:vAlign w:val="top"/>
          </w:tcPr>
          <w:p w14:paraId="5D66C65A">
            <w:pPr>
              <w:pStyle w:val="6"/>
              <w:spacing w:before="229" w:line="229" w:lineRule="auto"/>
              <w:ind w:left="649"/>
            </w:pPr>
            <w:r>
              <w:rPr>
                <w:spacing w:val="4"/>
              </w:rPr>
              <w:t>猪舍</w:t>
            </w:r>
          </w:p>
        </w:tc>
        <w:tc>
          <w:tcPr>
            <w:tcW w:w="955" w:type="dxa"/>
            <w:vMerge w:val="restart"/>
            <w:tcBorders>
              <w:bottom w:val="nil"/>
            </w:tcBorders>
            <w:vAlign w:val="top"/>
          </w:tcPr>
          <w:p w14:paraId="51EC805A">
            <w:pPr>
              <w:pStyle w:val="6"/>
              <w:spacing w:before="228" w:line="230" w:lineRule="auto"/>
              <w:ind w:left="268"/>
            </w:pPr>
            <w:r>
              <w:rPr>
                <w:spacing w:val="4"/>
              </w:rPr>
              <w:t>面源</w:t>
            </w:r>
          </w:p>
        </w:tc>
        <w:tc>
          <w:tcPr>
            <w:tcW w:w="1039" w:type="dxa"/>
            <w:vAlign w:val="top"/>
          </w:tcPr>
          <w:p w14:paraId="5BD77C0B">
            <w:pPr>
              <w:spacing w:before="97" w:line="232" w:lineRule="auto"/>
              <w:ind w:left="324"/>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NH</w:t>
            </w:r>
            <w:r>
              <w:rPr>
                <w:rFonts w:ascii="Times New Roman" w:hAnsi="Times New Roman" w:eastAsia="Times New Roman" w:cs="Times New Roman"/>
                <w:spacing w:val="7"/>
                <w:sz w:val="13"/>
                <w:szCs w:val="13"/>
              </w:rPr>
              <w:t>3</w:t>
            </w:r>
          </w:p>
        </w:tc>
        <w:tc>
          <w:tcPr>
            <w:tcW w:w="1087" w:type="dxa"/>
            <w:vAlign w:val="top"/>
          </w:tcPr>
          <w:p w14:paraId="69A40C93">
            <w:pPr>
              <w:spacing w:before="27" w:line="275"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1465" w:type="dxa"/>
            <w:vAlign w:val="top"/>
          </w:tcPr>
          <w:p w14:paraId="2B93A549">
            <w:pPr>
              <w:spacing w:before="27" w:line="275"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1.82E-03</w:t>
            </w:r>
          </w:p>
        </w:tc>
        <w:tc>
          <w:tcPr>
            <w:tcW w:w="1275" w:type="dxa"/>
            <w:vAlign w:val="top"/>
          </w:tcPr>
          <w:p w14:paraId="28FD376C">
            <w:pPr>
              <w:spacing w:before="27" w:line="275"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418" w:type="dxa"/>
            <w:vAlign w:val="top"/>
          </w:tcPr>
          <w:p w14:paraId="012F6CF7">
            <w:pPr>
              <w:spacing w:before="27" w:line="275"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0.91</w:t>
            </w:r>
          </w:p>
        </w:tc>
      </w:tr>
      <w:tr w14:paraId="65CB2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711" w:type="dxa"/>
            <w:vMerge w:val="continue"/>
            <w:tcBorders>
              <w:top w:val="nil"/>
            </w:tcBorders>
            <w:vAlign w:val="top"/>
          </w:tcPr>
          <w:p w14:paraId="34449B83">
            <w:pPr>
              <w:rPr>
                <w:rFonts w:ascii="Arial"/>
                <w:sz w:val="21"/>
              </w:rPr>
            </w:pPr>
          </w:p>
        </w:tc>
        <w:tc>
          <w:tcPr>
            <w:tcW w:w="955" w:type="dxa"/>
            <w:vMerge w:val="continue"/>
            <w:tcBorders>
              <w:top w:val="nil"/>
            </w:tcBorders>
            <w:vAlign w:val="top"/>
          </w:tcPr>
          <w:p w14:paraId="794B09F2">
            <w:pPr>
              <w:rPr>
                <w:rFonts w:ascii="Arial"/>
                <w:sz w:val="21"/>
              </w:rPr>
            </w:pPr>
          </w:p>
        </w:tc>
        <w:tc>
          <w:tcPr>
            <w:tcW w:w="1039" w:type="dxa"/>
            <w:vAlign w:val="top"/>
          </w:tcPr>
          <w:p w14:paraId="4AC26AE2">
            <w:pPr>
              <w:spacing w:before="95" w:line="233"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H</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4"/>
                <w:sz w:val="20"/>
                <w:szCs w:val="20"/>
              </w:rPr>
              <w:t>S</w:t>
            </w:r>
          </w:p>
        </w:tc>
        <w:tc>
          <w:tcPr>
            <w:tcW w:w="1087" w:type="dxa"/>
            <w:vAlign w:val="top"/>
          </w:tcPr>
          <w:p w14:paraId="55E3603B">
            <w:pPr>
              <w:spacing w:before="28" w:line="274"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w:t>
            </w:r>
          </w:p>
        </w:tc>
        <w:tc>
          <w:tcPr>
            <w:tcW w:w="1465" w:type="dxa"/>
            <w:vAlign w:val="top"/>
          </w:tcPr>
          <w:p w14:paraId="399304F6">
            <w:pPr>
              <w:spacing w:before="28" w:line="274"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1.82E-04</w:t>
            </w:r>
          </w:p>
        </w:tc>
        <w:tc>
          <w:tcPr>
            <w:tcW w:w="1275" w:type="dxa"/>
            <w:vAlign w:val="top"/>
          </w:tcPr>
          <w:p w14:paraId="58B539DA">
            <w:pPr>
              <w:spacing w:before="28"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1418" w:type="dxa"/>
            <w:vAlign w:val="top"/>
          </w:tcPr>
          <w:p w14:paraId="43934FE1">
            <w:pPr>
              <w:spacing w:before="28" w:line="274" w:lineRule="exact"/>
              <w:ind w:left="5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1.82</w:t>
            </w:r>
          </w:p>
        </w:tc>
      </w:tr>
      <w:tr w14:paraId="4455F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711" w:type="dxa"/>
            <w:vMerge w:val="restart"/>
            <w:tcBorders>
              <w:bottom w:val="nil"/>
            </w:tcBorders>
            <w:vAlign w:val="top"/>
          </w:tcPr>
          <w:p w14:paraId="3327C93D">
            <w:pPr>
              <w:pStyle w:val="6"/>
              <w:spacing w:before="231" w:line="228" w:lineRule="auto"/>
              <w:ind w:left="124"/>
            </w:pPr>
            <w:r>
              <w:rPr>
                <w:spacing w:val="8"/>
              </w:rPr>
              <w:t>有机肥发酵车间</w:t>
            </w:r>
          </w:p>
        </w:tc>
        <w:tc>
          <w:tcPr>
            <w:tcW w:w="955" w:type="dxa"/>
            <w:vMerge w:val="restart"/>
            <w:tcBorders>
              <w:bottom w:val="nil"/>
            </w:tcBorders>
            <w:vAlign w:val="top"/>
          </w:tcPr>
          <w:p w14:paraId="112C8E0D">
            <w:pPr>
              <w:pStyle w:val="6"/>
              <w:spacing w:before="231" w:line="230" w:lineRule="auto"/>
              <w:ind w:left="268"/>
            </w:pPr>
            <w:r>
              <w:rPr>
                <w:spacing w:val="4"/>
              </w:rPr>
              <w:t>面源</w:t>
            </w:r>
          </w:p>
        </w:tc>
        <w:tc>
          <w:tcPr>
            <w:tcW w:w="1039" w:type="dxa"/>
            <w:vAlign w:val="top"/>
          </w:tcPr>
          <w:p w14:paraId="7A1DC862">
            <w:pPr>
              <w:spacing w:before="100" w:line="228" w:lineRule="auto"/>
              <w:ind w:left="324"/>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NH</w:t>
            </w:r>
            <w:r>
              <w:rPr>
                <w:rFonts w:ascii="Times New Roman" w:hAnsi="Times New Roman" w:eastAsia="Times New Roman" w:cs="Times New Roman"/>
                <w:spacing w:val="7"/>
                <w:position w:val="-1"/>
                <w:sz w:val="13"/>
                <w:szCs w:val="13"/>
              </w:rPr>
              <w:t>3</w:t>
            </w:r>
          </w:p>
        </w:tc>
        <w:tc>
          <w:tcPr>
            <w:tcW w:w="1087" w:type="dxa"/>
            <w:vAlign w:val="top"/>
          </w:tcPr>
          <w:p w14:paraId="5C10B00B">
            <w:pPr>
              <w:spacing w:before="30"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0.014</w:t>
            </w:r>
          </w:p>
        </w:tc>
        <w:tc>
          <w:tcPr>
            <w:tcW w:w="1465" w:type="dxa"/>
            <w:vAlign w:val="top"/>
          </w:tcPr>
          <w:p w14:paraId="5F2C3EE3">
            <w:pPr>
              <w:spacing w:before="30" w:line="274"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1.94E-03</w:t>
            </w:r>
          </w:p>
        </w:tc>
        <w:tc>
          <w:tcPr>
            <w:tcW w:w="1275" w:type="dxa"/>
            <w:vAlign w:val="top"/>
          </w:tcPr>
          <w:p w14:paraId="29336777">
            <w:pPr>
              <w:spacing w:before="30" w:line="274"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418" w:type="dxa"/>
            <w:vAlign w:val="top"/>
          </w:tcPr>
          <w:p w14:paraId="122B479B">
            <w:pPr>
              <w:spacing w:before="30" w:line="274"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0.97</w:t>
            </w:r>
          </w:p>
        </w:tc>
      </w:tr>
      <w:tr w14:paraId="2A0FF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11" w:type="dxa"/>
            <w:vMerge w:val="continue"/>
            <w:tcBorders>
              <w:top w:val="nil"/>
            </w:tcBorders>
            <w:vAlign w:val="top"/>
          </w:tcPr>
          <w:p w14:paraId="6C86EC31">
            <w:pPr>
              <w:rPr>
                <w:rFonts w:ascii="Arial"/>
                <w:sz w:val="21"/>
              </w:rPr>
            </w:pPr>
          </w:p>
        </w:tc>
        <w:tc>
          <w:tcPr>
            <w:tcW w:w="955" w:type="dxa"/>
            <w:vMerge w:val="continue"/>
            <w:tcBorders>
              <w:top w:val="nil"/>
            </w:tcBorders>
            <w:vAlign w:val="top"/>
          </w:tcPr>
          <w:p w14:paraId="754D2A2A">
            <w:pPr>
              <w:rPr>
                <w:rFonts w:ascii="Arial"/>
                <w:sz w:val="21"/>
              </w:rPr>
            </w:pPr>
          </w:p>
        </w:tc>
        <w:tc>
          <w:tcPr>
            <w:tcW w:w="1039" w:type="dxa"/>
            <w:vAlign w:val="top"/>
          </w:tcPr>
          <w:p w14:paraId="07A74BC6">
            <w:pPr>
              <w:spacing w:before="101" w:line="228"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H</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4"/>
                <w:sz w:val="20"/>
                <w:szCs w:val="20"/>
              </w:rPr>
              <w:t>S</w:t>
            </w:r>
          </w:p>
        </w:tc>
        <w:tc>
          <w:tcPr>
            <w:tcW w:w="1087" w:type="dxa"/>
            <w:vAlign w:val="top"/>
          </w:tcPr>
          <w:p w14:paraId="45E9D31B">
            <w:pPr>
              <w:spacing w:before="34" w:line="274"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465" w:type="dxa"/>
            <w:vAlign w:val="top"/>
          </w:tcPr>
          <w:p w14:paraId="1716FED0">
            <w:pPr>
              <w:spacing w:before="34"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8.33E-04</w:t>
            </w:r>
          </w:p>
        </w:tc>
        <w:tc>
          <w:tcPr>
            <w:tcW w:w="1275" w:type="dxa"/>
            <w:vAlign w:val="top"/>
          </w:tcPr>
          <w:p w14:paraId="20E23681">
            <w:pPr>
              <w:spacing w:before="34"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1418" w:type="dxa"/>
            <w:vAlign w:val="top"/>
          </w:tcPr>
          <w:p w14:paraId="651B6B97">
            <w:pPr>
              <w:spacing w:before="34" w:line="274" w:lineRule="exact"/>
              <w:ind w:left="53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8.33</w:t>
            </w:r>
          </w:p>
        </w:tc>
      </w:tr>
      <w:tr w14:paraId="094F5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711" w:type="dxa"/>
            <w:vAlign w:val="top"/>
          </w:tcPr>
          <w:p w14:paraId="2F11BCA9">
            <w:pPr>
              <w:pStyle w:val="6"/>
              <w:spacing w:before="66" w:line="229" w:lineRule="auto"/>
              <w:ind w:left="331"/>
            </w:pPr>
            <w:r>
              <w:rPr>
                <w:spacing w:val="8"/>
              </w:rPr>
              <w:t>饲料加工房</w:t>
            </w:r>
          </w:p>
        </w:tc>
        <w:tc>
          <w:tcPr>
            <w:tcW w:w="955" w:type="dxa"/>
            <w:vAlign w:val="top"/>
          </w:tcPr>
          <w:p w14:paraId="4274EA57">
            <w:pPr>
              <w:pStyle w:val="6"/>
              <w:spacing w:before="66" w:line="230" w:lineRule="auto"/>
              <w:ind w:left="268"/>
            </w:pPr>
            <w:r>
              <w:rPr>
                <w:spacing w:val="4"/>
              </w:rPr>
              <w:t>面源</w:t>
            </w:r>
          </w:p>
        </w:tc>
        <w:tc>
          <w:tcPr>
            <w:tcW w:w="1039" w:type="dxa"/>
            <w:vAlign w:val="top"/>
          </w:tcPr>
          <w:p w14:paraId="3C4CB2FC">
            <w:pPr>
              <w:spacing w:before="10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087" w:type="dxa"/>
            <w:vAlign w:val="top"/>
          </w:tcPr>
          <w:p w14:paraId="11385888">
            <w:pPr>
              <w:spacing w:before="35"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c>
          <w:tcPr>
            <w:tcW w:w="1465" w:type="dxa"/>
            <w:vAlign w:val="top"/>
          </w:tcPr>
          <w:p w14:paraId="4136C20C">
            <w:pPr>
              <w:spacing w:before="35" w:line="274"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1.17E-02</w:t>
            </w:r>
          </w:p>
        </w:tc>
        <w:tc>
          <w:tcPr>
            <w:tcW w:w="1275" w:type="dxa"/>
            <w:vAlign w:val="top"/>
          </w:tcPr>
          <w:p w14:paraId="4D07AA65">
            <w:pPr>
              <w:spacing w:before="35" w:line="274"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0.9</w:t>
            </w:r>
          </w:p>
        </w:tc>
        <w:tc>
          <w:tcPr>
            <w:tcW w:w="1418" w:type="dxa"/>
            <w:vAlign w:val="top"/>
          </w:tcPr>
          <w:p w14:paraId="6CBB9C3A">
            <w:pPr>
              <w:spacing w:before="35" w:line="274" w:lineRule="exact"/>
              <w:ind w:left="5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1.29</w:t>
            </w:r>
          </w:p>
        </w:tc>
      </w:tr>
    </w:tbl>
    <w:p w14:paraId="2B81D18E">
      <w:pPr>
        <w:spacing w:before="252" w:line="366" w:lineRule="auto"/>
        <w:ind w:left="125" w:right="157" w:firstLine="509"/>
        <w:rPr>
          <w:rFonts w:ascii="宋体" w:hAnsi="宋体" w:eastAsia="宋体" w:cs="宋体"/>
          <w:sz w:val="24"/>
          <w:szCs w:val="24"/>
        </w:rPr>
      </w:pPr>
      <w:r>
        <w:rPr>
          <w:rFonts w:ascii="宋体" w:hAnsi="宋体" w:eastAsia="宋体" w:cs="宋体"/>
          <w:spacing w:val="-1"/>
          <w:sz w:val="24"/>
          <w:szCs w:val="24"/>
        </w:rPr>
        <w:t>由表</w:t>
      </w:r>
      <w:r>
        <w:rPr>
          <w:rFonts w:ascii="Times New Roman" w:hAnsi="Times New Roman" w:eastAsia="Times New Roman" w:cs="Times New Roman"/>
          <w:spacing w:val="-1"/>
          <w:sz w:val="24"/>
          <w:szCs w:val="24"/>
        </w:rPr>
        <w:t xml:space="preserve">2.4-3 </w:t>
      </w:r>
      <w:r>
        <w:rPr>
          <w:rFonts w:ascii="宋体" w:hAnsi="宋体" w:eastAsia="宋体" w:cs="宋体"/>
          <w:spacing w:val="-1"/>
          <w:sz w:val="24"/>
          <w:szCs w:val="24"/>
        </w:rPr>
        <w:t>可知，本项目主要大气污染物最大地面</w:t>
      </w:r>
      <w:r>
        <w:rPr>
          <w:rFonts w:ascii="宋体" w:hAnsi="宋体" w:eastAsia="宋体" w:cs="宋体"/>
          <w:spacing w:val="-2"/>
          <w:sz w:val="24"/>
          <w:szCs w:val="24"/>
        </w:rPr>
        <w:t>浓度占标率</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1%&lt;Pmax&lt;10%</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1"/>
          <w:sz w:val="24"/>
          <w:szCs w:val="24"/>
        </w:rPr>
        <w:t>根据导则判定大气环境评价等级为二级。</w:t>
      </w:r>
    </w:p>
    <w:p w14:paraId="105AC0EC">
      <w:pPr>
        <w:spacing w:before="25" w:line="359" w:lineRule="exact"/>
        <w:ind w:left="616"/>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）评价范围</w:t>
      </w:r>
    </w:p>
    <w:p w14:paraId="1BA4A42D">
      <w:pPr>
        <w:spacing w:before="131" w:line="373" w:lineRule="auto"/>
        <w:ind w:left="125" w:right="115" w:firstLine="480"/>
        <w:rPr>
          <w:rFonts w:ascii="宋体" w:hAnsi="宋体" w:eastAsia="宋体" w:cs="宋体"/>
          <w:sz w:val="24"/>
          <w:szCs w:val="24"/>
        </w:rPr>
      </w:pPr>
      <w:r>
        <w:rPr>
          <w:rFonts w:ascii="宋体" w:hAnsi="宋体" w:eastAsia="宋体" w:cs="宋体"/>
          <w:spacing w:val="1"/>
          <w:sz w:val="24"/>
          <w:szCs w:val="24"/>
        </w:rPr>
        <w:t>本项目大气环境影响评价等级为二级，大气环境影响</w:t>
      </w:r>
      <w:r>
        <w:rPr>
          <w:rFonts w:ascii="宋体" w:hAnsi="宋体" w:eastAsia="宋体" w:cs="宋体"/>
          <w:sz w:val="24"/>
          <w:szCs w:val="24"/>
        </w:rPr>
        <w:t>评价范围边长取</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5km</w:t>
      </w:r>
      <w:r>
        <w:rPr>
          <w:rFonts w:ascii="Times New Roman" w:hAnsi="Times New Roman" w:eastAsia="Times New Roman" w:cs="Times New Roman"/>
          <w:spacing w:val="-24"/>
          <w:sz w:val="24"/>
          <w:szCs w:val="24"/>
        </w:rPr>
        <w:t xml:space="preserve"> </w:t>
      </w:r>
      <w:r>
        <w:rPr>
          <w:rFonts w:ascii="宋体" w:hAnsi="宋体" w:eastAsia="宋体" w:cs="宋体"/>
          <w:sz w:val="24"/>
          <w:szCs w:val="24"/>
        </w:rPr>
        <w:t xml:space="preserve">。具 </w:t>
      </w:r>
      <w:r>
        <w:rPr>
          <w:rFonts w:ascii="宋体" w:hAnsi="宋体" w:eastAsia="宋体" w:cs="宋体"/>
          <w:spacing w:val="-2"/>
          <w:sz w:val="24"/>
          <w:szCs w:val="24"/>
        </w:rPr>
        <w:t>体评价范围见图</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2.8-1</w:t>
      </w:r>
      <w:r>
        <w:rPr>
          <w:rFonts w:ascii="宋体" w:hAnsi="宋体" w:eastAsia="宋体" w:cs="宋体"/>
          <w:spacing w:val="-2"/>
          <w:sz w:val="24"/>
          <w:szCs w:val="24"/>
        </w:rPr>
        <w:t>。</w:t>
      </w:r>
    </w:p>
    <w:p w14:paraId="28055C37">
      <w:pPr>
        <w:spacing w:line="373" w:lineRule="auto"/>
        <w:rPr>
          <w:rFonts w:ascii="宋体" w:hAnsi="宋体" w:eastAsia="宋体" w:cs="宋体"/>
          <w:sz w:val="24"/>
          <w:szCs w:val="24"/>
        </w:rPr>
        <w:sectPr>
          <w:footerReference r:id="rId42" w:type="default"/>
          <w:pgSz w:w="11906" w:h="16839"/>
          <w:pgMar w:top="1431" w:right="1472" w:bottom="1485" w:left="1472" w:header="0" w:footer="1249" w:gutter="0"/>
          <w:cols w:space="720" w:num="1"/>
        </w:sectPr>
      </w:pPr>
    </w:p>
    <w:p w14:paraId="232FBEA3">
      <w:pPr>
        <w:spacing w:before="110"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2.4.3</w:t>
      </w:r>
      <w:r>
        <w:rPr>
          <w:rFonts w:ascii="宋体" w:hAnsi="宋体" w:eastAsia="宋体" w:cs="宋体"/>
          <w:b/>
          <w:bCs/>
          <w:spacing w:val="-2"/>
          <w:sz w:val="24"/>
          <w:szCs w:val="24"/>
        </w:rPr>
        <w:t>声环境影响评价等级与范围</w:t>
      </w:r>
    </w:p>
    <w:p w14:paraId="03B069C1">
      <w:pPr>
        <w:spacing w:before="171" w:line="374" w:lineRule="auto"/>
        <w:ind w:left="123" w:right="32" w:firstLine="480"/>
        <w:jc w:val="both"/>
        <w:rPr>
          <w:rFonts w:ascii="宋体" w:hAnsi="宋体" w:eastAsia="宋体" w:cs="宋体"/>
          <w:sz w:val="24"/>
          <w:szCs w:val="24"/>
        </w:rPr>
      </w:pPr>
      <w:r>
        <w:rPr>
          <w:rFonts w:ascii="宋体" w:hAnsi="宋体" w:eastAsia="宋体" w:cs="宋体"/>
          <w:spacing w:val="1"/>
          <w:sz w:val="24"/>
          <w:szCs w:val="24"/>
        </w:rPr>
        <w:t>本项目噪声源主要来自生产设备等。其噪声级为</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60</w:t>
      </w:r>
      <w:r>
        <w:rPr>
          <w:rFonts w:ascii="Times New Roman" w:hAnsi="Times New Roman" w:eastAsia="Times New Roman" w:cs="Times New Roman"/>
          <w:sz w:val="24"/>
          <w:szCs w:val="24"/>
        </w:rPr>
        <w:t>dB</w:t>
      </w:r>
      <w:r>
        <w:rPr>
          <w:rFonts w:ascii="Times New Roman" w:hAnsi="Times New Roman" w:eastAsia="Times New Roman" w:cs="Times New Roman"/>
          <w:spacing w:val="1"/>
          <w:sz w:val="24"/>
          <w:szCs w:val="24"/>
        </w:rPr>
        <w:t>(A)~75</w:t>
      </w:r>
      <w:r>
        <w:rPr>
          <w:rFonts w:ascii="Times New Roman" w:hAnsi="Times New Roman" w:eastAsia="Times New Roman" w:cs="Times New Roman"/>
          <w:sz w:val="24"/>
          <w:szCs w:val="24"/>
        </w:rPr>
        <w:t>dB</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。落实有效</w:t>
      </w:r>
      <w:r>
        <w:rPr>
          <w:rFonts w:ascii="宋体" w:hAnsi="宋体" w:eastAsia="宋体" w:cs="宋体"/>
          <w:sz w:val="24"/>
          <w:szCs w:val="24"/>
        </w:rPr>
        <w:t xml:space="preserve"> 防治措施后，本项目建设前后噪声级增加很小（噪</w:t>
      </w:r>
      <w:r>
        <w:rPr>
          <w:rFonts w:ascii="宋体" w:hAnsi="宋体" w:eastAsia="宋体" w:cs="宋体"/>
          <w:spacing w:val="-1"/>
          <w:sz w:val="24"/>
          <w:szCs w:val="24"/>
        </w:rPr>
        <w:t>声级增高量在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3dB(A)</w:t>
      </w:r>
      <w:r>
        <w:rPr>
          <w:rFonts w:ascii="宋体" w:hAnsi="宋体" w:eastAsia="宋体" w:cs="宋体"/>
          <w:spacing w:val="-1"/>
          <w:sz w:val="24"/>
          <w:szCs w:val="24"/>
        </w:rPr>
        <w:t>以内</w:t>
      </w:r>
      <w:r>
        <w:rPr>
          <w:rFonts w:ascii="宋体" w:hAnsi="宋体" w:eastAsia="宋体" w:cs="宋体"/>
          <w:spacing w:val="5"/>
          <w:sz w:val="24"/>
          <w:szCs w:val="24"/>
        </w:rPr>
        <w:t>），</w:t>
      </w:r>
      <w:r>
        <w:rPr>
          <w:rFonts w:ascii="宋体" w:hAnsi="宋体" w:eastAsia="宋体" w:cs="宋体"/>
          <w:spacing w:val="-1"/>
          <w:sz w:val="24"/>
          <w:szCs w:val="24"/>
        </w:rPr>
        <w:t>且</w:t>
      </w:r>
      <w:r>
        <w:rPr>
          <w:rFonts w:ascii="宋体" w:hAnsi="宋体" w:eastAsia="宋体" w:cs="宋体"/>
          <w:sz w:val="24"/>
          <w:szCs w:val="24"/>
        </w:rPr>
        <w:t xml:space="preserve"> </w:t>
      </w:r>
      <w:r>
        <w:rPr>
          <w:rFonts w:ascii="宋体" w:hAnsi="宋体" w:eastAsia="宋体" w:cs="宋体"/>
          <w:spacing w:val="2"/>
          <w:sz w:val="24"/>
          <w:szCs w:val="24"/>
        </w:rPr>
        <w:t>受影响人口变化不大。本项目所在区域为</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类声环境功能区，根据《环</w:t>
      </w:r>
      <w:r>
        <w:rPr>
          <w:rFonts w:ascii="宋体" w:hAnsi="宋体" w:eastAsia="宋体" w:cs="宋体"/>
          <w:spacing w:val="1"/>
          <w:sz w:val="24"/>
          <w:szCs w:val="24"/>
        </w:rPr>
        <w:t>境影响评价</w:t>
      </w:r>
      <w:r>
        <w:rPr>
          <w:rFonts w:ascii="宋体" w:hAnsi="宋体" w:eastAsia="宋体" w:cs="宋体"/>
          <w:sz w:val="24"/>
          <w:szCs w:val="24"/>
        </w:rPr>
        <w:t xml:space="preserve"> </w:t>
      </w:r>
      <w:r>
        <w:rPr>
          <w:rFonts w:ascii="宋体" w:hAnsi="宋体" w:eastAsia="宋体" w:cs="宋体"/>
          <w:spacing w:val="-6"/>
          <w:sz w:val="24"/>
          <w:szCs w:val="24"/>
        </w:rPr>
        <w:t>技术导则声环境》（</w:t>
      </w:r>
      <w:r>
        <w:rPr>
          <w:rFonts w:ascii="Times New Roman" w:hAnsi="Times New Roman" w:eastAsia="Times New Roman" w:cs="Times New Roman"/>
          <w:spacing w:val="-6"/>
          <w:sz w:val="24"/>
          <w:szCs w:val="24"/>
        </w:rPr>
        <w:t>HJ2.4-2009</w:t>
      </w:r>
      <w:r>
        <w:rPr>
          <w:rFonts w:ascii="宋体" w:hAnsi="宋体" w:eastAsia="宋体" w:cs="宋体"/>
          <w:spacing w:val="-6"/>
          <w:sz w:val="24"/>
          <w:szCs w:val="24"/>
        </w:rPr>
        <w:t>）的要求，拟定本项目噪声环境影响评价等级为二级。</w:t>
      </w:r>
    </w:p>
    <w:p w14:paraId="7BD7B428">
      <w:pPr>
        <w:spacing w:before="9"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）评价范围</w:t>
      </w:r>
    </w:p>
    <w:p w14:paraId="1B865795">
      <w:pPr>
        <w:spacing w:before="128" w:line="359" w:lineRule="exact"/>
        <w:ind w:left="603"/>
        <w:rPr>
          <w:rFonts w:ascii="宋体" w:hAnsi="宋体" w:eastAsia="宋体" w:cs="宋体"/>
          <w:sz w:val="24"/>
          <w:szCs w:val="24"/>
        </w:rPr>
      </w:pPr>
      <w:r>
        <w:rPr>
          <w:rFonts w:ascii="宋体" w:hAnsi="宋体" w:eastAsia="宋体" w:cs="宋体"/>
          <w:spacing w:val="1"/>
          <w:position w:val="2"/>
          <w:sz w:val="24"/>
          <w:szCs w:val="24"/>
        </w:rPr>
        <w:t>本项目声环境影响评价范围为：项目边界外</w:t>
      </w:r>
      <w:r>
        <w:rPr>
          <w:rFonts w:ascii="宋体" w:hAnsi="宋体" w:eastAsia="宋体" w:cs="宋体"/>
          <w:position w:val="2"/>
          <w:sz w:val="24"/>
          <w:szCs w:val="24"/>
        </w:rPr>
        <w:t>向外</w:t>
      </w:r>
      <w:r>
        <w:rPr>
          <w:rFonts w:ascii="Times New Roman" w:hAnsi="Times New Roman" w:eastAsia="Times New Roman" w:cs="Times New Roman"/>
          <w:position w:val="2"/>
          <w:sz w:val="24"/>
          <w:szCs w:val="24"/>
        </w:rPr>
        <w:t>200m</w:t>
      </w:r>
      <w:r>
        <w:rPr>
          <w:rFonts w:ascii="Times New Roman" w:hAnsi="Times New Roman" w:eastAsia="Times New Roman" w:cs="Times New Roman"/>
          <w:spacing w:val="27"/>
          <w:w w:val="101"/>
          <w:position w:val="2"/>
          <w:sz w:val="24"/>
          <w:szCs w:val="24"/>
        </w:rPr>
        <w:t xml:space="preserve"> </w:t>
      </w:r>
      <w:r>
        <w:rPr>
          <w:rFonts w:ascii="宋体" w:hAnsi="宋体" w:eastAsia="宋体" w:cs="宋体"/>
          <w:position w:val="2"/>
          <w:sz w:val="24"/>
          <w:szCs w:val="24"/>
        </w:rPr>
        <w:t>的区域。</w:t>
      </w:r>
    </w:p>
    <w:p w14:paraId="1C09A3A4">
      <w:pPr>
        <w:spacing w:before="168"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2.4.4</w:t>
      </w:r>
      <w:r>
        <w:rPr>
          <w:rFonts w:ascii="宋体" w:hAnsi="宋体" w:eastAsia="宋体" w:cs="宋体"/>
          <w:b/>
          <w:bCs/>
          <w:spacing w:val="-2"/>
          <w:sz w:val="24"/>
          <w:szCs w:val="24"/>
        </w:rPr>
        <w:t>地下水评价等级</w:t>
      </w:r>
    </w:p>
    <w:p w14:paraId="7DB468D5">
      <w:pPr>
        <w:spacing w:before="168" w:line="372" w:lineRule="auto"/>
        <w:ind w:left="122" w:right="113" w:firstLine="480"/>
        <w:jc w:val="both"/>
        <w:rPr>
          <w:rFonts w:ascii="宋体" w:hAnsi="宋体" w:eastAsia="宋体" w:cs="宋体"/>
          <w:sz w:val="24"/>
          <w:szCs w:val="24"/>
        </w:rPr>
      </w:pPr>
      <w:r>
        <w:rPr>
          <w:rFonts w:ascii="宋体" w:hAnsi="宋体" w:eastAsia="宋体" w:cs="宋体"/>
          <w:spacing w:val="2"/>
          <w:sz w:val="24"/>
          <w:szCs w:val="24"/>
        </w:rPr>
        <w:t>根据《环境影响评价技术导则地下水环境》（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610-2016</w:t>
      </w:r>
      <w:r>
        <w:rPr>
          <w:rFonts w:ascii="宋体" w:hAnsi="宋体" w:eastAsia="宋体" w:cs="宋体"/>
          <w:spacing w:val="2"/>
          <w:sz w:val="24"/>
          <w:szCs w:val="24"/>
        </w:rPr>
        <w:t>）中地下水环境影响</w:t>
      </w:r>
      <w:r>
        <w:rPr>
          <w:rFonts w:ascii="宋体" w:hAnsi="宋体" w:eastAsia="宋体" w:cs="宋体"/>
          <w:spacing w:val="17"/>
          <w:sz w:val="24"/>
          <w:szCs w:val="24"/>
        </w:rPr>
        <w:t xml:space="preserve"> </w:t>
      </w:r>
      <w:r>
        <w:rPr>
          <w:rFonts w:ascii="宋体" w:hAnsi="宋体" w:eastAsia="宋体" w:cs="宋体"/>
          <w:spacing w:val="-2"/>
          <w:sz w:val="24"/>
          <w:szCs w:val="24"/>
        </w:rPr>
        <w:t>评价行业分类表，确定本项目类别为农、林、牧、渔、海洋第</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 xml:space="preserve">14 </w:t>
      </w:r>
      <w:r>
        <w:rPr>
          <w:rFonts w:ascii="宋体" w:hAnsi="宋体" w:eastAsia="宋体" w:cs="宋体"/>
          <w:spacing w:val="-2"/>
          <w:sz w:val="24"/>
          <w:szCs w:val="24"/>
        </w:rPr>
        <w:t>项畜禽养殖场、养</w:t>
      </w:r>
      <w:r>
        <w:rPr>
          <w:rFonts w:ascii="宋体" w:hAnsi="宋体" w:eastAsia="宋体" w:cs="宋体"/>
          <w:sz w:val="24"/>
          <w:szCs w:val="24"/>
        </w:rPr>
        <w:t xml:space="preserve"> </w:t>
      </w:r>
      <w:r>
        <w:rPr>
          <w:rFonts w:ascii="宋体" w:hAnsi="宋体" w:eastAsia="宋体" w:cs="宋体"/>
          <w:spacing w:val="-1"/>
          <w:sz w:val="24"/>
          <w:szCs w:val="24"/>
        </w:rPr>
        <w:t>殖小区，年出栏生猪</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5000 </w:t>
      </w:r>
      <w:r>
        <w:rPr>
          <w:rFonts w:ascii="宋体" w:hAnsi="宋体" w:eastAsia="宋体" w:cs="宋体"/>
          <w:spacing w:val="-1"/>
          <w:sz w:val="24"/>
          <w:szCs w:val="24"/>
        </w:rPr>
        <w:t>头（其他畜禽种类折合猪</w:t>
      </w:r>
      <w:r>
        <w:rPr>
          <w:rFonts w:ascii="宋体" w:hAnsi="宋体" w:eastAsia="宋体" w:cs="宋体"/>
          <w:spacing w:val="-2"/>
          <w:sz w:val="24"/>
          <w:szCs w:val="24"/>
        </w:rPr>
        <w:t>的养殖规模）及以上的。因此，</w:t>
      </w:r>
      <w:r>
        <w:rPr>
          <w:rFonts w:ascii="宋体" w:hAnsi="宋体" w:eastAsia="宋体" w:cs="宋体"/>
          <w:sz w:val="24"/>
          <w:szCs w:val="24"/>
        </w:rPr>
        <w:t xml:space="preserve"> </w:t>
      </w:r>
      <w:r>
        <w:rPr>
          <w:rFonts w:ascii="宋体" w:hAnsi="宋体" w:eastAsia="宋体" w:cs="宋体"/>
          <w:spacing w:val="2"/>
          <w:sz w:val="24"/>
          <w:szCs w:val="24"/>
        </w:rPr>
        <w:t>判定本项目地表水环境影响评价类别属于Ⅲ类建设项目。建设项目地下水环境影响</w:t>
      </w:r>
      <w:r>
        <w:rPr>
          <w:rFonts w:ascii="宋体" w:hAnsi="宋体" w:eastAsia="宋体" w:cs="宋体"/>
          <w:spacing w:val="7"/>
          <w:sz w:val="24"/>
          <w:szCs w:val="24"/>
        </w:rPr>
        <w:t xml:space="preserve"> </w:t>
      </w:r>
      <w:r>
        <w:rPr>
          <w:rFonts w:ascii="宋体" w:hAnsi="宋体" w:eastAsia="宋体" w:cs="宋体"/>
          <w:spacing w:val="-1"/>
          <w:sz w:val="24"/>
          <w:szCs w:val="24"/>
        </w:rPr>
        <w:t>评价工作等级情况见下表。</w:t>
      </w:r>
    </w:p>
    <w:p w14:paraId="097A54F5">
      <w:pPr>
        <w:spacing w:before="77" w:line="228" w:lineRule="auto"/>
        <w:ind w:left="303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 xml:space="preserve">2.4-4  </w:t>
      </w:r>
      <w:r>
        <w:rPr>
          <w:rFonts w:ascii="宋体" w:hAnsi="宋体" w:eastAsia="宋体" w:cs="宋体"/>
          <w:b/>
          <w:bCs/>
          <w:spacing w:val="6"/>
          <w:sz w:val="20"/>
          <w:szCs w:val="20"/>
        </w:rPr>
        <w:t>地下水环境敏感程度分级别</w:t>
      </w:r>
    </w:p>
    <w:p w14:paraId="0157A9C7">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6"/>
        <w:gridCol w:w="6854"/>
      </w:tblGrid>
      <w:tr w14:paraId="5EC45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096" w:type="dxa"/>
            <w:vAlign w:val="top"/>
          </w:tcPr>
          <w:p w14:paraId="7C984726">
            <w:pPr>
              <w:pStyle w:val="6"/>
              <w:spacing w:before="87" w:line="228" w:lineRule="auto"/>
              <w:ind w:left="633"/>
            </w:pPr>
            <w:r>
              <w:rPr>
                <w:b/>
                <w:bCs/>
                <w:spacing w:val="6"/>
              </w:rPr>
              <w:t>敏感程度</w:t>
            </w:r>
          </w:p>
        </w:tc>
        <w:tc>
          <w:tcPr>
            <w:tcW w:w="6854" w:type="dxa"/>
            <w:vAlign w:val="top"/>
          </w:tcPr>
          <w:p w14:paraId="1F967026">
            <w:pPr>
              <w:pStyle w:val="6"/>
              <w:spacing w:before="87" w:line="228" w:lineRule="auto"/>
              <w:ind w:left="2484"/>
            </w:pPr>
            <w:r>
              <w:rPr>
                <w:b/>
                <w:bCs/>
                <w:spacing w:val="7"/>
              </w:rPr>
              <w:t>地下水环境敏感特征</w:t>
            </w:r>
          </w:p>
        </w:tc>
      </w:tr>
      <w:tr w14:paraId="37E4C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7" w:hRule="atLeast"/>
        </w:trPr>
        <w:tc>
          <w:tcPr>
            <w:tcW w:w="2096" w:type="dxa"/>
            <w:vAlign w:val="top"/>
          </w:tcPr>
          <w:p w14:paraId="39BFC104">
            <w:pPr>
              <w:rPr>
                <w:rFonts w:ascii="Arial"/>
                <w:sz w:val="21"/>
              </w:rPr>
            </w:pPr>
          </w:p>
          <w:p w14:paraId="674E40E5">
            <w:pPr>
              <w:rPr>
                <w:rFonts w:ascii="Arial"/>
                <w:sz w:val="21"/>
              </w:rPr>
            </w:pPr>
          </w:p>
          <w:p w14:paraId="138E015D">
            <w:pPr>
              <w:pStyle w:val="6"/>
              <w:spacing w:before="65" w:line="228" w:lineRule="auto"/>
              <w:ind w:left="844"/>
            </w:pPr>
            <w:r>
              <w:rPr>
                <w:spacing w:val="4"/>
              </w:rPr>
              <w:t>敏感</w:t>
            </w:r>
          </w:p>
        </w:tc>
        <w:tc>
          <w:tcPr>
            <w:tcW w:w="6854" w:type="dxa"/>
            <w:vAlign w:val="top"/>
          </w:tcPr>
          <w:p w14:paraId="04716F88">
            <w:pPr>
              <w:pStyle w:val="6"/>
              <w:spacing w:before="57" w:line="286" w:lineRule="auto"/>
              <w:ind w:left="112" w:right="107"/>
              <w:jc w:val="both"/>
            </w:pPr>
            <w:r>
              <w:rPr>
                <w:spacing w:val="7"/>
              </w:rPr>
              <w:t>集中式饮用水水源（包括已建成的在用、备用、应急水源，在建和规划的</w:t>
            </w:r>
            <w:r>
              <w:t xml:space="preserve"> </w:t>
            </w:r>
            <w:r>
              <w:rPr>
                <w:spacing w:val="7"/>
              </w:rPr>
              <w:t>饮用水水源）准保护区；除集中式饮用水水源外的国家或地方政府设定的</w:t>
            </w:r>
            <w:r>
              <w:rPr>
                <w:spacing w:val="3"/>
              </w:rPr>
              <w:t xml:space="preserve"> </w:t>
            </w:r>
            <w:r>
              <w:rPr>
                <w:spacing w:val="7"/>
              </w:rPr>
              <w:t>与地下水环境相关的其他保护区，如热水、矿泉水、温泉等特殊地下水资</w:t>
            </w:r>
            <w:r>
              <w:rPr>
                <w:spacing w:val="3"/>
              </w:rPr>
              <w:t xml:space="preserve"> </w:t>
            </w:r>
            <w:r>
              <w:rPr>
                <w:spacing w:val="6"/>
              </w:rPr>
              <w:t>源保护区。</w:t>
            </w:r>
          </w:p>
        </w:tc>
      </w:tr>
      <w:tr w14:paraId="6765E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33" w:hRule="atLeast"/>
        </w:trPr>
        <w:tc>
          <w:tcPr>
            <w:tcW w:w="2096" w:type="dxa"/>
            <w:vAlign w:val="top"/>
          </w:tcPr>
          <w:p w14:paraId="18C93EDF">
            <w:pPr>
              <w:spacing w:line="321" w:lineRule="auto"/>
              <w:rPr>
                <w:rFonts w:ascii="Arial"/>
                <w:sz w:val="21"/>
              </w:rPr>
            </w:pPr>
          </w:p>
          <w:p w14:paraId="32F49077">
            <w:pPr>
              <w:spacing w:line="322" w:lineRule="auto"/>
              <w:rPr>
                <w:rFonts w:ascii="Arial"/>
                <w:sz w:val="21"/>
              </w:rPr>
            </w:pPr>
          </w:p>
          <w:p w14:paraId="6E5BCE47">
            <w:pPr>
              <w:pStyle w:val="6"/>
              <w:spacing w:before="65" w:line="228" w:lineRule="auto"/>
              <w:ind w:left="738"/>
            </w:pPr>
            <w:r>
              <w:rPr>
                <w:spacing w:val="6"/>
              </w:rPr>
              <w:t>较敏感</w:t>
            </w:r>
          </w:p>
        </w:tc>
        <w:tc>
          <w:tcPr>
            <w:tcW w:w="6854" w:type="dxa"/>
            <w:vAlign w:val="top"/>
          </w:tcPr>
          <w:p w14:paraId="0AB17C87">
            <w:pPr>
              <w:pStyle w:val="6"/>
              <w:spacing w:before="62" w:line="288" w:lineRule="auto"/>
              <w:ind w:left="113" w:right="107"/>
              <w:jc w:val="both"/>
            </w:pPr>
            <w:r>
              <w:rPr>
                <w:spacing w:val="7"/>
              </w:rPr>
              <w:t>集中式饮用水水源（包括已建成的在用、备用、应急水源，在建和规划的</w:t>
            </w:r>
            <w:r>
              <w:t xml:space="preserve"> </w:t>
            </w:r>
            <w:r>
              <w:rPr>
                <w:spacing w:val="7"/>
              </w:rPr>
              <w:t>饮用水水源）准保护区以外的补给径流区；未划定保护区的集中水式饮用</w:t>
            </w:r>
            <w:r>
              <w:rPr>
                <w:spacing w:val="2"/>
              </w:rPr>
              <w:t xml:space="preserve"> </w:t>
            </w:r>
            <w:r>
              <w:rPr>
                <w:spacing w:val="7"/>
              </w:rPr>
              <w:t>水水源，其保护区以外的补给径流区；分散式饮用水水源地；特殊地下水</w:t>
            </w:r>
            <w:r>
              <w:rPr>
                <w:spacing w:val="3"/>
              </w:rPr>
              <w:t xml:space="preserve"> </w:t>
            </w:r>
            <w:r>
              <w:rPr>
                <w:spacing w:val="7"/>
              </w:rPr>
              <w:t>资源（如矿泉水、温泉等）保护区以外的分布区等其他未列入上述敏感分</w:t>
            </w:r>
            <w:r>
              <w:t xml:space="preserve"> </w:t>
            </w:r>
            <w:r>
              <w:rPr>
                <w:spacing w:val="7"/>
              </w:rPr>
              <w:t>级的环境敏感区。</w:t>
            </w:r>
          </w:p>
        </w:tc>
      </w:tr>
      <w:tr w14:paraId="4B30B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096" w:type="dxa"/>
            <w:vAlign w:val="top"/>
          </w:tcPr>
          <w:p w14:paraId="62C1D7F7">
            <w:pPr>
              <w:pStyle w:val="6"/>
              <w:spacing w:before="63" w:line="228" w:lineRule="auto"/>
              <w:ind w:left="741"/>
            </w:pPr>
            <w:r>
              <w:rPr>
                <w:spacing w:val="5"/>
              </w:rPr>
              <w:t>不敏感</w:t>
            </w:r>
          </w:p>
        </w:tc>
        <w:tc>
          <w:tcPr>
            <w:tcW w:w="6854" w:type="dxa"/>
            <w:vAlign w:val="top"/>
          </w:tcPr>
          <w:p w14:paraId="6BBFA75C">
            <w:pPr>
              <w:pStyle w:val="6"/>
              <w:spacing w:before="63" w:line="229" w:lineRule="auto"/>
              <w:ind w:left="2172"/>
            </w:pPr>
            <w:r>
              <w:rPr>
                <w:spacing w:val="8"/>
              </w:rPr>
              <w:t>上述地区之外的其他地区。</w:t>
            </w:r>
          </w:p>
        </w:tc>
      </w:tr>
    </w:tbl>
    <w:p w14:paraId="744C106C">
      <w:pPr>
        <w:spacing w:before="59" w:line="305" w:lineRule="auto"/>
        <w:ind w:left="136" w:right="166" w:hanging="15"/>
        <w:rPr>
          <w:rFonts w:ascii="宋体" w:hAnsi="宋体" w:eastAsia="宋体" w:cs="宋体"/>
          <w:sz w:val="20"/>
          <w:szCs w:val="20"/>
        </w:rPr>
      </w:pPr>
      <w:r>
        <w:rPr>
          <w:rFonts w:ascii="宋体" w:hAnsi="宋体" w:eastAsia="宋体" w:cs="宋体"/>
          <w:spacing w:val="9"/>
          <w:sz w:val="20"/>
          <w:szCs w:val="20"/>
        </w:rPr>
        <w:t>注：</w:t>
      </w:r>
      <w:r>
        <w:rPr>
          <w:rFonts w:ascii="Times New Roman" w:hAnsi="Times New Roman" w:eastAsia="Times New Roman" w:cs="Times New Roman"/>
          <w:spacing w:val="9"/>
          <w:sz w:val="20"/>
          <w:szCs w:val="20"/>
        </w:rPr>
        <w:t>a“</w:t>
      </w:r>
      <w:r>
        <w:rPr>
          <w:rFonts w:ascii="宋体" w:hAnsi="宋体" w:eastAsia="宋体" w:cs="宋体"/>
          <w:spacing w:val="9"/>
          <w:sz w:val="20"/>
          <w:szCs w:val="20"/>
        </w:rPr>
        <w:t>环境敏感区</w:t>
      </w:r>
      <w:r>
        <w:rPr>
          <w:rFonts w:ascii="Times New Roman" w:hAnsi="Times New Roman" w:eastAsia="Times New Roman" w:cs="Times New Roman"/>
          <w:spacing w:val="9"/>
          <w:sz w:val="20"/>
          <w:szCs w:val="20"/>
        </w:rPr>
        <w:t>”</w:t>
      </w:r>
      <w:r>
        <w:rPr>
          <w:rFonts w:ascii="宋体" w:hAnsi="宋体" w:eastAsia="宋体" w:cs="宋体"/>
          <w:spacing w:val="9"/>
          <w:sz w:val="20"/>
          <w:szCs w:val="20"/>
        </w:rPr>
        <w:t>是指《建设项目环境影响分类管理名录》中所界定的涉及地下水的环境敏感</w:t>
      </w:r>
      <w:r>
        <w:rPr>
          <w:rFonts w:ascii="宋体" w:hAnsi="宋体" w:eastAsia="宋体" w:cs="宋体"/>
          <w:spacing w:val="13"/>
          <w:sz w:val="20"/>
          <w:szCs w:val="20"/>
        </w:rPr>
        <w:t xml:space="preserve"> </w:t>
      </w:r>
      <w:r>
        <w:rPr>
          <w:rFonts w:ascii="宋体" w:hAnsi="宋体" w:eastAsia="宋体" w:cs="宋体"/>
          <w:spacing w:val="-8"/>
          <w:sz w:val="20"/>
          <w:szCs w:val="20"/>
        </w:rPr>
        <w:t>区。</w:t>
      </w:r>
    </w:p>
    <w:p w14:paraId="1E5F7DCF">
      <w:pPr>
        <w:spacing w:before="71" w:line="227" w:lineRule="auto"/>
        <w:ind w:left="303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 xml:space="preserve">2.4-5  </w:t>
      </w:r>
      <w:r>
        <w:rPr>
          <w:rFonts w:ascii="宋体" w:hAnsi="宋体" w:eastAsia="宋体" w:cs="宋体"/>
          <w:b/>
          <w:bCs/>
          <w:spacing w:val="6"/>
          <w:sz w:val="20"/>
          <w:szCs w:val="20"/>
        </w:rPr>
        <w:t>地下水评价工作等级分级表</w:t>
      </w:r>
    </w:p>
    <w:p w14:paraId="1B79652A">
      <w:pPr>
        <w:spacing w:line="105"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85"/>
        <w:gridCol w:w="1983"/>
        <w:gridCol w:w="2339"/>
        <w:gridCol w:w="2343"/>
      </w:tblGrid>
      <w:tr w14:paraId="16407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2285" w:type="dxa"/>
            <w:tcBorders>
              <w:tl2br w:val="single" w:color="000000" w:sz="4" w:space="0"/>
            </w:tcBorders>
            <w:vAlign w:val="top"/>
          </w:tcPr>
          <w:p w14:paraId="4D97FE90">
            <w:pPr>
              <w:pStyle w:val="6"/>
              <w:spacing w:before="71" w:line="228" w:lineRule="auto"/>
              <w:ind w:left="732"/>
            </w:pPr>
            <w:r>
              <w:rPr>
                <w:b/>
                <w:bCs/>
                <w:spacing w:val="5"/>
              </w:rPr>
              <w:t>项目类别</w:t>
            </w:r>
          </w:p>
          <w:p w14:paraId="5CC56864">
            <w:pPr>
              <w:pStyle w:val="6"/>
              <w:spacing w:before="79" w:line="228" w:lineRule="auto"/>
              <w:ind w:left="519"/>
            </w:pPr>
            <w:r>
              <w:rPr>
                <w:b/>
                <w:bCs/>
                <w:spacing w:val="6"/>
              </w:rPr>
              <w:t>环境敏感程度</w:t>
            </w:r>
          </w:p>
        </w:tc>
        <w:tc>
          <w:tcPr>
            <w:tcW w:w="1983" w:type="dxa"/>
            <w:vAlign w:val="top"/>
          </w:tcPr>
          <w:p w14:paraId="7092B179">
            <w:pPr>
              <w:pStyle w:val="6"/>
              <w:spacing w:before="235" w:line="228" w:lineRule="auto"/>
              <w:ind w:left="645"/>
            </w:pPr>
            <w:r>
              <w:rPr>
                <w:b/>
                <w:bCs/>
                <w:spacing w:val="-12"/>
              </w:rPr>
              <w:t>Ⅰ类项目</w:t>
            </w:r>
          </w:p>
        </w:tc>
        <w:tc>
          <w:tcPr>
            <w:tcW w:w="2339" w:type="dxa"/>
            <w:vAlign w:val="top"/>
          </w:tcPr>
          <w:p w14:paraId="092716BC">
            <w:pPr>
              <w:pStyle w:val="6"/>
              <w:spacing w:before="235" w:line="228" w:lineRule="auto"/>
              <w:ind w:left="792"/>
            </w:pPr>
            <w:r>
              <w:rPr>
                <w:b/>
                <w:bCs/>
                <w:spacing w:val="-4"/>
              </w:rPr>
              <w:t>Ⅱ类项目</w:t>
            </w:r>
          </w:p>
        </w:tc>
        <w:tc>
          <w:tcPr>
            <w:tcW w:w="2343" w:type="dxa"/>
            <w:vAlign w:val="top"/>
          </w:tcPr>
          <w:p w14:paraId="5286B17E">
            <w:pPr>
              <w:pStyle w:val="6"/>
              <w:spacing w:before="235" w:line="228" w:lineRule="auto"/>
              <w:ind w:left="756"/>
            </w:pPr>
            <w:r>
              <w:rPr>
                <w:b/>
                <w:bCs/>
                <w:spacing w:val="6"/>
              </w:rPr>
              <w:t>Ⅲ类项目</w:t>
            </w:r>
          </w:p>
        </w:tc>
      </w:tr>
      <w:tr w14:paraId="27511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285" w:type="dxa"/>
            <w:vAlign w:val="top"/>
          </w:tcPr>
          <w:p w14:paraId="620161C8">
            <w:pPr>
              <w:pStyle w:val="6"/>
              <w:spacing w:before="60" w:line="228" w:lineRule="auto"/>
              <w:ind w:left="940"/>
            </w:pPr>
            <w:r>
              <w:rPr>
                <w:spacing w:val="4"/>
              </w:rPr>
              <w:t>敏感</w:t>
            </w:r>
          </w:p>
        </w:tc>
        <w:tc>
          <w:tcPr>
            <w:tcW w:w="1983" w:type="dxa"/>
            <w:vAlign w:val="top"/>
          </w:tcPr>
          <w:p w14:paraId="0EF340E9">
            <w:pPr>
              <w:pStyle w:val="6"/>
              <w:spacing w:before="138" w:line="156" w:lineRule="exact"/>
              <w:ind w:left="895"/>
            </w:pPr>
            <w:r>
              <w:rPr>
                <w:position w:val="-4"/>
              </w:rPr>
              <w:t>一</w:t>
            </w:r>
          </w:p>
        </w:tc>
        <w:tc>
          <w:tcPr>
            <w:tcW w:w="2339" w:type="dxa"/>
            <w:vAlign w:val="top"/>
          </w:tcPr>
          <w:p w14:paraId="325EC561">
            <w:pPr>
              <w:pStyle w:val="6"/>
              <w:spacing w:before="138" w:line="156" w:lineRule="exact"/>
              <w:ind w:left="1074"/>
            </w:pPr>
            <w:r>
              <w:rPr>
                <w:position w:val="-4"/>
              </w:rPr>
              <w:t>一</w:t>
            </w:r>
          </w:p>
        </w:tc>
        <w:tc>
          <w:tcPr>
            <w:tcW w:w="2343" w:type="dxa"/>
            <w:vAlign w:val="top"/>
          </w:tcPr>
          <w:p w14:paraId="5A0E608F">
            <w:pPr>
              <w:pStyle w:val="6"/>
              <w:spacing w:before="99" w:line="183" w:lineRule="auto"/>
              <w:ind w:left="1075"/>
            </w:pPr>
            <w:r>
              <w:t>二</w:t>
            </w:r>
          </w:p>
        </w:tc>
      </w:tr>
      <w:tr w14:paraId="07893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285" w:type="dxa"/>
            <w:vAlign w:val="top"/>
          </w:tcPr>
          <w:p w14:paraId="40CB3AAC">
            <w:pPr>
              <w:pStyle w:val="6"/>
              <w:spacing w:before="61" w:line="228" w:lineRule="auto"/>
              <w:ind w:left="834"/>
            </w:pPr>
            <w:r>
              <w:rPr>
                <w:spacing w:val="6"/>
              </w:rPr>
              <w:t>较敏感</w:t>
            </w:r>
          </w:p>
        </w:tc>
        <w:tc>
          <w:tcPr>
            <w:tcW w:w="1983" w:type="dxa"/>
            <w:vAlign w:val="top"/>
          </w:tcPr>
          <w:p w14:paraId="2CE0F40F">
            <w:pPr>
              <w:pStyle w:val="6"/>
              <w:spacing w:before="139" w:line="156" w:lineRule="exact"/>
              <w:ind w:left="895"/>
            </w:pPr>
            <w:r>
              <w:rPr>
                <w:position w:val="-4"/>
              </w:rPr>
              <w:t>一</w:t>
            </w:r>
          </w:p>
        </w:tc>
        <w:tc>
          <w:tcPr>
            <w:tcW w:w="2339" w:type="dxa"/>
            <w:vAlign w:val="top"/>
          </w:tcPr>
          <w:p w14:paraId="2445BBBA">
            <w:pPr>
              <w:pStyle w:val="6"/>
              <w:spacing w:before="100" w:line="183" w:lineRule="auto"/>
              <w:ind w:left="1074"/>
            </w:pPr>
            <w:r>
              <w:t>二</w:t>
            </w:r>
          </w:p>
        </w:tc>
        <w:tc>
          <w:tcPr>
            <w:tcW w:w="2343" w:type="dxa"/>
            <w:vAlign w:val="top"/>
          </w:tcPr>
          <w:p w14:paraId="4F874D0B">
            <w:pPr>
              <w:pStyle w:val="6"/>
              <w:spacing w:before="61" w:line="239" w:lineRule="auto"/>
              <w:ind w:left="1072"/>
            </w:pPr>
            <w:r>
              <w:t>三</w:t>
            </w:r>
          </w:p>
        </w:tc>
      </w:tr>
      <w:tr w14:paraId="5F66A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285" w:type="dxa"/>
            <w:vAlign w:val="top"/>
          </w:tcPr>
          <w:p w14:paraId="02303B68">
            <w:pPr>
              <w:pStyle w:val="6"/>
              <w:spacing w:before="62" w:line="228" w:lineRule="auto"/>
              <w:ind w:left="837"/>
            </w:pPr>
            <w:r>
              <w:rPr>
                <w:spacing w:val="5"/>
              </w:rPr>
              <w:t>不敏感</w:t>
            </w:r>
          </w:p>
        </w:tc>
        <w:tc>
          <w:tcPr>
            <w:tcW w:w="1983" w:type="dxa"/>
            <w:vAlign w:val="top"/>
          </w:tcPr>
          <w:p w14:paraId="054B30EF">
            <w:pPr>
              <w:pStyle w:val="6"/>
              <w:spacing w:before="101" w:line="183" w:lineRule="auto"/>
              <w:ind w:left="895"/>
            </w:pPr>
            <w:r>
              <w:t>二</w:t>
            </w:r>
          </w:p>
        </w:tc>
        <w:tc>
          <w:tcPr>
            <w:tcW w:w="2339" w:type="dxa"/>
            <w:vAlign w:val="top"/>
          </w:tcPr>
          <w:p w14:paraId="561E73B7">
            <w:pPr>
              <w:pStyle w:val="6"/>
              <w:spacing w:before="62" w:line="242" w:lineRule="auto"/>
              <w:ind w:left="1071"/>
            </w:pPr>
            <w:r>
              <w:t>三</w:t>
            </w:r>
          </w:p>
        </w:tc>
        <w:tc>
          <w:tcPr>
            <w:tcW w:w="2343" w:type="dxa"/>
            <w:shd w:val="clear" w:color="auto" w:fill="80C588"/>
            <w:vAlign w:val="top"/>
          </w:tcPr>
          <w:p w14:paraId="3F59E4FC">
            <w:pPr>
              <w:pStyle w:val="6"/>
              <w:spacing w:before="62" w:line="242" w:lineRule="auto"/>
              <w:ind w:left="1072"/>
            </w:pPr>
            <w:r>
              <w:t>三</w:t>
            </w:r>
          </w:p>
        </w:tc>
      </w:tr>
    </w:tbl>
    <w:p w14:paraId="0E81F6A1">
      <w:pPr>
        <w:pStyle w:val="2"/>
      </w:pPr>
    </w:p>
    <w:p w14:paraId="56B8EBA7">
      <w:pPr>
        <w:sectPr>
          <w:footerReference r:id="rId43" w:type="default"/>
          <w:pgSz w:w="11906" w:h="16839"/>
          <w:pgMar w:top="1431" w:right="1475" w:bottom="1485" w:left="1475" w:header="0" w:footer="1249" w:gutter="0"/>
          <w:cols w:space="720" w:num="1"/>
        </w:sectPr>
      </w:pPr>
    </w:p>
    <w:p w14:paraId="6328BE52">
      <w:pPr>
        <w:spacing w:before="111" w:line="362" w:lineRule="auto"/>
        <w:ind w:left="123" w:right="113" w:firstLine="480"/>
        <w:rPr>
          <w:rFonts w:ascii="宋体" w:hAnsi="宋体" w:eastAsia="宋体" w:cs="宋体"/>
          <w:sz w:val="24"/>
          <w:szCs w:val="24"/>
        </w:rPr>
      </w:pPr>
      <w:r>
        <w:rPr>
          <w:rFonts w:ascii="宋体" w:hAnsi="宋体" w:eastAsia="宋体" w:cs="宋体"/>
          <w:spacing w:val="2"/>
          <w:sz w:val="24"/>
          <w:szCs w:val="24"/>
        </w:rPr>
        <w:t>本项目所在地不属敏感区，建设项目属于Ⅲ类建设项目根据判定地下水影响评</w:t>
      </w:r>
      <w:r>
        <w:rPr>
          <w:rFonts w:ascii="宋体" w:hAnsi="宋体" w:eastAsia="宋体" w:cs="宋体"/>
          <w:spacing w:val="9"/>
          <w:sz w:val="24"/>
          <w:szCs w:val="24"/>
        </w:rPr>
        <w:t xml:space="preserve"> </w:t>
      </w:r>
      <w:r>
        <w:rPr>
          <w:rFonts w:ascii="宋体" w:hAnsi="宋体" w:eastAsia="宋体" w:cs="宋体"/>
          <w:spacing w:val="-2"/>
          <w:sz w:val="24"/>
          <w:szCs w:val="24"/>
        </w:rPr>
        <w:t>价等级为三级。</w:t>
      </w:r>
    </w:p>
    <w:p w14:paraId="4577308C">
      <w:pPr>
        <w:spacing w:line="358"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）评价范围</w:t>
      </w:r>
    </w:p>
    <w:p w14:paraId="32C2989A">
      <w:pPr>
        <w:spacing w:before="130" w:line="366" w:lineRule="auto"/>
        <w:ind w:left="124" w:right="113" w:firstLine="478"/>
        <w:rPr>
          <w:rFonts w:ascii="宋体" w:hAnsi="宋体" w:eastAsia="宋体" w:cs="宋体"/>
          <w:sz w:val="24"/>
          <w:szCs w:val="24"/>
        </w:rPr>
      </w:pPr>
      <w:r>
        <w:rPr>
          <w:rFonts w:ascii="宋体" w:hAnsi="宋体" w:eastAsia="宋体" w:cs="宋体"/>
          <w:spacing w:val="2"/>
          <w:sz w:val="24"/>
          <w:szCs w:val="24"/>
        </w:rPr>
        <w:t>根据《环境影响评价技术导则地下水环境》（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610-2016</w:t>
      </w:r>
      <w:r>
        <w:rPr>
          <w:rFonts w:ascii="宋体" w:hAnsi="宋体" w:eastAsia="宋体" w:cs="宋体"/>
          <w:spacing w:val="11"/>
          <w:sz w:val="24"/>
          <w:szCs w:val="24"/>
        </w:rPr>
        <w:t>），</w:t>
      </w:r>
      <w:r>
        <w:rPr>
          <w:rFonts w:ascii="宋体" w:hAnsi="宋体" w:eastAsia="宋体" w:cs="宋体"/>
          <w:spacing w:val="2"/>
          <w:sz w:val="24"/>
          <w:szCs w:val="24"/>
        </w:rPr>
        <w:t>项目地下水</w:t>
      </w:r>
      <w:r>
        <w:rPr>
          <w:rFonts w:ascii="宋体" w:hAnsi="宋体" w:eastAsia="宋体" w:cs="宋体"/>
          <w:spacing w:val="1"/>
          <w:sz w:val="24"/>
          <w:szCs w:val="24"/>
        </w:rPr>
        <w:t xml:space="preserve">环境 </w:t>
      </w:r>
      <w:r>
        <w:rPr>
          <w:rFonts w:ascii="宋体" w:hAnsi="宋体" w:eastAsia="宋体" w:cs="宋体"/>
          <w:spacing w:val="-1"/>
          <w:sz w:val="24"/>
          <w:szCs w:val="24"/>
        </w:rPr>
        <w:t>现状调查评价范围参照表如下：</w:t>
      </w:r>
    </w:p>
    <w:p w14:paraId="635A13DA">
      <w:pPr>
        <w:spacing w:before="77" w:line="227" w:lineRule="auto"/>
        <w:ind w:left="2590"/>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6"/>
          <w:sz w:val="20"/>
          <w:szCs w:val="20"/>
        </w:rPr>
        <w:t xml:space="preserve">2.4-6    </w:t>
      </w:r>
      <w:r>
        <w:rPr>
          <w:rFonts w:ascii="宋体" w:hAnsi="宋体" w:eastAsia="宋体" w:cs="宋体"/>
          <w:b/>
          <w:bCs/>
          <w:spacing w:val="6"/>
          <w:sz w:val="20"/>
          <w:szCs w:val="20"/>
        </w:rPr>
        <w:t>地下水环境现状调查评价范围参照表</w:t>
      </w:r>
    </w:p>
    <w:p w14:paraId="33653E30">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9"/>
        <w:gridCol w:w="3399"/>
        <w:gridCol w:w="3172"/>
      </w:tblGrid>
      <w:tr w14:paraId="065B8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379" w:type="dxa"/>
            <w:vAlign w:val="top"/>
          </w:tcPr>
          <w:p w14:paraId="63C97BEE">
            <w:pPr>
              <w:pStyle w:val="6"/>
              <w:spacing w:before="62" w:line="227" w:lineRule="auto"/>
              <w:ind w:left="775"/>
            </w:pPr>
            <w:r>
              <w:rPr>
                <w:b/>
                <w:bCs/>
                <w:spacing w:val="6"/>
              </w:rPr>
              <w:t>评价等级</w:t>
            </w:r>
          </w:p>
        </w:tc>
        <w:tc>
          <w:tcPr>
            <w:tcW w:w="3399" w:type="dxa"/>
            <w:vAlign w:val="top"/>
          </w:tcPr>
          <w:p w14:paraId="025B5712">
            <w:pPr>
              <w:pStyle w:val="6"/>
              <w:spacing w:before="62" w:line="227" w:lineRule="auto"/>
              <w:ind w:left="686"/>
            </w:pPr>
            <w:r>
              <w:rPr>
                <w:b/>
                <w:bCs/>
                <w:spacing w:val="7"/>
              </w:rPr>
              <w:t>调查评价面积（</w:t>
            </w:r>
            <w:r>
              <w:rPr>
                <w:rFonts w:ascii="Times New Roman" w:hAnsi="Times New Roman" w:eastAsia="Times New Roman" w:cs="Times New Roman"/>
                <w:b/>
                <w:bCs/>
              </w:rPr>
              <w:t>km</w:t>
            </w:r>
            <w:r>
              <w:rPr>
                <w:rFonts w:ascii="Times New Roman" w:hAnsi="Times New Roman" w:eastAsia="Times New Roman" w:cs="Times New Roman"/>
                <w:b/>
                <w:bCs/>
                <w:spacing w:val="7"/>
                <w:position w:val="6"/>
                <w:sz w:val="13"/>
                <w:szCs w:val="13"/>
              </w:rPr>
              <w:t>2</w:t>
            </w:r>
            <w:r>
              <w:rPr>
                <w:b/>
                <w:bCs/>
                <w:spacing w:val="7"/>
              </w:rPr>
              <w:t>）</w:t>
            </w:r>
          </w:p>
        </w:tc>
        <w:tc>
          <w:tcPr>
            <w:tcW w:w="3172" w:type="dxa"/>
            <w:vAlign w:val="top"/>
          </w:tcPr>
          <w:p w14:paraId="4591EC03">
            <w:pPr>
              <w:pStyle w:val="6"/>
              <w:spacing w:before="62" w:line="230" w:lineRule="auto"/>
              <w:ind w:left="1382"/>
            </w:pPr>
            <w:r>
              <w:rPr>
                <w:b/>
                <w:bCs/>
                <w:spacing w:val="2"/>
              </w:rPr>
              <w:t>备注</w:t>
            </w:r>
          </w:p>
        </w:tc>
      </w:tr>
      <w:tr w14:paraId="7BD5E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379" w:type="dxa"/>
            <w:vAlign w:val="top"/>
          </w:tcPr>
          <w:p w14:paraId="51138ADE">
            <w:pPr>
              <w:pStyle w:val="6"/>
              <w:spacing w:before="59" w:line="231" w:lineRule="auto"/>
              <w:ind w:left="988"/>
            </w:pPr>
            <w:r>
              <w:rPr>
                <w:spacing w:val="3"/>
              </w:rPr>
              <w:t>一级</w:t>
            </w:r>
          </w:p>
        </w:tc>
        <w:tc>
          <w:tcPr>
            <w:tcW w:w="3399" w:type="dxa"/>
            <w:vAlign w:val="top"/>
          </w:tcPr>
          <w:p w14:paraId="48030F8D">
            <w:pPr>
              <w:spacing w:before="29" w:line="274" w:lineRule="exact"/>
              <w:ind w:left="153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w:t>
            </w:r>
          </w:p>
        </w:tc>
        <w:tc>
          <w:tcPr>
            <w:tcW w:w="3172" w:type="dxa"/>
            <w:vMerge w:val="restart"/>
            <w:tcBorders>
              <w:bottom w:val="nil"/>
            </w:tcBorders>
            <w:vAlign w:val="top"/>
          </w:tcPr>
          <w:p w14:paraId="085BE274">
            <w:pPr>
              <w:pStyle w:val="6"/>
              <w:spacing w:before="232" w:line="303" w:lineRule="auto"/>
              <w:ind w:left="435" w:right="117" w:hanging="315"/>
            </w:pPr>
            <w:r>
              <w:rPr>
                <w:spacing w:val="9"/>
              </w:rPr>
              <w:t>应包括重要的地下水环境保护目</w:t>
            </w:r>
            <w:r>
              <w:rPr>
                <w:spacing w:val="2"/>
              </w:rPr>
              <w:t xml:space="preserve"> </w:t>
            </w:r>
            <w:r>
              <w:rPr>
                <w:spacing w:val="9"/>
              </w:rPr>
              <w:t>标，必要时适当扩大范围</w:t>
            </w:r>
          </w:p>
        </w:tc>
      </w:tr>
      <w:tr w14:paraId="0303E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379" w:type="dxa"/>
            <w:vAlign w:val="top"/>
          </w:tcPr>
          <w:p w14:paraId="5A6E2BED">
            <w:pPr>
              <w:pStyle w:val="6"/>
              <w:spacing w:before="60" w:line="231" w:lineRule="auto"/>
              <w:ind w:left="988"/>
            </w:pPr>
            <w:r>
              <w:rPr>
                <w:spacing w:val="3"/>
              </w:rPr>
              <w:t>二级</w:t>
            </w:r>
          </w:p>
        </w:tc>
        <w:tc>
          <w:tcPr>
            <w:tcW w:w="3399" w:type="dxa"/>
            <w:vAlign w:val="top"/>
          </w:tcPr>
          <w:p w14:paraId="281D739D">
            <w:pPr>
              <w:spacing w:before="30" w:line="274" w:lineRule="exact"/>
              <w:ind w:left="14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6~20</w:t>
            </w:r>
          </w:p>
        </w:tc>
        <w:tc>
          <w:tcPr>
            <w:tcW w:w="3172" w:type="dxa"/>
            <w:vMerge w:val="continue"/>
            <w:tcBorders>
              <w:top w:val="nil"/>
              <w:bottom w:val="nil"/>
            </w:tcBorders>
            <w:vAlign w:val="top"/>
          </w:tcPr>
          <w:p w14:paraId="00572E03">
            <w:pPr>
              <w:rPr>
                <w:rFonts w:ascii="Arial"/>
                <w:sz w:val="21"/>
              </w:rPr>
            </w:pPr>
          </w:p>
        </w:tc>
      </w:tr>
      <w:tr w14:paraId="630D0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379" w:type="dxa"/>
            <w:vAlign w:val="top"/>
          </w:tcPr>
          <w:p w14:paraId="35CD83A7">
            <w:pPr>
              <w:pStyle w:val="6"/>
              <w:spacing w:before="61" w:line="231" w:lineRule="auto"/>
              <w:ind w:left="985"/>
            </w:pPr>
            <w:r>
              <w:rPr>
                <w:spacing w:val="4"/>
              </w:rPr>
              <w:t>三级</w:t>
            </w:r>
          </w:p>
        </w:tc>
        <w:tc>
          <w:tcPr>
            <w:tcW w:w="3399" w:type="dxa"/>
            <w:vAlign w:val="top"/>
          </w:tcPr>
          <w:p w14:paraId="03804E76">
            <w:pPr>
              <w:spacing w:before="31" w:line="274" w:lineRule="exact"/>
              <w:ind w:left="15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w:t>
            </w:r>
          </w:p>
        </w:tc>
        <w:tc>
          <w:tcPr>
            <w:tcW w:w="3172" w:type="dxa"/>
            <w:vMerge w:val="continue"/>
            <w:tcBorders>
              <w:top w:val="nil"/>
            </w:tcBorders>
            <w:vAlign w:val="top"/>
          </w:tcPr>
          <w:p w14:paraId="3A387C50">
            <w:pPr>
              <w:rPr>
                <w:rFonts w:ascii="Arial"/>
                <w:sz w:val="21"/>
              </w:rPr>
            </w:pPr>
          </w:p>
        </w:tc>
      </w:tr>
    </w:tbl>
    <w:p w14:paraId="45C50F16">
      <w:pPr>
        <w:pStyle w:val="2"/>
        <w:spacing w:line="334" w:lineRule="auto"/>
      </w:pPr>
    </w:p>
    <w:p w14:paraId="0EB6D00E">
      <w:pPr>
        <w:spacing w:before="78" w:line="373" w:lineRule="auto"/>
        <w:ind w:left="128" w:right="113" w:firstLine="475"/>
        <w:rPr>
          <w:rFonts w:ascii="宋体" w:hAnsi="宋体" w:eastAsia="宋体" w:cs="宋体"/>
          <w:sz w:val="24"/>
          <w:szCs w:val="24"/>
        </w:rPr>
      </w:pPr>
      <w:r>
        <w:rPr>
          <w:rFonts w:ascii="宋体" w:hAnsi="宋体" w:eastAsia="宋体" w:cs="宋体"/>
          <w:spacing w:val="1"/>
          <w:sz w:val="24"/>
          <w:szCs w:val="24"/>
        </w:rPr>
        <w:t>本项目地下水评价等级为三级，参照表</w:t>
      </w:r>
      <w:r>
        <w:rPr>
          <w:rFonts w:ascii="Times New Roman" w:hAnsi="Times New Roman" w:eastAsia="Times New Roman" w:cs="Times New Roman"/>
          <w:spacing w:val="1"/>
          <w:sz w:val="24"/>
          <w:szCs w:val="24"/>
        </w:rPr>
        <w:t>2.4-6</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，确定本项目地下水</w:t>
      </w:r>
      <w:r>
        <w:rPr>
          <w:rFonts w:ascii="宋体" w:hAnsi="宋体" w:eastAsia="宋体" w:cs="宋体"/>
          <w:sz w:val="24"/>
          <w:szCs w:val="24"/>
        </w:rPr>
        <w:t xml:space="preserve">环境影响评价 </w:t>
      </w:r>
      <w:r>
        <w:rPr>
          <w:rFonts w:ascii="宋体" w:hAnsi="宋体" w:eastAsia="宋体" w:cs="宋体"/>
          <w:spacing w:val="-2"/>
          <w:sz w:val="24"/>
          <w:szCs w:val="24"/>
        </w:rPr>
        <w:t>范围</w:t>
      </w:r>
      <w:r>
        <w:rPr>
          <w:rFonts w:ascii="Times New Roman" w:hAnsi="Times New Roman" w:eastAsia="Times New Roman" w:cs="Times New Roman"/>
          <w:spacing w:val="-2"/>
          <w:sz w:val="24"/>
          <w:szCs w:val="24"/>
        </w:rPr>
        <w:t>≤6km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2"/>
          <w:position w:val="7"/>
          <w:sz w:val="15"/>
          <w:szCs w:val="15"/>
        </w:rPr>
        <w:t xml:space="preserve"> </w:t>
      </w:r>
      <w:r>
        <w:rPr>
          <w:rFonts w:ascii="宋体" w:hAnsi="宋体" w:eastAsia="宋体" w:cs="宋体"/>
          <w:spacing w:val="-2"/>
          <w:sz w:val="24"/>
          <w:szCs w:val="24"/>
        </w:rPr>
        <w:t>，本项目评价范围为项目周边</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1km</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范围内的潜水层和含水层。</w:t>
      </w:r>
    </w:p>
    <w:p w14:paraId="7B8B049A">
      <w:pPr>
        <w:spacing w:before="44"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2.4.5</w:t>
      </w:r>
      <w:r>
        <w:rPr>
          <w:rFonts w:ascii="宋体" w:hAnsi="宋体" w:eastAsia="宋体" w:cs="宋体"/>
          <w:b/>
          <w:bCs/>
          <w:spacing w:val="-2"/>
          <w:sz w:val="24"/>
          <w:szCs w:val="24"/>
        </w:rPr>
        <w:t>生态环境影响评价等级与范围</w:t>
      </w:r>
    </w:p>
    <w:p w14:paraId="43D76790">
      <w:pPr>
        <w:spacing w:before="170" w:line="358"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）评价等级</w:t>
      </w:r>
    </w:p>
    <w:p w14:paraId="4CE9823F">
      <w:pPr>
        <w:spacing w:before="127" w:line="367" w:lineRule="auto"/>
        <w:ind w:left="118" w:right="110" w:firstLine="484"/>
        <w:rPr>
          <w:rFonts w:ascii="宋体" w:hAnsi="宋体" w:eastAsia="宋体" w:cs="宋体"/>
          <w:sz w:val="24"/>
          <w:szCs w:val="24"/>
        </w:rPr>
      </w:pPr>
      <w:r>
        <w:rPr>
          <w:rFonts w:ascii="宋体" w:hAnsi="宋体" w:eastAsia="宋体" w:cs="宋体"/>
          <w:spacing w:val="-1"/>
          <w:sz w:val="24"/>
          <w:szCs w:val="24"/>
        </w:rPr>
        <w:t>根据《环境影响评价技术导则生态影响》（</w:t>
      </w:r>
      <w:r>
        <w:rPr>
          <w:rFonts w:ascii="Times New Roman" w:hAnsi="Times New Roman" w:eastAsia="Times New Roman" w:cs="Times New Roman"/>
          <w:spacing w:val="-1"/>
          <w:sz w:val="24"/>
          <w:szCs w:val="24"/>
        </w:rPr>
        <w:t>HJ19-2011</w:t>
      </w:r>
      <w:r>
        <w:rPr>
          <w:rFonts w:ascii="宋体" w:hAnsi="宋体" w:eastAsia="宋体" w:cs="宋体"/>
          <w:spacing w:val="5"/>
          <w:sz w:val="24"/>
          <w:szCs w:val="24"/>
        </w:rPr>
        <w:t>），</w:t>
      </w:r>
      <w:r>
        <w:rPr>
          <w:rFonts w:ascii="宋体" w:hAnsi="宋体" w:eastAsia="宋体" w:cs="宋体"/>
          <w:spacing w:val="-1"/>
          <w:sz w:val="24"/>
          <w:szCs w:val="24"/>
        </w:rPr>
        <w:t>建设项目所在地不属</w:t>
      </w:r>
      <w:r>
        <w:rPr>
          <w:rFonts w:ascii="宋体" w:hAnsi="宋体" w:eastAsia="宋体" w:cs="宋体"/>
          <w:spacing w:val="1"/>
          <w:sz w:val="24"/>
          <w:szCs w:val="24"/>
        </w:rPr>
        <w:t xml:space="preserve"> </w:t>
      </w:r>
      <w:r>
        <w:rPr>
          <w:rFonts w:ascii="宋体" w:hAnsi="宋体" w:eastAsia="宋体" w:cs="宋体"/>
          <w:spacing w:val="-4"/>
          <w:sz w:val="24"/>
          <w:szCs w:val="24"/>
        </w:rPr>
        <w:t>于特殊生态敏感区或重要生态敏感区，项目占地面积为</w:t>
      </w:r>
      <w:r>
        <w:rPr>
          <w:rFonts w:ascii="宋体" w:hAnsi="宋体" w:eastAsia="宋体" w:cs="宋体"/>
          <w:spacing w:val="-17"/>
          <w:sz w:val="24"/>
          <w:szCs w:val="24"/>
        </w:rPr>
        <w:t xml:space="preserve"> </w:t>
      </w:r>
      <w:r>
        <w:rPr>
          <w:rFonts w:ascii="Times New Roman" w:hAnsi="Times New Roman" w:eastAsia="Times New Roman" w:cs="Times New Roman"/>
          <w:spacing w:val="-4"/>
          <w:sz w:val="24"/>
          <w:szCs w:val="24"/>
        </w:rPr>
        <w:t>17194m</w:t>
      </w:r>
      <w:r>
        <w:rPr>
          <w:rFonts w:ascii="Times New Roman" w:hAnsi="Times New Roman" w:eastAsia="Times New Roman" w:cs="Times New Roman"/>
          <w:spacing w:val="-4"/>
          <w:position w:val="7"/>
          <w:sz w:val="15"/>
          <w:szCs w:val="15"/>
        </w:rPr>
        <w:t>2</w:t>
      </w:r>
      <w:r>
        <w:rPr>
          <w:rFonts w:ascii="宋体" w:hAnsi="宋体" w:eastAsia="宋体" w:cs="宋体"/>
          <w:spacing w:val="-4"/>
          <w:sz w:val="24"/>
          <w:szCs w:val="24"/>
        </w:rPr>
        <w:t>，项目占地面积为≤</w:t>
      </w:r>
      <w:r>
        <w:rPr>
          <w:rFonts w:ascii="宋体" w:hAnsi="宋体" w:eastAsia="宋体" w:cs="宋体"/>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z w:val="24"/>
          <w:szCs w:val="24"/>
        </w:rPr>
        <w:t>km</w:t>
      </w:r>
      <w:r>
        <w:rPr>
          <w:rFonts w:ascii="Times New Roman" w:hAnsi="Times New Roman" w:eastAsia="Times New Roman" w:cs="Times New Roman"/>
          <w:spacing w:val="1"/>
          <w:position w:val="7"/>
          <w:sz w:val="15"/>
          <w:szCs w:val="15"/>
        </w:rPr>
        <w:t xml:space="preserve">2 </w:t>
      </w:r>
      <w:r>
        <w:rPr>
          <w:rFonts w:ascii="宋体" w:hAnsi="宋体" w:eastAsia="宋体" w:cs="宋体"/>
          <w:spacing w:val="1"/>
          <w:sz w:val="24"/>
          <w:szCs w:val="24"/>
        </w:rPr>
        <w:t>。根据导则要求，报告书拟进行生态影响分析</w:t>
      </w:r>
      <w:r>
        <w:rPr>
          <w:rFonts w:ascii="宋体" w:hAnsi="宋体" w:eastAsia="宋体" w:cs="宋体"/>
          <w:sz w:val="24"/>
          <w:szCs w:val="24"/>
        </w:rPr>
        <w:t xml:space="preserve">，评价工作等级定为三级，仅作 </w:t>
      </w:r>
      <w:r>
        <w:rPr>
          <w:rFonts w:ascii="宋体" w:hAnsi="宋体" w:eastAsia="宋体" w:cs="宋体"/>
          <w:spacing w:val="-1"/>
          <w:sz w:val="24"/>
          <w:szCs w:val="24"/>
        </w:rPr>
        <w:t>简要的调查和评价。</w:t>
      </w:r>
    </w:p>
    <w:p w14:paraId="519DC25C">
      <w:pPr>
        <w:spacing w:before="50" w:line="358"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）评价范围</w:t>
      </w:r>
    </w:p>
    <w:p w14:paraId="43F88AAE">
      <w:pPr>
        <w:spacing w:before="168" w:line="219" w:lineRule="auto"/>
        <w:ind w:left="603"/>
        <w:rPr>
          <w:rFonts w:ascii="宋体" w:hAnsi="宋体" w:eastAsia="宋体" w:cs="宋体"/>
          <w:sz w:val="24"/>
          <w:szCs w:val="24"/>
        </w:rPr>
      </w:pPr>
      <w:r>
        <w:rPr>
          <w:rFonts w:ascii="宋体" w:hAnsi="宋体" w:eastAsia="宋体" w:cs="宋体"/>
          <w:spacing w:val="-1"/>
          <w:sz w:val="24"/>
          <w:szCs w:val="24"/>
        </w:rPr>
        <w:t>本项目生态环境影响评价范围为项目用地范围内。</w:t>
      </w:r>
    </w:p>
    <w:p w14:paraId="2ED11572">
      <w:pPr>
        <w:spacing w:before="203" w:line="220"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2.4.6</w:t>
      </w:r>
      <w:r>
        <w:rPr>
          <w:rFonts w:ascii="宋体" w:hAnsi="宋体" w:eastAsia="宋体" w:cs="宋体"/>
          <w:b/>
          <w:bCs/>
          <w:spacing w:val="-2"/>
          <w:sz w:val="24"/>
          <w:szCs w:val="24"/>
        </w:rPr>
        <w:t>土壤环境评级等级与范围</w:t>
      </w:r>
    </w:p>
    <w:p w14:paraId="16C67564">
      <w:pPr>
        <w:spacing w:before="169" w:line="360" w:lineRule="exact"/>
        <w:ind w:left="621"/>
        <w:rPr>
          <w:rFonts w:ascii="宋体" w:hAnsi="宋体" w:eastAsia="宋体" w:cs="宋体"/>
          <w:sz w:val="24"/>
          <w:szCs w:val="24"/>
        </w:rPr>
      </w:pPr>
      <w:r>
        <w:rPr>
          <w:rFonts w:ascii="Times New Roman" w:hAnsi="Times New Roman" w:eastAsia="Times New Roman" w:cs="Times New Roman"/>
          <w:spacing w:val="-10"/>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10"/>
          <w:position w:val="2"/>
          <w:sz w:val="24"/>
          <w:szCs w:val="24"/>
        </w:rPr>
        <w:t>、评级等级</w:t>
      </w:r>
    </w:p>
    <w:p w14:paraId="6EB06B21">
      <w:pPr>
        <w:spacing w:before="127" w:line="372" w:lineRule="auto"/>
        <w:ind w:left="122" w:right="110" w:firstLine="424"/>
        <w:rPr>
          <w:rFonts w:ascii="宋体" w:hAnsi="宋体" w:eastAsia="宋体" w:cs="宋体"/>
          <w:sz w:val="24"/>
          <w:szCs w:val="24"/>
        </w:rPr>
      </w:pPr>
      <w:r>
        <w:rPr>
          <w:rFonts w:ascii="宋体" w:hAnsi="宋体" w:eastAsia="宋体" w:cs="宋体"/>
          <w:spacing w:val="-3"/>
          <w:sz w:val="24"/>
          <w:szCs w:val="24"/>
        </w:rPr>
        <w:t>根据《环境影响评价技术导则土壤环境（试行）》（</w:t>
      </w:r>
      <w:r>
        <w:rPr>
          <w:rFonts w:ascii="Times New Roman" w:hAnsi="Times New Roman" w:eastAsia="Times New Roman" w:cs="Times New Roman"/>
          <w:spacing w:val="-3"/>
          <w:sz w:val="24"/>
          <w:szCs w:val="24"/>
        </w:rPr>
        <w:t>HJ964-2018</w:t>
      </w:r>
      <w:r>
        <w:rPr>
          <w:rFonts w:ascii="宋体" w:hAnsi="宋体" w:eastAsia="宋体" w:cs="宋体"/>
          <w:spacing w:val="-3"/>
          <w:sz w:val="24"/>
          <w:szCs w:val="24"/>
        </w:rPr>
        <w:t>）附录</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，本项</w:t>
      </w:r>
      <w:r>
        <w:rPr>
          <w:rFonts w:ascii="宋体" w:hAnsi="宋体" w:eastAsia="宋体" w:cs="宋体"/>
          <w:sz w:val="24"/>
          <w:szCs w:val="24"/>
        </w:rPr>
        <w:t xml:space="preserve"> 目属于</w:t>
      </w:r>
      <w:r>
        <w:rPr>
          <w:rFonts w:ascii="Times New Roman" w:hAnsi="Times New Roman" w:eastAsia="Times New Roman" w:cs="Times New Roman"/>
          <w:sz w:val="24"/>
          <w:szCs w:val="24"/>
        </w:rPr>
        <w:t>“</w:t>
      </w:r>
      <w:r>
        <w:rPr>
          <w:rFonts w:ascii="宋体" w:hAnsi="宋体" w:eastAsia="宋体" w:cs="宋体"/>
          <w:sz w:val="24"/>
          <w:szCs w:val="24"/>
        </w:rPr>
        <w:t>农林牧渔业</w:t>
      </w:r>
      <w:r>
        <w:rPr>
          <w:rFonts w:ascii="Times New Roman" w:hAnsi="Times New Roman" w:eastAsia="Times New Roman" w:cs="Times New Roman"/>
          <w:sz w:val="24"/>
          <w:szCs w:val="24"/>
        </w:rPr>
        <w:t>—</w:t>
      </w:r>
      <w:r>
        <w:rPr>
          <w:rFonts w:ascii="宋体" w:hAnsi="宋体" w:eastAsia="宋体" w:cs="宋体"/>
          <w:sz w:val="24"/>
          <w:szCs w:val="24"/>
        </w:rPr>
        <w:t xml:space="preserve">年出栏生猪 </w:t>
      </w:r>
      <w:r>
        <w:rPr>
          <w:rFonts w:ascii="Times New Roman" w:hAnsi="Times New Roman" w:eastAsia="Times New Roman" w:cs="Times New Roman"/>
          <w:sz w:val="24"/>
          <w:szCs w:val="24"/>
        </w:rPr>
        <w:t>5000</w:t>
      </w:r>
      <w:r>
        <w:rPr>
          <w:rFonts w:ascii="Times New Roman" w:hAnsi="Times New Roman" w:eastAsia="Times New Roman" w:cs="Times New Roman"/>
          <w:spacing w:val="31"/>
          <w:w w:val="101"/>
          <w:sz w:val="24"/>
          <w:szCs w:val="24"/>
        </w:rPr>
        <w:t xml:space="preserve"> </w:t>
      </w:r>
      <w:r>
        <w:rPr>
          <w:rFonts w:ascii="宋体" w:hAnsi="宋体" w:eastAsia="宋体" w:cs="宋体"/>
          <w:sz w:val="24"/>
          <w:szCs w:val="24"/>
        </w:rPr>
        <w:t xml:space="preserve">头（其他畜禽种类折合猪的养殖规模）及以 </w:t>
      </w:r>
      <w:r>
        <w:rPr>
          <w:rFonts w:ascii="宋体" w:hAnsi="宋体" w:eastAsia="宋体" w:cs="宋体"/>
          <w:spacing w:val="-1"/>
          <w:sz w:val="24"/>
          <w:szCs w:val="24"/>
        </w:rPr>
        <w:t>上的畜禽养殖场或养殖小区</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，因此项目土壤环境影</w:t>
      </w:r>
      <w:r>
        <w:rPr>
          <w:rFonts w:ascii="宋体" w:hAnsi="宋体" w:eastAsia="宋体" w:cs="宋体"/>
          <w:spacing w:val="-2"/>
          <w:sz w:val="24"/>
          <w:szCs w:val="24"/>
        </w:rPr>
        <w:t>响评价项目类别为Ⅲ类。项目占</w:t>
      </w:r>
      <w:r>
        <w:rPr>
          <w:rFonts w:ascii="宋体" w:hAnsi="宋体" w:eastAsia="宋体" w:cs="宋体"/>
          <w:sz w:val="24"/>
          <w:szCs w:val="24"/>
        </w:rPr>
        <w:t xml:space="preserve"> </w:t>
      </w:r>
      <w:r>
        <w:rPr>
          <w:rFonts w:ascii="宋体" w:hAnsi="宋体" w:eastAsia="宋体" w:cs="宋体"/>
          <w:spacing w:val="2"/>
          <w:sz w:val="24"/>
          <w:szCs w:val="24"/>
        </w:rPr>
        <w:t>地面积为</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17194m</w:t>
      </w:r>
      <w:r>
        <w:rPr>
          <w:rFonts w:ascii="Times New Roman" w:hAnsi="Times New Roman" w:eastAsia="Times New Roman" w:cs="Times New Roman"/>
          <w:spacing w:val="2"/>
          <w:position w:val="7"/>
          <w:sz w:val="15"/>
          <w:szCs w:val="15"/>
        </w:rPr>
        <w:t>2</w:t>
      </w:r>
      <w:r>
        <w:rPr>
          <w:rFonts w:ascii="宋体" w:hAnsi="宋体" w:eastAsia="宋体" w:cs="宋体"/>
          <w:spacing w:val="-10"/>
          <w:sz w:val="24"/>
          <w:szCs w:val="24"/>
        </w:rPr>
        <w:t>（＜</w:t>
      </w:r>
      <w:r>
        <w:rPr>
          <w:rFonts w:ascii="Times New Roman" w:hAnsi="Times New Roman" w:eastAsia="Times New Roman" w:cs="Times New Roman"/>
          <w:spacing w:val="2"/>
          <w:sz w:val="24"/>
          <w:szCs w:val="24"/>
        </w:rPr>
        <w:t>5</w:t>
      </w:r>
      <w:r>
        <w:rPr>
          <w:rFonts w:ascii="Times New Roman" w:hAnsi="Times New Roman" w:eastAsia="Times New Roman" w:cs="Times New Roman"/>
          <w:sz w:val="24"/>
          <w:szCs w:val="24"/>
        </w:rPr>
        <w:t>hm</w:t>
      </w:r>
      <w:r>
        <w:rPr>
          <w:rFonts w:ascii="Times New Roman" w:hAnsi="Times New Roman" w:eastAsia="Times New Roman" w:cs="Times New Roman"/>
          <w:spacing w:val="2"/>
          <w:position w:val="7"/>
          <w:sz w:val="15"/>
          <w:szCs w:val="15"/>
        </w:rPr>
        <w:t xml:space="preserve">2 </w:t>
      </w:r>
      <w:r>
        <w:rPr>
          <w:rFonts w:ascii="宋体" w:hAnsi="宋体" w:eastAsia="宋体" w:cs="宋体"/>
          <w:spacing w:val="-10"/>
          <w:sz w:val="24"/>
          <w:szCs w:val="24"/>
        </w:rPr>
        <w:t>），</w:t>
      </w:r>
      <w:r>
        <w:rPr>
          <w:rFonts w:ascii="宋体" w:hAnsi="宋体" w:eastAsia="宋体" w:cs="宋体"/>
          <w:spacing w:val="2"/>
          <w:sz w:val="24"/>
          <w:szCs w:val="24"/>
        </w:rPr>
        <w:t>属于小型项目。项目周边土地为不敏感情</w:t>
      </w:r>
      <w:r>
        <w:rPr>
          <w:rFonts w:ascii="宋体" w:hAnsi="宋体" w:eastAsia="宋体" w:cs="宋体"/>
          <w:spacing w:val="1"/>
          <w:sz w:val="24"/>
          <w:szCs w:val="24"/>
        </w:rPr>
        <w:t>形，根据</w:t>
      </w:r>
      <w:r>
        <w:rPr>
          <w:rFonts w:ascii="宋体" w:hAnsi="宋体" w:eastAsia="宋体" w:cs="宋体"/>
          <w:sz w:val="24"/>
          <w:szCs w:val="24"/>
        </w:rPr>
        <w:t xml:space="preserve"> </w:t>
      </w:r>
      <w:r>
        <w:rPr>
          <w:rFonts w:ascii="宋体" w:hAnsi="宋体" w:eastAsia="宋体" w:cs="宋体"/>
          <w:spacing w:val="2"/>
          <w:sz w:val="24"/>
          <w:szCs w:val="24"/>
        </w:rPr>
        <w:t>《环境影响评价技术导则土壤环境（试行）》（</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964-2018</w:t>
      </w:r>
      <w:r>
        <w:rPr>
          <w:rFonts w:ascii="宋体" w:hAnsi="宋体" w:eastAsia="宋体" w:cs="宋体"/>
          <w:spacing w:val="2"/>
          <w:sz w:val="24"/>
          <w:szCs w:val="24"/>
        </w:rPr>
        <w:t>）的要求，污染影响评</w:t>
      </w:r>
      <w:r>
        <w:rPr>
          <w:rFonts w:ascii="宋体" w:hAnsi="宋体" w:eastAsia="宋体" w:cs="宋体"/>
          <w:spacing w:val="16"/>
          <w:sz w:val="24"/>
          <w:szCs w:val="24"/>
        </w:rPr>
        <w:t xml:space="preserve"> </w:t>
      </w:r>
      <w:r>
        <w:rPr>
          <w:rFonts w:ascii="宋体" w:hAnsi="宋体" w:eastAsia="宋体" w:cs="宋体"/>
          <w:spacing w:val="-1"/>
          <w:sz w:val="24"/>
          <w:szCs w:val="24"/>
        </w:rPr>
        <w:t>价工作等级划分表见下表。</w:t>
      </w:r>
    </w:p>
    <w:p w14:paraId="5DDD1C99">
      <w:pPr>
        <w:spacing w:line="372" w:lineRule="auto"/>
        <w:rPr>
          <w:rFonts w:ascii="宋体" w:hAnsi="宋体" w:eastAsia="宋体" w:cs="宋体"/>
          <w:sz w:val="24"/>
          <w:szCs w:val="24"/>
        </w:rPr>
        <w:sectPr>
          <w:footerReference r:id="rId44" w:type="default"/>
          <w:pgSz w:w="11906" w:h="16839"/>
          <w:pgMar w:top="1431" w:right="1475" w:bottom="1485" w:left="1475" w:header="0" w:footer="1249" w:gutter="0"/>
          <w:cols w:space="720" w:num="1"/>
        </w:sectPr>
      </w:pPr>
    </w:p>
    <w:p w14:paraId="45A1452E">
      <w:pPr>
        <w:spacing w:before="125" w:line="227" w:lineRule="auto"/>
        <w:ind w:left="261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3"/>
          <w:sz w:val="20"/>
          <w:szCs w:val="20"/>
        </w:rPr>
        <w:t xml:space="preserve"> </w:t>
      </w:r>
      <w:r>
        <w:rPr>
          <w:rFonts w:ascii="Times New Roman" w:hAnsi="Times New Roman" w:eastAsia="Times New Roman" w:cs="Times New Roman"/>
          <w:b/>
          <w:bCs/>
          <w:spacing w:val="6"/>
          <w:sz w:val="20"/>
          <w:szCs w:val="20"/>
        </w:rPr>
        <w:t xml:space="preserve">2.4-7  </w:t>
      </w:r>
      <w:r>
        <w:rPr>
          <w:rFonts w:ascii="宋体" w:hAnsi="宋体" w:eastAsia="宋体" w:cs="宋体"/>
          <w:b/>
          <w:bCs/>
          <w:spacing w:val="6"/>
          <w:sz w:val="20"/>
          <w:szCs w:val="20"/>
        </w:rPr>
        <w:t>污染影响型评价工作等级划分表</w:t>
      </w:r>
    </w:p>
    <w:p w14:paraId="496FC642">
      <w:pPr>
        <w:spacing w:line="104" w:lineRule="exact"/>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2"/>
        <w:gridCol w:w="793"/>
        <w:gridCol w:w="792"/>
        <w:gridCol w:w="794"/>
        <w:gridCol w:w="793"/>
        <w:gridCol w:w="792"/>
        <w:gridCol w:w="792"/>
        <w:gridCol w:w="793"/>
        <w:gridCol w:w="663"/>
        <w:gridCol w:w="660"/>
      </w:tblGrid>
      <w:tr w14:paraId="54124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852" w:type="dxa"/>
            <w:vMerge w:val="restart"/>
            <w:tcBorders>
              <w:bottom w:val="nil"/>
            </w:tcBorders>
            <w:vAlign w:val="top"/>
          </w:tcPr>
          <w:p w14:paraId="247E34CC">
            <w:pPr>
              <w:pStyle w:val="6"/>
              <w:spacing w:before="49" w:line="927" w:lineRule="exact"/>
              <w:ind w:firstLine="2"/>
            </w:pPr>
            <w:r>
              <w:rPr>
                <w:position w:val="-19"/>
              </w:rPr>
              <w:pict>
                <v:group id="_x0000_s1030" o:spid="_x0000_s1030" o:spt="203" style="height:46.65pt;width:92.7pt;" coordsize="1853,933">
                  <o:lock v:ext="edit"/>
                  <v:shape id="_x0000_s1031" o:spid="_x0000_s1031" o:spt="75" type="#_x0000_t75" style="position:absolute;left:0;top:0;height:933;width:1853;" filled="f" stroked="f" coordsize="21600,21600">
                    <v:path/>
                    <v:fill on="f" focussize="0,0"/>
                    <v:stroke on="f"/>
                    <v:imagedata r:id="rId205" o:title=""/>
                    <o:lock v:ext="edit" aspectratio="t"/>
                  </v:shape>
                  <v:shape id="_x0000_s1032" o:spid="_x0000_s1032" o:spt="202" type="#_x0000_t202" style="position:absolute;left:-20;top:-20;height:973;width:1893;" filled="f" stroked="f" coordsize="21600,21600">
                    <v:path/>
                    <v:fill on="f" focussize="0,0"/>
                    <v:stroke on="f"/>
                    <v:imagedata o:title=""/>
                    <o:lock v:ext="edit" aspectratio="f"/>
                    <v:textbox inset="0mm,0mm,0mm,0mm">
                      <w:txbxContent>
                        <w:p w14:paraId="35975022">
                          <w:pPr>
                            <w:spacing w:before="33" w:line="228" w:lineRule="auto"/>
                            <w:ind w:left="565"/>
                            <w:rPr>
                              <w:rFonts w:ascii="宋体" w:hAnsi="宋体" w:eastAsia="宋体" w:cs="宋体"/>
                              <w:sz w:val="20"/>
                              <w:szCs w:val="20"/>
                            </w:rPr>
                          </w:pPr>
                          <w:r>
                            <w:rPr>
                              <w:rFonts w:ascii="宋体" w:hAnsi="宋体" w:eastAsia="宋体" w:cs="宋体"/>
                              <w:spacing w:val="-2"/>
                              <w:sz w:val="20"/>
                              <w:szCs w:val="20"/>
                            </w:rPr>
                            <w:t>占地规模</w:t>
                          </w:r>
                        </w:p>
                        <w:p w14:paraId="19A1E544">
                          <w:pPr>
                            <w:spacing w:before="78" w:line="301" w:lineRule="auto"/>
                            <w:ind w:left="135" w:right="323" w:firstLine="183"/>
                            <w:rPr>
                              <w:rFonts w:ascii="宋体" w:hAnsi="宋体" w:eastAsia="宋体" w:cs="宋体"/>
                              <w:sz w:val="20"/>
                              <w:szCs w:val="20"/>
                            </w:rPr>
                          </w:pPr>
                          <w:r>
                            <w:rPr>
                              <w:rFonts w:ascii="宋体" w:hAnsi="宋体" w:eastAsia="宋体" w:cs="宋体"/>
                              <w:spacing w:val="8"/>
                              <w:sz w:val="20"/>
                              <w:szCs w:val="20"/>
                            </w:rPr>
                            <w:t>评价工作等级</w:t>
                          </w:r>
                          <w:r>
                            <w:rPr>
                              <w:rFonts w:ascii="宋体" w:hAnsi="宋体" w:eastAsia="宋体" w:cs="宋体"/>
                              <w:spacing w:val="1"/>
                              <w:sz w:val="20"/>
                              <w:szCs w:val="20"/>
                            </w:rPr>
                            <w:t xml:space="preserve"> </w:t>
                          </w:r>
                          <w:r>
                            <w:rPr>
                              <w:rFonts w:ascii="宋体" w:hAnsi="宋体" w:eastAsia="宋体" w:cs="宋体"/>
                              <w:spacing w:val="7"/>
                              <w:sz w:val="20"/>
                              <w:szCs w:val="20"/>
                            </w:rPr>
                            <w:t>敏感程度</w:t>
                          </w:r>
                        </w:p>
                      </w:txbxContent>
                    </v:textbox>
                  </v:shape>
                  <w10:wrap type="none"/>
                  <w10:anchorlock/>
                </v:group>
              </w:pict>
            </w:r>
          </w:p>
        </w:tc>
        <w:tc>
          <w:tcPr>
            <w:tcW w:w="2379" w:type="dxa"/>
            <w:gridSpan w:val="3"/>
            <w:vAlign w:val="top"/>
          </w:tcPr>
          <w:p w14:paraId="3DDB3709">
            <w:pPr>
              <w:pStyle w:val="6"/>
              <w:spacing w:before="105" w:line="228" w:lineRule="auto"/>
              <w:ind w:left="1051"/>
            </w:pPr>
            <w:r>
              <w:rPr>
                <w:spacing w:val="-30"/>
              </w:rPr>
              <w:t>Ⅰ类</w:t>
            </w:r>
          </w:p>
        </w:tc>
        <w:tc>
          <w:tcPr>
            <w:tcW w:w="2377" w:type="dxa"/>
            <w:gridSpan w:val="3"/>
            <w:vAlign w:val="top"/>
          </w:tcPr>
          <w:p w14:paraId="4F6DB497">
            <w:pPr>
              <w:pStyle w:val="6"/>
              <w:spacing w:before="105" w:line="228" w:lineRule="auto"/>
              <w:ind w:left="1021"/>
            </w:pPr>
            <w:r>
              <w:rPr>
                <w:spacing w:val="-14"/>
              </w:rPr>
              <w:t>Ⅱ类</w:t>
            </w:r>
          </w:p>
        </w:tc>
        <w:tc>
          <w:tcPr>
            <w:tcW w:w="2116" w:type="dxa"/>
            <w:gridSpan w:val="3"/>
            <w:vAlign w:val="top"/>
          </w:tcPr>
          <w:p w14:paraId="2B363D54">
            <w:pPr>
              <w:pStyle w:val="6"/>
              <w:spacing w:before="105" w:line="228" w:lineRule="auto"/>
              <w:ind w:left="851"/>
            </w:pPr>
            <w:r>
              <w:rPr>
                <w:spacing w:val="6"/>
              </w:rPr>
              <w:t>Ⅲ类</w:t>
            </w:r>
          </w:p>
        </w:tc>
      </w:tr>
      <w:tr w14:paraId="5A701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852" w:type="dxa"/>
            <w:vMerge w:val="continue"/>
            <w:tcBorders>
              <w:top w:val="nil"/>
            </w:tcBorders>
            <w:vAlign w:val="top"/>
          </w:tcPr>
          <w:p w14:paraId="3A15014D">
            <w:pPr>
              <w:rPr>
                <w:rFonts w:ascii="Arial"/>
                <w:sz w:val="21"/>
              </w:rPr>
            </w:pPr>
          </w:p>
        </w:tc>
        <w:tc>
          <w:tcPr>
            <w:tcW w:w="793" w:type="dxa"/>
            <w:vAlign w:val="top"/>
          </w:tcPr>
          <w:p w14:paraId="7D20A0E4">
            <w:pPr>
              <w:pStyle w:val="6"/>
              <w:spacing w:before="174" w:line="229" w:lineRule="auto"/>
              <w:ind w:left="297"/>
            </w:pPr>
            <w:r>
              <w:t>大</w:t>
            </w:r>
          </w:p>
        </w:tc>
        <w:tc>
          <w:tcPr>
            <w:tcW w:w="792" w:type="dxa"/>
            <w:vAlign w:val="top"/>
          </w:tcPr>
          <w:p w14:paraId="7B3407FB">
            <w:pPr>
              <w:pStyle w:val="6"/>
              <w:spacing w:before="174" w:line="229" w:lineRule="auto"/>
              <w:ind w:left="313"/>
            </w:pPr>
            <w:r>
              <w:t>中</w:t>
            </w:r>
          </w:p>
        </w:tc>
        <w:tc>
          <w:tcPr>
            <w:tcW w:w="794" w:type="dxa"/>
            <w:vAlign w:val="top"/>
          </w:tcPr>
          <w:p w14:paraId="7589409F">
            <w:pPr>
              <w:pStyle w:val="6"/>
              <w:spacing w:before="174" w:line="231" w:lineRule="auto"/>
              <w:ind w:left="302"/>
            </w:pPr>
            <w:r>
              <w:t>小</w:t>
            </w:r>
          </w:p>
        </w:tc>
        <w:tc>
          <w:tcPr>
            <w:tcW w:w="793" w:type="dxa"/>
            <w:vAlign w:val="top"/>
          </w:tcPr>
          <w:p w14:paraId="69BC73C4">
            <w:pPr>
              <w:pStyle w:val="6"/>
              <w:spacing w:before="174" w:line="229" w:lineRule="auto"/>
              <w:ind w:left="299"/>
            </w:pPr>
            <w:r>
              <w:t>大</w:t>
            </w:r>
          </w:p>
        </w:tc>
        <w:tc>
          <w:tcPr>
            <w:tcW w:w="792" w:type="dxa"/>
            <w:vAlign w:val="top"/>
          </w:tcPr>
          <w:p w14:paraId="032C7F8D">
            <w:pPr>
              <w:pStyle w:val="6"/>
              <w:spacing w:before="174" w:line="229" w:lineRule="auto"/>
              <w:ind w:left="317"/>
            </w:pPr>
            <w:r>
              <w:t>中</w:t>
            </w:r>
          </w:p>
        </w:tc>
        <w:tc>
          <w:tcPr>
            <w:tcW w:w="792" w:type="dxa"/>
            <w:vAlign w:val="top"/>
          </w:tcPr>
          <w:p w14:paraId="7B45385A">
            <w:pPr>
              <w:pStyle w:val="6"/>
              <w:spacing w:before="174" w:line="231" w:lineRule="auto"/>
              <w:ind w:left="303"/>
            </w:pPr>
            <w:r>
              <w:t>小</w:t>
            </w:r>
          </w:p>
        </w:tc>
        <w:tc>
          <w:tcPr>
            <w:tcW w:w="793" w:type="dxa"/>
            <w:vAlign w:val="top"/>
          </w:tcPr>
          <w:p w14:paraId="06A20FE9">
            <w:pPr>
              <w:pStyle w:val="6"/>
              <w:spacing w:before="174" w:line="229" w:lineRule="auto"/>
              <w:ind w:left="300"/>
            </w:pPr>
            <w:r>
              <w:t>大</w:t>
            </w:r>
          </w:p>
        </w:tc>
        <w:tc>
          <w:tcPr>
            <w:tcW w:w="663" w:type="dxa"/>
            <w:vAlign w:val="top"/>
          </w:tcPr>
          <w:p w14:paraId="503AC8BA">
            <w:pPr>
              <w:pStyle w:val="6"/>
              <w:spacing w:before="174" w:line="229" w:lineRule="auto"/>
              <w:ind w:left="254"/>
            </w:pPr>
            <w:r>
              <w:t>中</w:t>
            </w:r>
          </w:p>
        </w:tc>
        <w:tc>
          <w:tcPr>
            <w:tcW w:w="660" w:type="dxa"/>
            <w:vAlign w:val="top"/>
          </w:tcPr>
          <w:p w14:paraId="6807CA2A">
            <w:pPr>
              <w:pStyle w:val="6"/>
              <w:spacing w:before="174" w:line="231" w:lineRule="auto"/>
              <w:ind w:left="237"/>
            </w:pPr>
            <w:r>
              <w:t>小</w:t>
            </w:r>
          </w:p>
        </w:tc>
      </w:tr>
      <w:tr w14:paraId="4A456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852" w:type="dxa"/>
            <w:vAlign w:val="top"/>
          </w:tcPr>
          <w:p w14:paraId="09CE09E5">
            <w:pPr>
              <w:pStyle w:val="6"/>
              <w:spacing w:before="60" w:line="228" w:lineRule="auto"/>
              <w:ind w:left="722"/>
            </w:pPr>
            <w:r>
              <w:rPr>
                <w:spacing w:val="4"/>
              </w:rPr>
              <w:t>敏感</w:t>
            </w:r>
          </w:p>
        </w:tc>
        <w:tc>
          <w:tcPr>
            <w:tcW w:w="793" w:type="dxa"/>
            <w:vAlign w:val="top"/>
          </w:tcPr>
          <w:p w14:paraId="1E6C38C0">
            <w:pPr>
              <w:pStyle w:val="6"/>
              <w:spacing w:before="59" w:line="231" w:lineRule="auto"/>
              <w:ind w:left="192"/>
            </w:pPr>
            <w:r>
              <w:rPr>
                <w:spacing w:val="3"/>
              </w:rPr>
              <w:t>一级</w:t>
            </w:r>
          </w:p>
        </w:tc>
        <w:tc>
          <w:tcPr>
            <w:tcW w:w="792" w:type="dxa"/>
            <w:vAlign w:val="top"/>
          </w:tcPr>
          <w:p w14:paraId="0299DAD3">
            <w:pPr>
              <w:pStyle w:val="6"/>
              <w:spacing w:before="59" w:line="231" w:lineRule="auto"/>
              <w:ind w:left="194"/>
            </w:pPr>
            <w:r>
              <w:rPr>
                <w:spacing w:val="3"/>
              </w:rPr>
              <w:t>一级</w:t>
            </w:r>
          </w:p>
        </w:tc>
        <w:tc>
          <w:tcPr>
            <w:tcW w:w="794" w:type="dxa"/>
            <w:vAlign w:val="top"/>
          </w:tcPr>
          <w:p w14:paraId="0201F567">
            <w:pPr>
              <w:pStyle w:val="6"/>
              <w:spacing w:before="59" w:line="231" w:lineRule="auto"/>
              <w:ind w:left="194"/>
            </w:pPr>
            <w:r>
              <w:rPr>
                <w:spacing w:val="3"/>
              </w:rPr>
              <w:t>一级</w:t>
            </w:r>
          </w:p>
        </w:tc>
        <w:tc>
          <w:tcPr>
            <w:tcW w:w="793" w:type="dxa"/>
            <w:vAlign w:val="top"/>
          </w:tcPr>
          <w:p w14:paraId="148D7C27">
            <w:pPr>
              <w:pStyle w:val="6"/>
              <w:spacing w:before="59" w:line="231" w:lineRule="auto"/>
              <w:ind w:left="197"/>
            </w:pPr>
            <w:r>
              <w:rPr>
                <w:spacing w:val="3"/>
              </w:rPr>
              <w:t>二级</w:t>
            </w:r>
          </w:p>
        </w:tc>
        <w:tc>
          <w:tcPr>
            <w:tcW w:w="792" w:type="dxa"/>
            <w:vAlign w:val="top"/>
          </w:tcPr>
          <w:p w14:paraId="6A6DB820">
            <w:pPr>
              <w:pStyle w:val="6"/>
              <w:spacing w:before="59" w:line="231" w:lineRule="auto"/>
              <w:ind w:left="196"/>
            </w:pPr>
            <w:r>
              <w:rPr>
                <w:spacing w:val="3"/>
              </w:rPr>
              <w:t>二级</w:t>
            </w:r>
          </w:p>
        </w:tc>
        <w:tc>
          <w:tcPr>
            <w:tcW w:w="792" w:type="dxa"/>
            <w:vAlign w:val="top"/>
          </w:tcPr>
          <w:p w14:paraId="2EB0F488">
            <w:pPr>
              <w:pStyle w:val="6"/>
              <w:spacing w:before="59" w:line="231" w:lineRule="auto"/>
              <w:ind w:left="196"/>
            </w:pPr>
            <w:r>
              <w:rPr>
                <w:spacing w:val="3"/>
              </w:rPr>
              <w:t>二级</w:t>
            </w:r>
          </w:p>
        </w:tc>
        <w:tc>
          <w:tcPr>
            <w:tcW w:w="793" w:type="dxa"/>
            <w:vAlign w:val="top"/>
          </w:tcPr>
          <w:p w14:paraId="624780AA">
            <w:pPr>
              <w:pStyle w:val="6"/>
              <w:spacing w:before="59" w:line="231" w:lineRule="auto"/>
              <w:ind w:left="192"/>
            </w:pPr>
            <w:r>
              <w:rPr>
                <w:spacing w:val="4"/>
              </w:rPr>
              <w:t>三级</w:t>
            </w:r>
          </w:p>
        </w:tc>
        <w:tc>
          <w:tcPr>
            <w:tcW w:w="663" w:type="dxa"/>
            <w:vAlign w:val="top"/>
          </w:tcPr>
          <w:p w14:paraId="632665BE">
            <w:pPr>
              <w:pStyle w:val="6"/>
              <w:spacing w:before="59" w:line="231" w:lineRule="auto"/>
              <w:ind w:left="129"/>
            </w:pPr>
            <w:r>
              <w:rPr>
                <w:spacing w:val="4"/>
              </w:rPr>
              <w:t>三级</w:t>
            </w:r>
          </w:p>
        </w:tc>
        <w:tc>
          <w:tcPr>
            <w:tcW w:w="660" w:type="dxa"/>
            <w:vAlign w:val="top"/>
          </w:tcPr>
          <w:p w14:paraId="2A0E266B">
            <w:pPr>
              <w:pStyle w:val="6"/>
              <w:spacing w:before="59" w:line="231" w:lineRule="auto"/>
              <w:ind w:left="126"/>
            </w:pPr>
            <w:r>
              <w:rPr>
                <w:spacing w:val="4"/>
              </w:rPr>
              <w:t>三级</w:t>
            </w:r>
          </w:p>
        </w:tc>
      </w:tr>
      <w:tr w14:paraId="4EFF6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852" w:type="dxa"/>
            <w:vAlign w:val="top"/>
          </w:tcPr>
          <w:p w14:paraId="02A1081A">
            <w:pPr>
              <w:pStyle w:val="6"/>
              <w:spacing w:before="61" w:line="228" w:lineRule="auto"/>
              <w:ind w:left="615"/>
            </w:pPr>
            <w:r>
              <w:rPr>
                <w:spacing w:val="6"/>
              </w:rPr>
              <w:t>较敏感</w:t>
            </w:r>
          </w:p>
        </w:tc>
        <w:tc>
          <w:tcPr>
            <w:tcW w:w="793" w:type="dxa"/>
            <w:vAlign w:val="top"/>
          </w:tcPr>
          <w:p w14:paraId="571A1056">
            <w:pPr>
              <w:pStyle w:val="6"/>
              <w:spacing w:before="60" w:line="231" w:lineRule="auto"/>
              <w:ind w:left="192"/>
            </w:pPr>
            <w:r>
              <w:rPr>
                <w:spacing w:val="3"/>
              </w:rPr>
              <w:t>一级</w:t>
            </w:r>
          </w:p>
        </w:tc>
        <w:tc>
          <w:tcPr>
            <w:tcW w:w="792" w:type="dxa"/>
            <w:vAlign w:val="top"/>
          </w:tcPr>
          <w:p w14:paraId="48C14546">
            <w:pPr>
              <w:pStyle w:val="6"/>
              <w:spacing w:before="60" w:line="231" w:lineRule="auto"/>
              <w:ind w:left="194"/>
            </w:pPr>
            <w:r>
              <w:rPr>
                <w:spacing w:val="3"/>
              </w:rPr>
              <w:t>一级</w:t>
            </w:r>
          </w:p>
        </w:tc>
        <w:tc>
          <w:tcPr>
            <w:tcW w:w="794" w:type="dxa"/>
            <w:vAlign w:val="top"/>
          </w:tcPr>
          <w:p w14:paraId="41D4C35A">
            <w:pPr>
              <w:pStyle w:val="6"/>
              <w:spacing w:before="60" w:line="231" w:lineRule="auto"/>
              <w:ind w:left="194"/>
            </w:pPr>
            <w:r>
              <w:rPr>
                <w:spacing w:val="3"/>
              </w:rPr>
              <w:t>二级</w:t>
            </w:r>
          </w:p>
        </w:tc>
        <w:tc>
          <w:tcPr>
            <w:tcW w:w="793" w:type="dxa"/>
            <w:vAlign w:val="top"/>
          </w:tcPr>
          <w:p w14:paraId="38EAB5A2">
            <w:pPr>
              <w:pStyle w:val="6"/>
              <w:spacing w:before="60" w:line="231" w:lineRule="auto"/>
              <w:ind w:left="197"/>
            </w:pPr>
            <w:r>
              <w:rPr>
                <w:spacing w:val="3"/>
              </w:rPr>
              <w:t>二级</w:t>
            </w:r>
          </w:p>
        </w:tc>
        <w:tc>
          <w:tcPr>
            <w:tcW w:w="792" w:type="dxa"/>
            <w:vAlign w:val="top"/>
          </w:tcPr>
          <w:p w14:paraId="4C0A4910">
            <w:pPr>
              <w:pStyle w:val="6"/>
              <w:spacing w:before="60" w:line="231" w:lineRule="auto"/>
              <w:ind w:left="196"/>
            </w:pPr>
            <w:r>
              <w:rPr>
                <w:spacing w:val="3"/>
              </w:rPr>
              <w:t>二级</w:t>
            </w:r>
          </w:p>
        </w:tc>
        <w:tc>
          <w:tcPr>
            <w:tcW w:w="792" w:type="dxa"/>
            <w:vAlign w:val="top"/>
          </w:tcPr>
          <w:p w14:paraId="0DFB3CBB">
            <w:pPr>
              <w:pStyle w:val="6"/>
              <w:spacing w:before="60" w:line="231" w:lineRule="auto"/>
              <w:ind w:left="192"/>
            </w:pPr>
            <w:r>
              <w:rPr>
                <w:spacing w:val="4"/>
              </w:rPr>
              <w:t>三级</w:t>
            </w:r>
          </w:p>
        </w:tc>
        <w:tc>
          <w:tcPr>
            <w:tcW w:w="793" w:type="dxa"/>
            <w:vAlign w:val="top"/>
          </w:tcPr>
          <w:p w14:paraId="39D49355">
            <w:pPr>
              <w:pStyle w:val="6"/>
              <w:spacing w:before="60" w:line="231" w:lineRule="auto"/>
              <w:ind w:left="192"/>
            </w:pPr>
            <w:r>
              <w:rPr>
                <w:spacing w:val="4"/>
              </w:rPr>
              <w:t>三级</w:t>
            </w:r>
          </w:p>
        </w:tc>
        <w:tc>
          <w:tcPr>
            <w:tcW w:w="663" w:type="dxa"/>
            <w:vAlign w:val="top"/>
          </w:tcPr>
          <w:p w14:paraId="0AAE806B">
            <w:pPr>
              <w:pStyle w:val="6"/>
              <w:spacing w:before="60" w:line="231" w:lineRule="auto"/>
              <w:ind w:left="129"/>
            </w:pPr>
            <w:r>
              <w:rPr>
                <w:spacing w:val="4"/>
              </w:rPr>
              <w:t>三级</w:t>
            </w:r>
          </w:p>
        </w:tc>
        <w:tc>
          <w:tcPr>
            <w:tcW w:w="660" w:type="dxa"/>
            <w:vAlign w:val="top"/>
          </w:tcPr>
          <w:p w14:paraId="2C5FEE9F">
            <w:pPr>
              <w:spacing w:before="185" w:line="97" w:lineRule="exact"/>
              <w:ind w:left="3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6B6C6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852" w:type="dxa"/>
            <w:vAlign w:val="top"/>
          </w:tcPr>
          <w:p w14:paraId="13A242D0">
            <w:pPr>
              <w:pStyle w:val="6"/>
              <w:spacing w:before="62" w:line="228" w:lineRule="auto"/>
              <w:ind w:left="619"/>
            </w:pPr>
            <w:r>
              <w:rPr>
                <w:spacing w:val="5"/>
              </w:rPr>
              <w:t>不敏感</w:t>
            </w:r>
          </w:p>
        </w:tc>
        <w:tc>
          <w:tcPr>
            <w:tcW w:w="793" w:type="dxa"/>
            <w:vAlign w:val="top"/>
          </w:tcPr>
          <w:p w14:paraId="4787EB0A">
            <w:pPr>
              <w:pStyle w:val="6"/>
              <w:spacing w:before="61" w:line="231" w:lineRule="auto"/>
              <w:ind w:left="192"/>
            </w:pPr>
            <w:r>
              <w:rPr>
                <w:spacing w:val="3"/>
              </w:rPr>
              <w:t>一级</w:t>
            </w:r>
          </w:p>
        </w:tc>
        <w:tc>
          <w:tcPr>
            <w:tcW w:w="792" w:type="dxa"/>
            <w:vAlign w:val="top"/>
          </w:tcPr>
          <w:p w14:paraId="08B3A00F">
            <w:pPr>
              <w:pStyle w:val="6"/>
              <w:spacing w:before="61" w:line="231" w:lineRule="auto"/>
              <w:ind w:left="194"/>
            </w:pPr>
            <w:r>
              <w:rPr>
                <w:spacing w:val="3"/>
              </w:rPr>
              <w:t>二级</w:t>
            </w:r>
          </w:p>
        </w:tc>
        <w:tc>
          <w:tcPr>
            <w:tcW w:w="794" w:type="dxa"/>
            <w:vAlign w:val="top"/>
          </w:tcPr>
          <w:p w14:paraId="433D42B5">
            <w:pPr>
              <w:pStyle w:val="6"/>
              <w:spacing w:before="61" w:line="231" w:lineRule="auto"/>
              <w:ind w:left="194"/>
            </w:pPr>
            <w:r>
              <w:rPr>
                <w:spacing w:val="3"/>
              </w:rPr>
              <w:t>二级</w:t>
            </w:r>
          </w:p>
        </w:tc>
        <w:tc>
          <w:tcPr>
            <w:tcW w:w="793" w:type="dxa"/>
            <w:vAlign w:val="top"/>
          </w:tcPr>
          <w:p w14:paraId="01331FFD">
            <w:pPr>
              <w:pStyle w:val="6"/>
              <w:spacing w:before="61" w:line="231" w:lineRule="auto"/>
              <w:ind w:left="197"/>
            </w:pPr>
            <w:r>
              <w:rPr>
                <w:spacing w:val="3"/>
              </w:rPr>
              <w:t>二级</w:t>
            </w:r>
          </w:p>
        </w:tc>
        <w:tc>
          <w:tcPr>
            <w:tcW w:w="792" w:type="dxa"/>
            <w:vAlign w:val="top"/>
          </w:tcPr>
          <w:p w14:paraId="7F60602F">
            <w:pPr>
              <w:pStyle w:val="6"/>
              <w:spacing w:before="61" w:line="231" w:lineRule="auto"/>
              <w:ind w:left="192"/>
            </w:pPr>
            <w:r>
              <w:rPr>
                <w:spacing w:val="4"/>
              </w:rPr>
              <w:t>三级</w:t>
            </w:r>
          </w:p>
        </w:tc>
        <w:tc>
          <w:tcPr>
            <w:tcW w:w="792" w:type="dxa"/>
            <w:shd w:val="clear" w:color="auto" w:fill="CCE8CF"/>
            <w:vAlign w:val="top"/>
          </w:tcPr>
          <w:p w14:paraId="4DF9BE27">
            <w:pPr>
              <w:pStyle w:val="6"/>
              <w:spacing w:before="61" w:line="231" w:lineRule="auto"/>
              <w:ind w:left="192"/>
            </w:pPr>
            <w:r>
              <w:rPr>
                <w:spacing w:val="4"/>
              </w:rPr>
              <w:t>三级</w:t>
            </w:r>
          </w:p>
        </w:tc>
        <w:tc>
          <w:tcPr>
            <w:tcW w:w="793" w:type="dxa"/>
            <w:shd w:val="clear" w:color="auto" w:fill="CCE8CF"/>
            <w:vAlign w:val="top"/>
          </w:tcPr>
          <w:p w14:paraId="077224BC">
            <w:pPr>
              <w:pStyle w:val="6"/>
              <w:spacing w:before="61" w:line="231" w:lineRule="auto"/>
              <w:ind w:left="192"/>
            </w:pPr>
            <w:r>
              <w:rPr>
                <w:spacing w:val="4"/>
              </w:rPr>
              <w:t>三级</w:t>
            </w:r>
          </w:p>
        </w:tc>
        <w:tc>
          <w:tcPr>
            <w:tcW w:w="663" w:type="dxa"/>
            <w:shd w:val="clear" w:color="auto" w:fill="CCE8CF"/>
            <w:vAlign w:val="top"/>
          </w:tcPr>
          <w:p w14:paraId="761FBE41">
            <w:pPr>
              <w:spacing w:before="186" w:line="97" w:lineRule="exact"/>
              <w:ind w:left="3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660" w:type="dxa"/>
            <w:shd w:val="clear" w:color="auto" w:fill="9FD3A4"/>
            <w:vAlign w:val="top"/>
          </w:tcPr>
          <w:p w14:paraId="6A52AD63">
            <w:pPr>
              <w:spacing w:before="186" w:line="97" w:lineRule="exact"/>
              <w:ind w:left="3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52CF5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724" w:type="dxa"/>
            <w:gridSpan w:val="10"/>
            <w:vAlign w:val="top"/>
          </w:tcPr>
          <w:p w14:paraId="0D028E80">
            <w:pPr>
              <w:pStyle w:val="6"/>
              <w:spacing w:before="63" w:line="227" w:lineRule="auto"/>
              <w:ind w:left="116"/>
            </w:pPr>
            <w:r>
              <w:rPr>
                <w:spacing w:val="8"/>
              </w:rPr>
              <w:t>注：</w:t>
            </w:r>
            <w:r>
              <w:rPr>
                <w:rFonts w:ascii="Times New Roman" w:hAnsi="Times New Roman" w:eastAsia="Times New Roman" w:cs="Times New Roman"/>
                <w:spacing w:val="8"/>
              </w:rPr>
              <w:t>“-”</w:t>
            </w:r>
            <w:r>
              <w:rPr>
                <w:spacing w:val="8"/>
              </w:rPr>
              <w:t>表示可不开展土壤环境影响评价工作。</w:t>
            </w:r>
          </w:p>
        </w:tc>
      </w:tr>
    </w:tbl>
    <w:p w14:paraId="70E9ECCE">
      <w:pPr>
        <w:spacing w:before="124" w:line="219" w:lineRule="auto"/>
        <w:ind w:left="548"/>
        <w:rPr>
          <w:rFonts w:ascii="宋体" w:hAnsi="宋体" w:eastAsia="宋体" w:cs="宋体"/>
          <w:sz w:val="24"/>
          <w:szCs w:val="24"/>
        </w:rPr>
      </w:pPr>
      <w:r>
        <w:rPr>
          <w:rFonts w:ascii="宋体" w:hAnsi="宋体" w:eastAsia="宋体" w:cs="宋体"/>
          <w:spacing w:val="-1"/>
          <w:sz w:val="24"/>
          <w:szCs w:val="24"/>
        </w:rPr>
        <w:t>本项目属于</w:t>
      </w:r>
      <w:r>
        <w:rPr>
          <w:rFonts w:ascii="Times New Roman" w:hAnsi="Times New Roman" w:eastAsia="Times New Roman" w:cs="Times New Roman"/>
          <w:spacing w:val="-1"/>
          <w:sz w:val="24"/>
          <w:szCs w:val="24"/>
        </w:rPr>
        <w:t>“</w:t>
      </w:r>
      <w:r>
        <w:rPr>
          <w:rFonts w:ascii="宋体" w:hAnsi="宋体" w:eastAsia="宋体" w:cs="宋体"/>
          <w:spacing w:val="-1"/>
          <w:sz w:val="24"/>
          <w:szCs w:val="24"/>
        </w:rPr>
        <w:t>Ⅲ类</w:t>
      </w:r>
      <w:r>
        <w:rPr>
          <w:rFonts w:ascii="Times New Roman" w:hAnsi="Times New Roman" w:eastAsia="Times New Roman" w:cs="Times New Roman"/>
          <w:spacing w:val="-1"/>
          <w:sz w:val="24"/>
          <w:szCs w:val="24"/>
        </w:rPr>
        <w:t>-</w:t>
      </w:r>
      <w:r>
        <w:rPr>
          <w:rFonts w:ascii="宋体" w:hAnsi="宋体" w:eastAsia="宋体" w:cs="宋体"/>
          <w:spacing w:val="-1"/>
          <w:sz w:val="24"/>
          <w:szCs w:val="24"/>
        </w:rPr>
        <w:t>小型</w:t>
      </w:r>
      <w:r>
        <w:rPr>
          <w:rFonts w:ascii="Times New Roman" w:hAnsi="Times New Roman" w:eastAsia="Times New Roman" w:cs="Times New Roman"/>
          <w:spacing w:val="-1"/>
          <w:sz w:val="24"/>
          <w:szCs w:val="24"/>
        </w:rPr>
        <w:t>-</w:t>
      </w:r>
      <w:r>
        <w:rPr>
          <w:rFonts w:ascii="宋体" w:hAnsi="宋体" w:eastAsia="宋体" w:cs="宋体"/>
          <w:spacing w:val="-1"/>
          <w:sz w:val="24"/>
          <w:szCs w:val="24"/>
        </w:rPr>
        <w:t>不敏感</w:t>
      </w:r>
      <w:r>
        <w:rPr>
          <w:rFonts w:ascii="Times New Roman" w:hAnsi="Times New Roman" w:eastAsia="Times New Roman" w:cs="Times New Roman"/>
          <w:spacing w:val="-1"/>
          <w:sz w:val="24"/>
          <w:szCs w:val="24"/>
        </w:rPr>
        <w:t>”</w:t>
      </w:r>
      <w:r>
        <w:rPr>
          <w:rFonts w:ascii="宋体" w:hAnsi="宋体" w:eastAsia="宋体" w:cs="宋体"/>
          <w:spacing w:val="-1"/>
          <w:sz w:val="24"/>
          <w:szCs w:val="24"/>
        </w:rPr>
        <w:t>项目，不需开展土壤评价。</w:t>
      </w:r>
    </w:p>
    <w:p w14:paraId="4CBA4868">
      <w:pPr>
        <w:spacing w:before="204"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2.4.7</w:t>
      </w:r>
      <w:r>
        <w:rPr>
          <w:rFonts w:ascii="宋体" w:hAnsi="宋体" w:eastAsia="宋体" w:cs="宋体"/>
          <w:b/>
          <w:bCs/>
          <w:spacing w:val="-2"/>
          <w:sz w:val="24"/>
          <w:szCs w:val="24"/>
        </w:rPr>
        <w:t>风险评价等级与范围</w:t>
      </w:r>
    </w:p>
    <w:p w14:paraId="7B3FAE6F">
      <w:pPr>
        <w:spacing w:before="168" w:line="338" w:lineRule="exact"/>
        <w:ind w:left="621"/>
        <w:rPr>
          <w:rFonts w:ascii="宋体" w:hAnsi="宋体" w:eastAsia="宋体" w:cs="宋体"/>
          <w:sz w:val="24"/>
          <w:szCs w:val="24"/>
        </w:rPr>
      </w:pPr>
      <w:r>
        <w:rPr>
          <w:rFonts w:ascii="Times New Roman" w:hAnsi="Times New Roman" w:eastAsia="Times New Roman" w:cs="Times New Roman"/>
          <w:spacing w:val="-4"/>
          <w:position w:val="3"/>
          <w:sz w:val="24"/>
          <w:szCs w:val="24"/>
        </w:rPr>
        <w:t>1</w:t>
      </w:r>
      <w:r>
        <w:rPr>
          <w:rFonts w:ascii="Times New Roman" w:hAnsi="Times New Roman" w:eastAsia="Times New Roman" w:cs="Times New Roman"/>
          <w:spacing w:val="-18"/>
          <w:position w:val="3"/>
          <w:sz w:val="24"/>
          <w:szCs w:val="24"/>
        </w:rPr>
        <w:t xml:space="preserve"> </w:t>
      </w:r>
      <w:r>
        <w:rPr>
          <w:rFonts w:ascii="宋体" w:hAnsi="宋体" w:eastAsia="宋体" w:cs="宋体"/>
          <w:spacing w:val="-4"/>
          <w:position w:val="3"/>
          <w:sz w:val="24"/>
          <w:szCs w:val="24"/>
        </w:rPr>
        <w:t>、危险物质数量与临界量的比值（</w:t>
      </w:r>
      <w:r>
        <w:rPr>
          <w:rFonts w:ascii="Times New Roman" w:hAnsi="Times New Roman" w:eastAsia="Times New Roman" w:cs="Times New Roman"/>
          <w:spacing w:val="-4"/>
          <w:position w:val="3"/>
          <w:sz w:val="24"/>
          <w:szCs w:val="24"/>
        </w:rPr>
        <w:t>Q</w:t>
      </w:r>
      <w:r>
        <w:rPr>
          <w:rFonts w:ascii="宋体" w:hAnsi="宋体" w:eastAsia="宋体" w:cs="宋体"/>
          <w:spacing w:val="-4"/>
          <w:position w:val="3"/>
          <w:sz w:val="24"/>
          <w:szCs w:val="24"/>
        </w:rPr>
        <w:t>）</w:t>
      </w:r>
    </w:p>
    <w:p w14:paraId="15CDA189">
      <w:pPr>
        <w:spacing w:before="153" w:line="380" w:lineRule="auto"/>
        <w:ind w:left="122" w:right="110" w:firstLine="480"/>
        <w:rPr>
          <w:rFonts w:ascii="宋体" w:hAnsi="宋体" w:eastAsia="宋体" w:cs="宋体"/>
          <w:sz w:val="24"/>
          <w:szCs w:val="24"/>
        </w:rPr>
      </w:pPr>
      <w:r>
        <w:rPr>
          <w:rFonts w:ascii="宋体" w:hAnsi="宋体" w:eastAsia="宋体" w:cs="宋体"/>
          <w:spacing w:val="2"/>
          <w:sz w:val="24"/>
          <w:szCs w:val="24"/>
        </w:rPr>
        <w:t>根据《建设项目环境风险评价技术导则》（</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169-2018</w:t>
      </w:r>
      <w:r>
        <w:rPr>
          <w:rFonts w:ascii="宋体" w:hAnsi="宋体" w:eastAsia="宋体" w:cs="宋体"/>
          <w:spacing w:val="12"/>
          <w:sz w:val="24"/>
          <w:szCs w:val="24"/>
        </w:rPr>
        <w:t>），</w:t>
      </w:r>
      <w:r>
        <w:rPr>
          <w:rFonts w:ascii="宋体" w:hAnsi="宋体" w:eastAsia="宋体" w:cs="宋体"/>
          <w:spacing w:val="2"/>
          <w:sz w:val="24"/>
          <w:szCs w:val="24"/>
        </w:rPr>
        <w:t>将本项目使用的原</w:t>
      </w:r>
      <w:r>
        <w:rPr>
          <w:rFonts w:ascii="宋体" w:hAnsi="宋体" w:eastAsia="宋体" w:cs="宋体"/>
          <w:sz w:val="24"/>
          <w:szCs w:val="24"/>
        </w:rPr>
        <w:t xml:space="preserve"> </w:t>
      </w:r>
      <w:r>
        <w:rPr>
          <w:rFonts w:ascii="宋体" w:hAnsi="宋体" w:eastAsia="宋体" w:cs="宋体"/>
          <w:spacing w:val="1"/>
          <w:sz w:val="24"/>
          <w:szCs w:val="24"/>
        </w:rPr>
        <w:t>辅料及废水、废物产生情况与附录</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B </w:t>
      </w:r>
      <w:r>
        <w:rPr>
          <w:rFonts w:ascii="宋体" w:hAnsi="宋体" w:eastAsia="宋体" w:cs="宋体"/>
          <w:spacing w:val="1"/>
          <w:sz w:val="24"/>
          <w:szCs w:val="24"/>
        </w:rPr>
        <w:t>进行核对，企业在生产过程中涉及不涉</w:t>
      </w:r>
      <w:r>
        <w:rPr>
          <w:rFonts w:ascii="宋体" w:hAnsi="宋体" w:eastAsia="宋体" w:cs="宋体"/>
          <w:sz w:val="24"/>
          <w:szCs w:val="24"/>
        </w:rPr>
        <w:t xml:space="preserve">及风险 </w:t>
      </w:r>
      <w:r>
        <w:rPr>
          <w:rFonts w:ascii="宋体" w:hAnsi="宋体" w:eastAsia="宋体" w:cs="宋体"/>
          <w:spacing w:val="-4"/>
          <w:sz w:val="24"/>
          <w:szCs w:val="24"/>
        </w:rPr>
        <w:t>物质。</w:t>
      </w:r>
    </w:p>
    <w:p w14:paraId="26D3968C">
      <w:pPr>
        <w:spacing w:before="309" w:line="338" w:lineRule="exact"/>
        <w:ind w:left="632"/>
        <w:rPr>
          <w:rFonts w:ascii="宋体" w:hAnsi="宋体" w:eastAsia="宋体" w:cs="宋体"/>
          <w:sz w:val="24"/>
          <w:szCs w:val="24"/>
        </w:rPr>
      </w:pPr>
      <w:r>
        <w:rPr>
          <w:rFonts w:ascii="宋体" w:hAnsi="宋体" w:eastAsia="宋体" w:cs="宋体"/>
          <w:spacing w:val="-8"/>
          <w:position w:val="3"/>
          <w:sz w:val="24"/>
          <w:szCs w:val="24"/>
        </w:rPr>
        <w:t>由于企业</w:t>
      </w:r>
      <w:r>
        <w:rPr>
          <w:rFonts w:ascii="宋体" w:hAnsi="宋体" w:eastAsia="宋体" w:cs="宋体"/>
          <w:spacing w:val="-42"/>
          <w:position w:val="3"/>
          <w:sz w:val="24"/>
          <w:szCs w:val="24"/>
        </w:rPr>
        <w:t xml:space="preserve"> </w:t>
      </w:r>
      <w:r>
        <w:rPr>
          <w:rFonts w:ascii="Times New Roman" w:hAnsi="Times New Roman" w:eastAsia="Times New Roman" w:cs="Times New Roman"/>
          <w:spacing w:val="-8"/>
          <w:position w:val="3"/>
          <w:sz w:val="24"/>
          <w:szCs w:val="24"/>
        </w:rPr>
        <w:t>Q&lt;</w:t>
      </w:r>
      <w:r>
        <w:rPr>
          <w:rFonts w:ascii="Times New Roman" w:hAnsi="Times New Roman" w:eastAsia="Times New Roman" w:cs="Times New Roman"/>
          <w:spacing w:val="-33"/>
          <w:position w:val="3"/>
          <w:sz w:val="24"/>
          <w:szCs w:val="24"/>
        </w:rPr>
        <w:t xml:space="preserve"> </w:t>
      </w:r>
      <w:r>
        <w:rPr>
          <w:rFonts w:ascii="Times New Roman" w:hAnsi="Times New Roman" w:eastAsia="Times New Roman" w:cs="Times New Roman"/>
          <w:spacing w:val="-8"/>
          <w:position w:val="3"/>
          <w:sz w:val="24"/>
          <w:szCs w:val="24"/>
        </w:rPr>
        <w:t>1</w:t>
      </w:r>
      <w:r>
        <w:rPr>
          <w:rFonts w:ascii="Times New Roman" w:hAnsi="Times New Roman" w:eastAsia="Times New Roman" w:cs="Times New Roman"/>
          <w:spacing w:val="-33"/>
          <w:position w:val="3"/>
          <w:sz w:val="24"/>
          <w:szCs w:val="24"/>
        </w:rPr>
        <w:t xml:space="preserve"> </w:t>
      </w:r>
      <w:r>
        <w:rPr>
          <w:rFonts w:ascii="宋体" w:hAnsi="宋体" w:eastAsia="宋体" w:cs="宋体"/>
          <w:spacing w:val="-8"/>
          <w:position w:val="3"/>
          <w:sz w:val="24"/>
          <w:szCs w:val="24"/>
        </w:rPr>
        <w:t>，可直接判定，企业环境风险潜势为</w:t>
      </w:r>
      <w:r>
        <w:rPr>
          <w:rFonts w:ascii="宋体" w:hAnsi="宋体" w:eastAsia="宋体" w:cs="宋体"/>
          <w:spacing w:val="-33"/>
          <w:position w:val="3"/>
          <w:sz w:val="24"/>
          <w:szCs w:val="24"/>
        </w:rPr>
        <w:t xml:space="preserve"> </w:t>
      </w:r>
      <w:r>
        <w:rPr>
          <w:rFonts w:ascii="宋体" w:hAnsi="宋体" w:eastAsia="宋体" w:cs="宋体"/>
          <w:spacing w:val="-8"/>
          <w:position w:val="3"/>
          <w:sz w:val="24"/>
          <w:szCs w:val="24"/>
        </w:rPr>
        <w:t>Ⅰ。</w:t>
      </w:r>
    </w:p>
    <w:p w14:paraId="5FF37594">
      <w:pPr>
        <w:spacing w:before="152" w:line="358" w:lineRule="exact"/>
        <w:ind w:left="598"/>
        <w:rPr>
          <w:rFonts w:ascii="宋体" w:hAnsi="宋体" w:eastAsia="宋体" w:cs="宋体"/>
          <w:sz w:val="24"/>
          <w:szCs w:val="24"/>
        </w:rPr>
      </w:pP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34"/>
          <w:position w:val="2"/>
          <w:sz w:val="24"/>
          <w:szCs w:val="24"/>
        </w:rPr>
        <w:t xml:space="preserve"> </w:t>
      </w:r>
      <w:r>
        <w:rPr>
          <w:rFonts w:ascii="宋体" w:hAnsi="宋体" w:eastAsia="宋体" w:cs="宋体"/>
          <w:spacing w:val="-4"/>
          <w:position w:val="2"/>
          <w:sz w:val="24"/>
          <w:szCs w:val="24"/>
        </w:rPr>
        <w:t>、工作评价等级</w:t>
      </w:r>
    </w:p>
    <w:p w14:paraId="1E44BDE6">
      <w:pPr>
        <w:spacing w:before="129" w:line="380" w:lineRule="auto"/>
        <w:ind w:left="122" w:right="110" w:firstLine="480"/>
        <w:rPr>
          <w:rFonts w:ascii="宋体" w:hAnsi="宋体" w:eastAsia="宋体" w:cs="宋体"/>
          <w:sz w:val="24"/>
          <w:szCs w:val="24"/>
        </w:rPr>
      </w:pPr>
      <w:r>
        <w:rPr>
          <w:rFonts w:ascii="宋体" w:hAnsi="宋体" w:eastAsia="宋体" w:cs="宋体"/>
          <w:spacing w:val="2"/>
          <w:sz w:val="24"/>
          <w:szCs w:val="24"/>
        </w:rPr>
        <w:t>根据《建设项目环境风险评价技术导则》（</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169-2018</w:t>
      </w:r>
      <w:r>
        <w:rPr>
          <w:rFonts w:ascii="宋体" w:hAnsi="宋体" w:eastAsia="宋体" w:cs="宋体"/>
          <w:spacing w:val="12"/>
          <w:sz w:val="24"/>
          <w:szCs w:val="24"/>
        </w:rPr>
        <w:t>），</w:t>
      </w:r>
      <w:r>
        <w:rPr>
          <w:rFonts w:ascii="宋体" w:hAnsi="宋体" w:eastAsia="宋体" w:cs="宋体"/>
          <w:spacing w:val="2"/>
          <w:sz w:val="24"/>
          <w:szCs w:val="24"/>
        </w:rPr>
        <w:t>环境风险评价等级</w:t>
      </w:r>
      <w:r>
        <w:rPr>
          <w:rFonts w:ascii="宋体" w:hAnsi="宋体" w:eastAsia="宋体" w:cs="宋体"/>
          <w:sz w:val="24"/>
          <w:szCs w:val="24"/>
        </w:rPr>
        <w:t xml:space="preserve"> </w:t>
      </w:r>
      <w:r>
        <w:rPr>
          <w:rFonts w:ascii="宋体" w:hAnsi="宋体" w:eastAsia="宋体" w:cs="宋体"/>
          <w:spacing w:val="2"/>
          <w:sz w:val="24"/>
          <w:szCs w:val="24"/>
        </w:rPr>
        <w:t>工作划分为一级、二级、三级。根据建设项目涉及的物质及工艺系统危险性和所在</w:t>
      </w:r>
      <w:r>
        <w:rPr>
          <w:rFonts w:ascii="宋体" w:hAnsi="宋体" w:eastAsia="宋体" w:cs="宋体"/>
          <w:spacing w:val="6"/>
          <w:sz w:val="24"/>
          <w:szCs w:val="24"/>
        </w:rPr>
        <w:t xml:space="preserve"> </w:t>
      </w:r>
      <w:r>
        <w:rPr>
          <w:rFonts w:ascii="宋体" w:hAnsi="宋体" w:eastAsia="宋体" w:cs="宋体"/>
          <w:spacing w:val="-1"/>
          <w:sz w:val="24"/>
          <w:szCs w:val="24"/>
        </w:rPr>
        <w:t>地的环境敏感性确定环境风险潜势，按下表确定工作等级。</w:t>
      </w:r>
    </w:p>
    <w:p w14:paraId="028DC50F">
      <w:pPr>
        <w:spacing w:before="37" w:line="228" w:lineRule="auto"/>
        <w:ind w:left="3452"/>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3"/>
          <w:sz w:val="20"/>
          <w:szCs w:val="20"/>
        </w:rPr>
        <w:t xml:space="preserve"> </w:t>
      </w:r>
      <w:r>
        <w:rPr>
          <w:rFonts w:ascii="Times New Roman" w:hAnsi="Times New Roman" w:eastAsia="Times New Roman" w:cs="Times New Roman"/>
          <w:b/>
          <w:bCs/>
          <w:spacing w:val="5"/>
          <w:sz w:val="20"/>
          <w:szCs w:val="20"/>
        </w:rPr>
        <w:t xml:space="preserve">2.4-8  </w:t>
      </w:r>
      <w:r>
        <w:rPr>
          <w:rFonts w:ascii="宋体" w:hAnsi="宋体" w:eastAsia="宋体" w:cs="宋体"/>
          <w:b/>
          <w:bCs/>
          <w:spacing w:val="5"/>
          <w:sz w:val="20"/>
          <w:szCs w:val="20"/>
        </w:rPr>
        <w:t>评级工作等级划分</w:t>
      </w:r>
    </w:p>
    <w:p w14:paraId="4B38D690">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3"/>
        <w:gridCol w:w="1788"/>
        <w:gridCol w:w="1788"/>
        <w:gridCol w:w="1788"/>
        <w:gridCol w:w="1793"/>
      </w:tblGrid>
      <w:tr w14:paraId="0EE55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793" w:type="dxa"/>
            <w:vAlign w:val="top"/>
          </w:tcPr>
          <w:p w14:paraId="38AFE749">
            <w:pPr>
              <w:pStyle w:val="6"/>
              <w:spacing w:before="63" w:line="228" w:lineRule="auto"/>
              <w:ind w:left="272"/>
            </w:pPr>
            <w:r>
              <w:rPr>
                <w:spacing w:val="8"/>
              </w:rPr>
              <w:t>环境风险潜势</w:t>
            </w:r>
          </w:p>
        </w:tc>
        <w:tc>
          <w:tcPr>
            <w:tcW w:w="1788" w:type="dxa"/>
            <w:vAlign w:val="top"/>
          </w:tcPr>
          <w:p w14:paraId="0F70BF21">
            <w:pPr>
              <w:pStyle w:val="6"/>
              <w:spacing w:before="62" w:line="241" w:lineRule="auto"/>
              <w:ind w:left="554"/>
              <w:rPr>
                <w:rFonts w:ascii="Times New Roman" w:hAnsi="Times New Roman" w:eastAsia="Times New Roman" w:cs="Times New Roman"/>
                <w:sz w:val="13"/>
                <w:szCs w:val="13"/>
              </w:rPr>
            </w:pPr>
            <w:r>
              <w:rPr>
                <w:spacing w:val="-8"/>
              </w:rPr>
              <w:t>Ⅳ</w:t>
            </w:r>
            <w:r>
              <w:rPr>
                <w:spacing w:val="-78"/>
              </w:rPr>
              <w:t xml:space="preserve"> </w:t>
            </w:r>
            <w:r>
              <w:rPr>
                <w:spacing w:val="-8"/>
              </w:rPr>
              <w:t>、</w:t>
            </w:r>
            <w:r>
              <w:rPr>
                <w:spacing w:val="-75"/>
              </w:rPr>
              <w:t xml:space="preserve"> </w:t>
            </w:r>
            <w:r>
              <w:rPr>
                <w:spacing w:val="-8"/>
              </w:rPr>
              <w:t>Ⅳ</w:t>
            </w:r>
            <w:r>
              <w:rPr>
                <w:rFonts w:ascii="Times New Roman" w:hAnsi="Times New Roman" w:eastAsia="Times New Roman" w:cs="Times New Roman"/>
                <w:spacing w:val="-8"/>
                <w:position w:val="6"/>
                <w:sz w:val="13"/>
                <w:szCs w:val="13"/>
              </w:rPr>
              <w:t>+</w:t>
            </w:r>
          </w:p>
        </w:tc>
        <w:tc>
          <w:tcPr>
            <w:tcW w:w="1788" w:type="dxa"/>
            <w:vAlign w:val="top"/>
          </w:tcPr>
          <w:p w14:paraId="248CB1B6">
            <w:pPr>
              <w:pStyle w:val="6"/>
              <w:spacing w:before="62" w:line="241" w:lineRule="auto"/>
              <w:ind w:left="794"/>
            </w:pPr>
            <w:r>
              <w:rPr>
                <w:spacing w:val="1"/>
              </w:rPr>
              <w:t>Ⅲ</w:t>
            </w:r>
          </w:p>
        </w:tc>
        <w:tc>
          <w:tcPr>
            <w:tcW w:w="1788" w:type="dxa"/>
            <w:vAlign w:val="top"/>
          </w:tcPr>
          <w:p w14:paraId="02F4EC5C">
            <w:pPr>
              <w:pStyle w:val="6"/>
              <w:spacing w:before="62" w:line="241" w:lineRule="auto"/>
              <w:ind w:left="831"/>
            </w:pPr>
            <w:r>
              <w:t>Ⅱ</w:t>
            </w:r>
          </w:p>
        </w:tc>
        <w:tc>
          <w:tcPr>
            <w:tcW w:w="1793" w:type="dxa"/>
            <w:vAlign w:val="top"/>
          </w:tcPr>
          <w:p w14:paraId="32B44DAC">
            <w:pPr>
              <w:pStyle w:val="6"/>
              <w:spacing w:before="62" w:line="241" w:lineRule="auto"/>
              <w:ind w:left="863"/>
            </w:pPr>
            <w:r>
              <w:t>Ⅰ</w:t>
            </w:r>
          </w:p>
        </w:tc>
      </w:tr>
      <w:tr w14:paraId="16647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793" w:type="dxa"/>
            <w:vAlign w:val="top"/>
          </w:tcPr>
          <w:p w14:paraId="53AAA53B">
            <w:pPr>
              <w:pStyle w:val="6"/>
              <w:spacing w:before="60" w:line="227" w:lineRule="auto"/>
              <w:ind w:left="271"/>
            </w:pPr>
            <w:r>
              <w:rPr>
                <w:spacing w:val="8"/>
              </w:rPr>
              <w:t>评价工作等级</w:t>
            </w:r>
          </w:p>
        </w:tc>
        <w:tc>
          <w:tcPr>
            <w:tcW w:w="1788" w:type="dxa"/>
            <w:vAlign w:val="top"/>
          </w:tcPr>
          <w:p w14:paraId="1DB6563E">
            <w:pPr>
              <w:pStyle w:val="6"/>
              <w:spacing w:before="138" w:line="156" w:lineRule="exact"/>
              <w:ind w:left="796"/>
            </w:pPr>
            <w:r>
              <w:rPr>
                <w:position w:val="-4"/>
              </w:rPr>
              <w:t>一</w:t>
            </w:r>
          </w:p>
        </w:tc>
        <w:tc>
          <w:tcPr>
            <w:tcW w:w="1788" w:type="dxa"/>
            <w:vAlign w:val="top"/>
          </w:tcPr>
          <w:p w14:paraId="2C85E04C">
            <w:pPr>
              <w:pStyle w:val="6"/>
              <w:spacing w:before="99" w:line="183" w:lineRule="auto"/>
              <w:ind w:left="799"/>
            </w:pPr>
            <w:r>
              <w:t>二</w:t>
            </w:r>
          </w:p>
        </w:tc>
        <w:tc>
          <w:tcPr>
            <w:tcW w:w="1788" w:type="dxa"/>
            <w:vAlign w:val="top"/>
          </w:tcPr>
          <w:p w14:paraId="67FCC9B1">
            <w:pPr>
              <w:pStyle w:val="6"/>
              <w:spacing w:before="60"/>
              <w:ind w:left="795"/>
            </w:pPr>
            <w:r>
              <w:t>三</w:t>
            </w:r>
          </w:p>
        </w:tc>
        <w:tc>
          <w:tcPr>
            <w:tcW w:w="1793" w:type="dxa"/>
            <w:vAlign w:val="top"/>
          </w:tcPr>
          <w:p w14:paraId="1B4AD493">
            <w:pPr>
              <w:pStyle w:val="6"/>
              <w:spacing w:before="59" w:line="228" w:lineRule="auto"/>
              <w:ind w:left="456"/>
              <w:rPr>
                <w:rFonts w:ascii="Times New Roman" w:hAnsi="Times New Roman" w:eastAsia="Times New Roman" w:cs="Times New Roman"/>
                <w:sz w:val="13"/>
                <w:szCs w:val="13"/>
              </w:rPr>
            </w:pPr>
            <w:r>
              <w:rPr>
                <w:spacing w:val="6"/>
              </w:rPr>
              <w:t>简单分析</w:t>
            </w:r>
            <w:r>
              <w:rPr>
                <w:rFonts w:ascii="Times New Roman" w:hAnsi="Times New Roman" w:eastAsia="Times New Roman" w:cs="Times New Roman"/>
                <w:spacing w:val="6"/>
                <w:sz w:val="13"/>
                <w:szCs w:val="13"/>
              </w:rPr>
              <w:t>a</w:t>
            </w:r>
          </w:p>
        </w:tc>
      </w:tr>
      <w:tr w14:paraId="27B02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8950" w:type="dxa"/>
            <w:gridSpan w:val="5"/>
            <w:vAlign w:val="top"/>
          </w:tcPr>
          <w:p w14:paraId="47AA1568">
            <w:pPr>
              <w:pStyle w:val="6"/>
              <w:spacing w:before="61" w:line="227" w:lineRule="auto"/>
              <w:ind w:left="110"/>
            </w:pPr>
            <w:r>
              <w:rPr>
                <w:rFonts w:ascii="Times New Roman" w:hAnsi="Times New Roman" w:eastAsia="Times New Roman" w:cs="Times New Roman"/>
                <w:spacing w:val="9"/>
              </w:rPr>
              <w:t>A</w:t>
            </w:r>
            <w:r>
              <w:rPr>
                <w:spacing w:val="9"/>
              </w:rPr>
              <w:t>是相对于详细评价工作内容而言，在描述危险物质、环境影响途径、环境危害后果、风险防范</w:t>
            </w:r>
          </w:p>
          <w:p w14:paraId="256823BA">
            <w:pPr>
              <w:pStyle w:val="6"/>
              <w:spacing w:before="80" w:line="228" w:lineRule="auto"/>
              <w:ind w:left="2725"/>
              <w:rPr>
                <w:rFonts w:ascii="Times New Roman" w:hAnsi="Times New Roman" w:eastAsia="Times New Roman" w:cs="Times New Roman"/>
              </w:rPr>
            </w:pPr>
            <w:r>
              <w:rPr>
                <w:spacing w:val="9"/>
              </w:rPr>
              <w:t>措施等方面给出定性的说明。见附录</w:t>
            </w:r>
            <w:r>
              <w:rPr>
                <w:rFonts w:ascii="Times New Roman" w:hAnsi="Times New Roman" w:eastAsia="Times New Roman" w:cs="Times New Roman"/>
                <w:spacing w:val="9"/>
              </w:rPr>
              <w:t>A</w:t>
            </w:r>
          </w:p>
        </w:tc>
      </w:tr>
    </w:tbl>
    <w:p w14:paraId="6912F7DE">
      <w:pPr>
        <w:spacing w:before="127" w:line="219" w:lineRule="auto"/>
        <w:ind w:left="603"/>
        <w:rPr>
          <w:rFonts w:ascii="宋体" w:hAnsi="宋体" w:eastAsia="宋体" w:cs="宋体"/>
          <w:sz w:val="24"/>
          <w:szCs w:val="24"/>
        </w:rPr>
      </w:pPr>
      <w:r>
        <w:rPr>
          <w:rFonts w:ascii="宋体" w:hAnsi="宋体" w:eastAsia="宋体" w:cs="宋体"/>
          <w:spacing w:val="-2"/>
          <w:sz w:val="24"/>
          <w:szCs w:val="24"/>
        </w:rPr>
        <w:t>本项目为简单分析。</w:t>
      </w:r>
    </w:p>
    <w:p w14:paraId="093FF342">
      <w:pPr>
        <w:spacing w:before="201" w:line="222"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2.4.8</w:t>
      </w:r>
      <w:r>
        <w:rPr>
          <w:rFonts w:ascii="宋体" w:hAnsi="宋体" w:eastAsia="宋体" w:cs="宋体"/>
          <w:b/>
          <w:bCs/>
          <w:spacing w:val="-2"/>
          <w:sz w:val="24"/>
          <w:szCs w:val="24"/>
        </w:rPr>
        <w:t>小结</w:t>
      </w:r>
    </w:p>
    <w:p w14:paraId="01DA034A">
      <w:pPr>
        <w:spacing w:before="201" w:line="379" w:lineRule="auto"/>
        <w:ind w:left="122" w:right="113" w:firstLine="480"/>
        <w:rPr>
          <w:rFonts w:ascii="宋体" w:hAnsi="宋体" w:eastAsia="宋体" w:cs="宋体"/>
          <w:sz w:val="24"/>
          <w:szCs w:val="24"/>
        </w:rPr>
      </w:pPr>
      <w:r>
        <w:rPr>
          <w:rFonts w:ascii="宋体" w:hAnsi="宋体" w:eastAsia="宋体" w:cs="宋体"/>
          <w:spacing w:val="2"/>
          <w:sz w:val="24"/>
          <w:szCs w:val="24"/>
        </w:rPr>
        <w:t>根据上述各环境要素评级工作等级确定依据与实际情况，各环境要素评价等级</w:t>
      </w:r>
      <w:r>
        <w:rPr>
          <w:rFonts w:ascii="宋体" w:hAnsi="宋体" w:eastAsia="宋体" w:cs="宋体"/>
          <w:spacing w:val="10"/>
          <w:sz w:val="24"/>
          <w:szCs w:val="24"/>
        </w:rPr>
        <w:t xml:space="preserve"> </w:t>
      </w:r>
      <w:r>
        <w:rPr>
          <w:rFonts w:ascii="宋体" w:hAnsi="宋体" w:eastAsia="宋体" w:cs="宋体"/>
          <w:spacing w:val="-2"/>
          <w:sz w:val="24"/>
          <w:szCs w:val="24"/>
        </w:rPr>
        <w:t>汇总见下表。</w:t>
      </w:r>
    </w:p>
    <w:p w14:paraId="39255CE3">
      <w:pPr>
        <w:spacing w:line="379" w:lineRule="auto"/>
        <w:rPr>
          <w:rFonts w:ascii="宋体" w:hAnsi="宋体" w:eastAsia="宋体" w:cs="宋体"/>
          <w:sz w:val="24"/>
          <w:szCs w:val="24"/>
        </w:rPr>
        <w:sectPr>
          <w:footerReference r:id="rId45" w:type="default"/>
          <w:pgSz w:w="11906" w:h="16839"/>
          <w:pgMar w:top="1431" w:right="1475" w:bottom="1485" w:left="1475" w:header="0" w:footer="1249" w:gutter="0"/>
          <w:cols w:space="720" w:num="1"/>
        </w:sectPr>
      </w:pPr>
    </w:p>
    <w:p w14:paraId="1091C681">
      <w:pPr>
        <w:spacing w:before="125" w:line="227" w:lineRule="auto"/>
        <w:ind w:left="3095"/>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6"/>
          <w:sz w:val="20"/>
          <w:szCs w:val="20"/>
        </w:rPr>
        <w:t xml:space="preserve"> </w:t>
      </w:r>
      <w:r>
        <w:rPr>
          <w:rFonts w:ascii="Times New Roman" w:hAnsi="Times New Roman" w:eastAsia="Times New Roman" w:cs="Times New Roman"/>
          <w:b/>
          <w:bCs/>
          <w:spacing w:val="6"/>
          <w:sz w:val="20"/>
          <w:szCs w:val="20"/>
        </w:rPr>
        <w:t xml:space="preserve">2.4-9 </w:t>
      </w:r>
      <w:r>
        <w:rPr>
          <w:rFonts w:ascii="宋体" w:hAnsi="宋体" w:eastAsia="宋体" w:cs="宋体"/>
          <w:b/>
          <w:bCs/>
          <w:spacing w:val="6"/>
          <w:sz w:val="20"/>
          <w:szCs w:val="20"/>
        </w:rPr>
        <w:t>评价工作等级及依据汇总表</w:t>
      </w:r>
    </w:p>
    <w:p w14:paraId="57F04CA0">
      <w:pPr>
        <w:spacing w:before="48"/>
      </w:pPr>
    </w:p>
    <w:p w14:paraId="5F5DB15D">
      <w:pPr>
        <w:spacing w:before="47"/>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9"/>
        <w:gridCol w:w="1276"/>
        <w:gridCol w:w="6285"/>
      </w:tblGrid>
      <w:tr w14:paraId="06D31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389" w:type="dxa"/>
            <w:vAlign w:val="top"/>
          </w:tcPr>
          <w:p w14:paraId="39F0CB91">
            <w:pPr>
              <w:pStyle w:val="6"/>
              <w:spacing w:before="63" w:line="227" w:lineRule="auto"/>
              <w:ind w:left="280"/>
            </w:pPr>
            <w:r>
              <w:rPr>
                <w:b/>
                <w:bCs/>
                <w:spacing w:val="6"/>
              </w:rPr>
              <w:t>评价内容</w:t>
            </w:r>
          </w:p>
        </w:tc>
        <w:tc>
          <w:tcPr>
            <w:tcW w:w="1276" w:type="dxa"/>
            <w:vAlign w:val="top"/>
          </w:tcPr>
          <w:p w14:paraId="4D98C6FD">
            <w:pPr>
              <w:pStyle w:val="6"/>
              <w:spacing w:before="63" w:line="228" w:lineRule="auto"/>
              <w:ind w:left="224"/>
            </w:pPr>
            <w:r>
              <w:rPr>
                <w:b/>
                <w:bCs/>
                <w:spacing w:val="5"/>
              </w:rPr>
              <w:t>工作等级</w:t>
            </w:r>
          </w:p>
        </w:tc>
        <w:tc>
          <w:tcPr>
            <w:tcW w:w="6285" w:type="dxa"/>
            <w:vAlign w:val="top"/>
          </w:tcPr>
          <w:p w14:paraId="454ECE85">
            <w:pPr>
              <w:pStyle w:val="6"/>
              <w:spacing w:before="63" w:line="228" w:lineRule="auto"/>
              <w:ind w:left="2727"/>
            </w:pPr>
            <w:r>
              <w:rPr>
                <w:b/>
                <w:bCs/>
                <w:spacing w:val="6"/>
              </w:rPr>
              <w:t>确定依据</w:t>
            </w:r>
          </w:p>
        </w:tc>
      </w:tr>
      <w:tr w14:paraId="37DAE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89" w:type="dxa"/>
            <w:vAlign w:val="top"/>
          </w:tcPr>
          <w:p w14:paraId="5830B916">
            <w:pPr>
              <w:pStyle w:val="6"/>
              <w:spacing w:before="59" w:line="228" w:lineRule="auto"/>
              <w:ind w:left="175"/>
            </w:pPr>
            <w:r>
              <w:rPr>
                <w:spacing w:val="8"/>
              </w:rPr>
              <w:t>地表水环境</w:t>
            </w:r>
          </w:p>
        </w:tc>
        <w:tc>
          <w:tcPr>
            <w:tcW w:w="1276" w:type="dxa"/>
            <w:vAlign w:val="top"/>
          </w:tcPr>
          <w:p w14:paraId="6051E147">
            <w:pPr>
              <w:pStyle w:val="6"/>
              <w:spacing w:before="59" w:line="230" w:lineRule="auto"/>
              <w:ind w:left="330"/>
            </w:pPr>
            <w:r>
              <w:rPr>
                <w:spacing w:val="5"/>
              </w:rPr>
              <w:t>不开展</w:t>
            </w:r>
          </w:p>
        </w:tc>
        <w:tc>
          <w:tcPr>
            <w:tcW w:w="6285" w:type="dxa"/>
            <w:vAlign w:val="top"/>
          </w:tcPr>
          <w:p w14:paraId="53F38C5A">
            <w:pPr>
              <w:pStyle w:val="6"/>
              <w:spacing w:before="59" w:line="228" w:lineRule="auto"/>
              <w:ind w:left="2311"/>
            </w:pPr>
            <w:r>
              <w:rPr>
                <w:spacing w:val="8"/>
              </w:rPr>
              <w:t>项目没有废水外排</w:t>
            </w:r>
          </w:p>
        </w:tc>
      </w:tr>
      <w:tr w14:paraId="50DD2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89" w:type="dxa"/>
            <w:vAlign w:val="top"/>
          </w:tcPr>
          <w:p w14:paraId="00A937AA">
            <w:pPr>
              <w:pStyle w:val="6"/>
              <w:spacing w:before="59" w:line="229" w:lineRule="auto"/>
              <w:ind w:left="283"/>
            </w:pPr>
            <w:r>
              <w:rPr>
                <w:spacing w:val="6"/>
              </w:rPr>
              <w:t>大气环境</w:t>
            </w:r>
          </w:p>
        </w:tc>
        <w:tc>
          <w:tcPr>
            <w:tcW w:w="1276" w:type="dxa"/>
            <w:vAlign w:val="top"/>
          </w:tcPr>
          <w:p w14:paraId="7C190ABD">
            <w:pPr>
              <w:pStyle w:val="6"/>
              <w:spacing w:before="59" w:line="231" w:lineRule="auto"/>
              <w:ind w:left="436"/>
            </w:pPr>
            <w:r>
              <w:rPr>
                <w:spacing w:val="3"/>
              </w:rPr>
              <w:t>二级</w:t>
            </w:r>
          </w:p>
        </w:tc>
        <w:tc>
          <w:tcPr>
            <w:tcW w:w="6285" w:type="dxa"/>
            <w:vAlign w:val="top"/>
          </w:tcPr>
          <w:p w14:paraId="0D501AE4">
            <w:pPr>
              <w:pStyle w:val="6"/>
              <w:spacing w:before="28" w:line="274" w:lineRule="exact"/>
              <w:ind w:left="769"/>
              <w:rPr>
                <w:rFonts w:ascii="Times New Roman" w:hAnsi="Times New Roman" w:eastAsia="Times New Roman" w:cs="Times New Roman"/>
              </w:rPr>
            </w:pPr>
            <w:r>
              <w:rPr>
                <w:spacing w:val="6"/>
                <w:position w:val="1"/>
              </w:rPr>
              <w:t>大气污染物最大地面浓度占标率均大于</w:t>
            </w:r>
            <w:r>
              <w:rPr>
                <w:spacing w:val="-8"/>
                <w:position w:val="1"/>
              </w:rPr>
              <w:t xml:space="preserve"> </w:t>
            </w:r>
            <w:r>
              <w:rPr>
                <w:rFonts w:ascii="Times New Roman" w:hAnsi="Times New Roman" w:eastAsia="Times New Roman" w:cs="Times New Roman"/>
                <w:spacing w:val="6"/>
                <w:position w:val="1"/>
              </w:rPr>
              <w:t>1%</w:t>
            </w:r>
            <w:r>
              <w:rPr>
                <w:spacing w:val="6"/>
                <w:position w:val="1"/>
              </w:rPr>
              <w:t>小于</w:t>
            </w:r>
            <w:r>
              <w:rPr>
                <w:spacing w:val="-21"/>
                <w:position w:val="1"/>
              </w:rPr>
              <w:t xml:space="preserve"> </w:t>
            </w:r>
            <w:r>
              <w:rPr>
                <w:rFonts w:ascii="Times New Roman" w:hAnsi="Times New Roman" w:eastAsia="Times New Roman" w:cs="Times New Roman"/>
                <w:spacing w:val="6"/>
                <w:position w:val="1"/>
              </w:rPr>
              <w:t>10%</w:t>
            </w:r>
          </w:p>
        </w:tc>
      </w:tr>
      <w:tr w14:paraId="0C992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389" w:type="dxa"/>
            <w:vAlign w:val="top"/>
          </w:tcPr>
          <w:p w14:paraId="0B52694D">
            <w:pPr>
              <w:pStyle w:val="6"/>
              <w:spacing w:before="223" w:line="229" w:lineRule="auto"/>
              <w:ind w:left="388"/>
            </w:pPr>
            <w:r>
              <w:rPr>
                <w:spacing w:val="5"/>
              </w:rPr>
              <w:t>声环境</w:t>
            </w:r>
          </w:p>
        </w:tc>
        <w:tc>
          <w:tcPr>
            <w:tcW w:w="1276" w:type="dxa"/>
            <w:vAlign w:val="top"/>
          </w:tcPr>
          <w:p w14:paraId="071C0044">
            <w:pPr>
              <w:pStyle w:val="6"/>
              <w:spacing w:before="223" w:line="231" w:lineRule="auto"/>
              <w:ind w:left="436"/>
            </w:pPr>
            <w:r>
              <w:rPr>
                <w:spacing w:val="3"/>
              </w:rPr>
              <w:t>二级</w:t>
            </w:r>
          </w:p>
        </w:tc>
        <w:tc>
          <w:tcPr>
            <w:tcW w:w="6285" w:type="dxa"/>
            <w:vAlign w:val="top"/>
          </w:tcPr>
          <w:p w14:paraId="093C899C">
            <w:pPr>
              <w:pStyle w:val="6"/>
              <w:spacing w:before="29" w:line="274" w:lineRule="exact"/>
              <w:ind w:left="111"/>
            </w:pPr>
            <w:r>
              <w:rPr>
                <w:spacing w:val="8"/>
                <w:position w:val="1"/>
              </w:rPr>
              <w:t>位于声环境质量</w:t>
            </w:r>
            <w:r>
              <w:rPr>
                <w:spacing w:val="-32"/>
                <w:position w:val="1"/>
              </w:rPr>
              <w:t xml:space="preserve"> </w:t>
            </w:r>
            <w:r>
              <w:rPr>
                <w:rFonts w:ascii="Times New Roman" w:hAnsi="Times New Roman" w:eastAsia="Times New Roman" w:cs="Times New Roman"/>
                <w:spacing w:val="8"/>
                <w:position w:val="1"/>
              </w:rPr>
              <w:t xml:space="preserve">2 </w:t>
            </w:r>
            <w:r>
              <w:rPr>
                <w:spacing w:val="8"/>
                <w:position w:val="1"/>
              </w:rPr>
              <w:t>类功能区内，建设前后噪声级增加较小（噪声级</w:t>
            </w:r>
          </w:p>
          <w:p w14:paraId="4F91D609">
            <w:pPr>
              <w:pStyle w:val="6"/>
              <w:spacing w:before="52" w:line="274" w:lineRule="exact"/>
              <w:ind w:left="1442"/>
            </w:pPr>
            <w:r>
              <w:rPr>
                <w:spacing w:val="6"/>
                <w:position w:val="2"/>
              </w:rPr>
              <w:t>小于</w:t>
            </w:r>
            <w:r>
              <w:rPr>
                <w:spacing w:val="-38"/>
                <w:position w:val="2"/>
              </w:rPr>
              <w:t xml:space="preserve"> </w:t>
            </w:r>
            <w:r>
              <w:rPr>
                <w:rFonts w:ascii="Times New Roman" w:hAnsi="Times New Roman" w:eastAsia="Times New Roman" w:cs="Times New Roman"/>
                <w:spacing w:val="6"/>
                <w:position w:val="2"/>
              </w:rPr>
              <w:t>3</w:t>
            </w:r>
            <w:r>
              <w:rPr>
                <w:rFonts w:ascii="Times New Roman" w:hAnsi="Times New Roman" w:eastAsia="Times New Roman" w:cs="Times New Roman"/>
                <w:position w:val="2"/>
              </w:rPr>
              <w:t>dB</w:t>
            </w:r>
            <w:r>
              <w:rPr>
                <w:rFonts w:ascii="Times New Roman" w:hAnsi="Times New Roman" w:eastAsia="Times New Roman" w:cs="Times New Roman"/>
                <w:spacing w:val="6"/>
                <w:position w:val="2"/>
              </w:rPr>
              <w:t>(A)</w:t>
            </w:r>
            <w:r>
              <w:rPr>
                <w:spacing w:val="22"/>
                <w:position w:val="2"/>
              </w:rPr>
              <w:t>），</w:t>
            </w:r>
            <w:r>
              <w:rPr>
                <w:spacing w:val="6"/>
                <w:position w:val="2"/>
              </w:rPr>
              <w:t>受影响人口变化不大</w:t>
            </w:r>
          </w:p>
        </w:tc>
      </w:tr>
      <w:tr w14:paraId="48C03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89" w:type="dxa"/>
            <w:vAlign w:val="top"/>
          </w:tcPr>
          <w:p w14:paraId="4411D582">
            <w:pPr>
              <w:pStyle w:val="6"/>
              <w:spacing w:before="62" w:line="228" w:lineRule="auto"/>
              <w:ind w:left="384"/>
            </w:pPr>
            <w:r>
              <w:rPr>
                <w:spacing w:val="6"/>
              </w:rPr>
              <w:t>地下水</w:t>
            </w:r>
          </w:p>
        </w:tc>
        <w:tc>
          <w:tcPr>
            <w:tcW w:w="1276" w:type="dxa"/>
            <w:vAlign w:val="top"/>
          </w:tcPr>
          <w:p w14:paraId="52DA625F">
            <w:pPr>
              <w:pStyle w:val="6"/>
              <w:spacing w:before="61" w:line="231" w:lineRule="auto"/>
              <w:ind w:left="432"/>
            </w:pPr>
            <w:r>
              <w:rPr>
                <w:spacing w:val="4"/>
              </w:rPr>
              <w:t>三级</w:t>
            </w:r>
          </w:p>
        </w:tc>
        <w:tc>
          <w:tcPr>
            <w:tcW w:w="6285" w:type="dxa"/>
            <w:vAlign w:val="top"/>
          </w:tcPr>
          <w:p w14:paraId="5C0B9D31">
            <w:pPr>
              <w:pStyle w:val="6"/>
              <w:spacing w:before="62" w:line="228" w:lineRule="auto"/>
              <w:ind w:left="1784"/>
            </w:pPr>
            <w:r>
              <w:rPr>
                <w:spacing w:val="9"/>
              </w:rPr>
              <w:t>属于不敏感区的Ⅲ类建设项目</w:t>
            </w:r>
          </w:p>
        </w:tc>
      </w:tr>
      <w:tr w14:paraId="58B98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389" w:type="dxa"/>
            <w:vAlign w:val="top"/>
          </w:tcPr>
          <w:p w14:paraId="2C29D7B7">
            <w:pPr>
              <w:pStyle w:val="6"/>
              <w:spacing w:before="226" w:line="229" w:lineRule="auto"/>
              <w:ind w:left="282"/>
            </w:pPr>
            <w:r>
              <w:rPr>
                <w:spacing w:val="6"/>
              </w:rPr>
              <w:t>生态环境</w:t>
            </w:r>
          </w:p>
        </w:tc>
        <w:tc>
          <w:tcPr>
            <w:tcW w:w="1276" w:type="dxa"/>
            <w:vAlign w:val="top"/>
          </w:tcPr>
          <w:p w14:paraId="12A38895">
            <w:pPr>
              <w:pStyle w:val="6"/>
              <w:spacing w:before="225" w:line="231" w:lineRule="auto"/>
              <w:ind w:left="432"/>
            </w:pPr>
            <w:r>
              <w:rPr>
                <w:spacing w:val="4"/>
              </w:rPr>
              <w:t>三级</w:t>
            </w:r>
          </w:p>
        </w:tc>
        <w:tc>
          <w:tcPr>
            <w:tcW w:w="6285" w:type="dxa"/>
            <w:vAlign w:val="top"/>
          </w:tcPr>
          <w:p w14:paraId="4096480F">
            <w:pPr>
              <w:pStyle w:val="6"/>
              <w:spacing w:before="63" w:line="228" w:lineRule="auto"/>
              <w:ind w:left="114"/>
            </w:pPr>
            <w:r>
              <w:rPr>
                <w:spacing w:val="9"/>
              </w:rPr>
              <w:t>建设项目所在地不属于特殊生态敏感区或重要生态敏</w:t>
            </w:r>
            <w:r>
              <w:rPr>
                <w:spacing w:val="8"/>
              </w:rPr>
              <w:t>感区，项目占</w:t>
            </w:r>
          </w:p>
          <w:p w14:paraId="14739AF4">
            <w:pPr>
              <w:pStyle w:val="6"/>
              <w:spacing w:before="48" w:line="274" w:lineRule="exact"/>
              <w:ind w:left="2348"/>
              <w:rPr>
                <w:rFonts w:ascii="Times New Roman" w:hAnsi="Times New Roman" w:eastAsia="Times New Roman" w:cs="Times New Roman"/>
                <w:sz w:val="13"/>
                <w:szCs w:val="13"/>
              </w:rPr>
            </w:pPr>
            <w:r>
              <w:rPr>
                <w:spacing w:val="14"/>
                <w:position w:val="1"/>
              </w:rPr>
              <w:t>地面积小于</w:t>
            </w:r>
            <w:r>
              <w:rPr>
                <w:rFonts w:ascii="Times New Roman" w:hAnsi="Times New Roman" w:eastAsia="Times New Roman" w:cs="Times New Roman"/>
                <w:spacing w:val="14"/>
                <w:position w:val="1"/>
              </w:rPr>
              <w:t xml:space="preserve">2 </w:t>
            </w:r>
            <w:r>
              <w:rPr>
                <w:rFonts w:ascii="Times New Roman" w:hAnsi="Times New Roman" w:eastAsia="Times New Roman" w:cs="Times New Roman"/>
                <w:position w:val="1"/>
              </w:rPr>
              <w:t>km</w:t>
            </w:r>
            <w:r>
              <w:rPr>
                <w:rFonts w:ascii="Times New Roman" w:hAnsi="Times New Roman" w:eastAsia="Times New Roman" w:cs="Times New Roman"/>
                <w:spacing w:val="14"/>
                <w:position w:val="7"/>
                <w:sz w:val="13"/>
                <w:szCs w:val="13"/>
              </w:rPr>
              <w:t>2</w:t>
            </w:r>
          </w:p>
        </w:tc>
      </w:tr>
      <w:tr w14:paraId="3869E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89" w:type="dxa"/>
            <w:vAlign w:val="top"/>
          </w:tcPr>
          <w:p w14:paraId="6652D427">
            <w:pPr>
              <w:pStyle w:val="6"/>
              <w:spacing w:before="64" w:line="229" w:lineRule="auto"/>
              <w:ind w:left="281"/>
            </w:pPr>
            <w:r>
              <w:rPr>
                <w:spacing w:val="7"/>
              </w:rPr>
              <w:t>土壤环境</w:t>
            </w:r>
          </w:p>
        </w:tc>
        <w:tc>
          <w:tcPr>
            <w:tcW w:w="1276" w:type="dxa"/>
            <w:vAlign w:val="top"/>
          </w:tcPr>
          <w:p w14:paraId="6CB62BFE">
            <w:pPr>
              <w:pStyle w:val="6"/>
              <w:spacing w:before="64" w:line="230" w:lineRule="auto"/>
              <w:ind w:left="330"/>
            </w:pPr>
            <w:r>
              <w:rPr>
                <w:spacing w:val="5"/>
              </w:rPr>
              <w:t>不开展</w:t>
            </w:r>
          </w:p>
        </w:tc>
        <w:tc>
          <w:tcPr>
            <w:tcW w:w="6285" w:type="dxa"/>
            <w:vAlign w:val="top"/>
          </w:tcPr>
          <w:p w14:paraId="619ADD44">
            <w:pPr>
              <w:spacing w:before="33" w:line="274" w:lineRule="exact"/>
              <w:ind w:left="310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D893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389" w:type="dxa"/>
            <w:vAlign w:val="top"/>
          </w:tcPr>
          <w:p w14:paraId="499DA7E5">
            <w:pPr>
              <w:pStyle w:val="6"/>
              <w:spacing w:before="64" w:line="229" w:lineRule="auto"/>
              <w:ind w:left="490"/>
            </w:pPr>
            <w:r>
              <w:rPr>
                <w:spacing w:val="4"/>
              </w:rPr>
              <w:t>风险</w:t>
            </w:r>
          </w:p>
        </w:tc>
        <w:tc>
          <w:tcPr>
            <w:tcW w:w="1276" w:type="dxa"/>
            <w:vAlign w:val="top"/>
          </w:tcPr>
          <w:p w14:paraId="534D46E3">
            <w:pPr>
              <w:pStyle w:val="6"/>
              <w:spacing w:before="63" w:line="228" w:lineRule="auto"/>
              <w:ind w:left="225"/>
            </w:pPr>
            <w:r>
              <w:rPr>
                <w:spacing w:val="6"/>
              </w:rPr>
              <w:t>简单分析</w:t>
            </w:r>
          </w:p>
        </w:tc>
        <w:tc>
          <w:tcPr>
            <w:tcW w:w="6285" w:type="dxa"/>
            <w:vAlign w:val="top"/>
          </w:tcPr>
          <w:p w14:paraId="19439AAA">
            <w:pPr>
              <w:pStyle w:val="6"/>
              <w:spacing w:before="33" w:line="274" w:lineRule="exact"/>
              <w:ind w:left="2911"/>
              <w:rPr>
                <w:rFonts w:ascii="Times New Roman" w:hAnsi="Times New Roman" w:eastAsia="Times New Roman" w:cs="Times New Roman"/>
              </w:rPr>
            </w:pPr>
            <w:r>
              <w:rPr>
                <w:rFonts w:ascii="Times New Roman" w:hAnsi="Times New Roman" w:eastAsia="Times New Roman" w:cs="Times New Roman"/>
                <w:spacing w:val="5"/>
                <w:position w:val="3"/>
              </w:rPr>
              <w:t>Q</w:t>
            </w:r>
            <w:r>
              <w:rPr>
                <w:spacing w:val="5"/>
                <w:position w:val="3"/>
              </w:rPr>
              <w:t>＜</w:t>
            </w:r>
            <w:r>
              <w:rPr>
                <w:rFonts w:ascii="Times New Roman" w:hAnsi="Times New Roman" w:eastAsia="Times New Roman" w:cs="Times New Roman"/>
                <w:spacing w:val="5"/>
                <w:position w:val="3"/>
              </w:rPr>
              <w:t>1</w:t>
            </w:r>
          </w:p>
        </w:tc>
      </w:tr>
    </w:tbl>
    <w:p w14:paraId="428E1153">
      <w:pPr>
        <w:spacing w:before="289" w:line="219" w:lineRule="auto"/>
        <w:ind w:left="640"/>
        <w:rPr>
          <w:rFonts w:ascii="宋体" w:hAnsi="宋体" w:eastAsia="宋体" w:cs="宋体"/>
          <w:sz w:val="24"/>
          <w:szCs w:val="24"/>
        </w:rPr>
      </w:pPr>
      <w:r>
        <w:rPr>
          <w:rFonts w:ascii="宋体" w:hAnsi="宋体" w:eastAsia="宋体" w:cs="宋体"/>
          <w:spacing w:val="-1"/>
          <w:sz w:val="24"/>
          <w:szCs w:val="24"/>
        </w:rPr>
        <w:t>本次环境影响评价的范围汇总见下表。</w:t>
      </w:r>
    </w:p>
    <w:p w14:paraId="16A89A35">
      <w:pPr>
        <w:spacing w:before="217" w:line="227" w:lineRule="auto"/>
        <w:ind w:left="3359"/>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b/>
          <w:bCs/>
          <w:spacing w:val="5"/>
          <w:sz w:val="20"/>
          <w:szCs w:val="20"/>
        </w:rPr>
        <w:t xml:space="preserve">2.4-10 </w:t>
      </w:r>
      <w:r>
        <w:rPr>
          <w:rFonts w:ascii="宋体" w:hAnsi="宋体" w:eastAsia="宋体" w:cs="宋体"/>
          <w:b/>
          <w:bCs/>
          <w:spacing w:val="5"/>
          <w:sz w:val="20"/>
          <w:szCs w:val="20"/>
        </w:rPr>
        <w:t>评价范围汇总表</w:t>
      </w:r>
    </w:p>
    <w:p w14:paraId="0018FCA8">
      <w:pPr>
        <w:spacing w:line="104" w:lineRule="exact"/>
      </w:pPr>
    </w:p>
    <w:tbl>
      <w:tblPr>
        <w:tblStyle w:val="5"/>
        <w:tblW w:w="8950" w:type="dxa"/>
        <w:tblInd w:w="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8"/>
        <w:gridCol w:w="7562"/>
      </w:tblGrid>
      <w:tr w14:paraId="0F634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388" w:type="dxa"/>
            <w:vAlign w:val="top"/>
          </w:tcPr>
          <w:p w14:paraId="6C81F059">
            <w:pPr>
              <w:pStyle w:val="6"/>
              <w:spacing w:before="64" w:line="227" w:lineRule="auto"/>
              <w:ind w:left="279"/>
            </w:pPr>
            <w:r>
              <w:rPr>
                <w:b/>
                <w:bCs/>
                <w:spacing w:val="6"/>
              </w:rPr>
              <w:t>评价内容</w:t>
            </w:r>
          </w:p>
        </w:tc>
        <w:tc>
          <w:tcPr>
            <w:tcW w:w="7562" w:type="dxa"/>
            <w:vAlign w:val="top"/>
          </w:tcPr>
          <w:p w14:paraId="74DB4FC6">
            <w:pPr>
              <w:pStyle w:val="6"/>
              <w:spacing w:before="64" w:line="227" w:lineRule="auto"/>
              <w:ind w:left="3364"/>
            </w:pPr>
            <w:r>
              <w:rPr>
                <w:b/>
                <w:bCs/>
                <w:spacing w:val="6"/>
              </w:rPr>
              <w:t>评价范围</w:t>
            </w:r>
          </w:p>
        </w:tc>
      </w:tr>
      <w:tr w14:paraId="0B848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88" w:type="dxa"/>
            <w:vAlign w:val="top"/>
          </w:tcPr>
          <w:p w14:paraId="42748460">
            <w:pPr>
              <w:pStyle w:val="6"/>
              <w:spacing w:before="60" w:line="229" w:lineRule="auto"/>
              <w:ind w:left="282"/>
            </w:pPr>
            <w:r>
              <w:rPr>
                <w:spacing w:val="6"/>
              </w:rPr>
              <w:t>大气环境</w:t>
            </w:r>
          </w:p>
        </w:tc>
        <w:tc>
          <w:tcPr>
            <w:tcW w:w="7562" w:type="dxa"/>
            <w:vAlign w:val="top"/>
          </w:tcPr>
          <w:p w14:paraId="06374166">
            <w:pPr>
              <w:pStyle w:val="6"/>
              <w:spacing w:before="29" w:line="274" w:lineRule="exact"/>
              <w:ind w:left="2394"/>
            </w:pPr>
            <w:r>
              <w:rPr>
                <w:spacing w:val="7"/>
                <w:position w:val="1"/>
              </w:rPr>
              <w:t>项目外围边长</w:t>
            </w:r>
            <w:r>
              <w:rPr>
                <w:spacing w:val="-33"/>
                <w:position w:val="1"/>
              </w:rPr>
              <w:t xml:space="preserve"> </w:t>
            </w:r>
            <w:r>
              <w:rPr>
                <w:rFonts w:ascii="Times New Roman" w:hAnsi="Times New Roman" w:eastAsia="Times New Roman" w:cs="Times New Roman"/>
                <w:spacing w:val="7"/>
                <w:position w:val="1"/>
              </w:rPr>
              <w:t>5</w:t>
            </w:r>
            <w:r>
              <w:rPr>
                <w:rFonts w:ascii="Times New Roman" w:hAnsi="Times New Roman" w:eastAsia="Times New Roman" w:cs="Times New Roman"/>
                <w:position w:val="1"/>
              </w:rPr>
              <w:t>km</w:t>
            </w:r>
            <w:r>
              <w:rPr>
                <w:rFonts w:ascii="Times New Roman" w:hAnsi="Times New Roman" w:eastAsia="Times New Roman" w:cs="Times New Roman"/>
                <w:spacing w:val="17"/>
                <w:w w:val="101"/>
                <w:position w:val="1"/>
              </w:rPr>
              <w:t xml:space="preserve"> </w:t>
            </w:r>
            <w:r>
              <w:rPr>
                <w:spacing w:val="7"/>
                <w:position w:val="1"/>
              </w:rPr>
              <w:t>范围的区域</w:t>
            </w:r>
          </w:p>
        </w:tc>
      </w:tr>
      <w:tr w14:paraId="631BB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88" w:type="dxa"/>
            <w:vAlign w:val="top"/>
          </w:tcPr>
          <w:p w14:paraId="34DBAA94">
            <w:pPr>
              <w:pStyle w:val="6"/>
              <w:spacing w:before="61" w:line="229" w:lineRule="auto"/>
              <w:ind w:left="389"/>
            </w:pPr>
            <w:r>
              <w:rPr>
                <w:spacing w:val="5"/>
              </w:rPr>
              <w:t>声环境</w:t>
            </w:r>
          </w:p>
        </w:tc>
        <w:tc>
          <w:tcPr>
            <w:tcW w:w="7562" w:type="dxa"/>
            <w:vAlign w:val="top"/>
          </w:tcPr>
          <w:p w14:paraId="0EB4B7D2">
            <w:pPr>
              <w:pStyle w:val="6"/>
              <w:spacing w:before="30" w:line="274" w:lineRule="exact"/>
              <w:ind w:left="2656"/>
            </w:pPr>
            <w:r>
              <w:rPr>
                <w:spacing w:val="9"/>
                <w:position w:val="1"/>
              </w:rPr>
              <w:t>项目边界外</w:t>
            </w:r>
            <w:r>
              <w:rPr>
                <w:rFonts w:ascii="Times New Roman" w:hAnsi="Times New Roman" w:eastAsia="Times New Roman" w:cs="Times New Roman"/>
                <w:spacing w:val="9"/>
                <w:position w:val="1"/>
              </w:rPr>
              <w:t>200m</w:t>
            </w:r>
            <w:r>
              <w:rPr>
                <w:rFonts w:ascii="Times New Roman" w:hAnsi="Times New Roman" w:eastAsia="Times New Roman" w:cs="Times New Roman"/>
                <w:spacing w:val="37"/>
                <w:position w:val="1"/>
              </w:rPr>
              <w:t xml:space="preserve"> </w:t>
            </w:r>
            <w:r>
              <w:rPr>
                <w:spacing w:val="9"/>
                <w:position w:val="1"/>
              </w:rPr>
              <w:t>的区域</w:t>
            </w:r>
          </w:p>
        </w:tc>
      </w:tr>
      <w:tr w14:paraId="453D3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88" w:type="dxa"/>
            <w:vAlign w:val="top"/>
          </w:tcPr>
          <w:p w14:paraId="13D76DBC">
            <w:pPr>
              <w:pStyle w:val="6"/>
              <w:spacing w:before="62" w:line="228" w:lineRule="auto"/>
              <w:ind w:left="174"/>
            </w:pPr>
            <w:r>
              <w:rPr>
                <w:spacing w:val="8"/>
              </w:rPr>
              <w:t>地下水环境</w:t>
            </w:r>
          </w:p>
        </w:tc>
        <w:tc>
          <w:tcPr>
            <w:tcW w:w="7562" w:type="dxa"/>
            <w:vAlign w:val="top"/>
          </w:tcPr>
          <w:p w14:paraId="60037732">
            <w:pPr>
              <w:pStyle w:val="6"/>
              <w:spacing w:before="31" w:line="274" w:lineRule="exact"/>
              <w:ind w:left="2368"/>
            </w:pPr>
            <w:r>
              <w:rPr>
                <w:spacing w:val="5"/>
                <w:position w:val="1"/>
              </w:rPr>
              <w:t>项目边界外边长为</w:t>
            </w:r>
            <w:r>
              <w:rPr>
                <w:spacing w:val="-21"/>
                <w:position w:val="1"/>
              </w:rPr>
              <w:t xml:space="preserve"> </w:t>
            </w:r>
            <w:r>
              <w:rPr>
                <w:rFonts w:ascii="Times New Roman" w:hAnsi="Times New Roman" w:eastAsia="Times New Roman" w:cs="Times New Roman"/>
                <w:spacing w:val="5"/>
                <w:position w:val="1"/>
              </w:rPr>
              <w:t>1</w:t>
            </w:r>
            <w:r>
              <w:rPr>
                <w:rFonts w:ascii="Times New Roman" w:hAnsi="Times New Roman" w:eastAsia="Times New Roman" w:cs="Times New Roman"/>
                <w:position w:val="1"/>
              </w:rPr>
              <w:t>km</w:t>
            </w:r>
            <w:r>
              <w:rPr>
                <w:rFonts w:ascii="Times New Roman" w:hAnsi="Times New Roman" w:eastAsia="Times New Roman" w:cs="Times New Roman"/>
                <w:spacing w:val="16"/>
                <w:position w:val="1"/>
              </w:rPr>
              <w:t xml:space="preserve">  </w:t>
            </w:r>
            <w:r>
              <w:rPr>
                <w:spacing w:val="5"/>
                <w:position w:val="1"/>
              </w:rPr>
              <w:t>的区域</w:t>
            </w:r>
          </w:p>
        </w:tc>
      </w:tr>
      <w:tr w14:paraId="51868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88" w:type="dxa"/>
            <w:vAlign w:val="top"/>
          </w:tcPr>
          <w:p w14:paraId="6839774C">
            <w:pPr>
              <w:pStyle w:val="6"/>
              <w:spacing w:before="63" w:line="229" w:lineRule="auto"/>
              <w:ind w:left="281"/>
            </w:pPr>
            <w:r>
              <w:rPr>
                <w:spacing w:val="6"/>
              </w:rPr>
              <w:t>生态环境</w:t>
            </w:r>
          </w:p>
        </w:tc>
        <w:tc>
          <w:tcPr>
            <w:tcW w:w="7562" w:type="dxa"/>
            <w:vAlign w:val="top"/>
          </w:tcPr>
          <w:p w14:paraId="41E8FBBA">
            <w:pPr>
              <w:pStyle w:val="6"/>
              <w:spacing w:before="63" w:line="228" w:lineRule="auto"/>
              <w:ind w:left="3052"/>
            </w:pPr>
            <w:r>
              <w:rPr>
                <w:spacing w:val="8"/>
              </w:rPr>
              <w:t>项目用地范围内</w:t>
            </w:r>
          </w:p>
        </w:tc>
      </w:tr>
      <w:tr w14:paraId="4E30D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388" w:type="dxa"/>
            <w:vAlign w:val="top"/>
          </w:tcPr>
          <w:p w14:paraId="426F57EE">
            <w:pPr>
              <w:pStyle w:val="6"/>
              <w:spacing w:before="64" w:line="229" w:lineRule="auto"/>
              <w:ind w:left="489"/>
            </w:pPr>
            <w:r>
              <w:rPr>
                <w:spacing w:val="4"/>
              </w:rPr>
              <w:t>风险</w:t>
            </w:r>
          </w:p>
        </w:tc>
        <w:tc>
          <w:tcPr>
            <w:tcW w:w="7562" w:type="dxa"/>
            <w:vAlign w:val="top"/>
          </w:tcPr>
          <w:p w14:paraId="780005BB">
            <w:pPr>
              <w:spacing w:before="33" w:line="274" w:lineRule="exact"/>
              <w:ind w:left="374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0CB88671">
      <w:pPr>
        <w:pStyle w:val="2"/>
      </w:pPr>
    </w:p>
    <w:p w14:paraId="1B853F7A">
      <w:pPr>
        <w:sectPr>
          <w:footerReference r:id="rId46" w:type="default"/>
          <w:pgSz w:w="11906" w:h="16839"/>
          <w:pgMar w:top="1431" w:right="1475" w:bottom="1485" w:left="1438" w:header="0" w:footer="1249" w:gutter="0"/>
          <w:cols w:space="720" w:num="1"/>
        </w:sectPr>
      </w:pPr>
    </w:p>
    <w:p w14:paraId="2FD94FE1">
      <w:pPr>
        <w:pStyle w:val="2"/>
        <w:spacing w:line="312" w:lineRule="auto"/>
      </w:pPr>
    </w:p>
    <w:p w14:paraId="7C662BD1">
      <w:pPr>
        <w:spacing w:before="101" w:line="224" w:lineRule="auto"/>
        <w:ind w:left="121"/>
        <w:outlineLvl w:val="1"/>
        <w:rPr>
          <w:rFonts w:ascii="宋体" w:hAnsi="宋体" w:eastAsia="宋体" w:cs="宋体"/>
          <w:sz w:val="31"/>
          <w:szCs w:val="31"/>
        </w:rPr>
      </w:pPr>
      <w:bookmarkStart w:id="14" w:name="bookmark13"/>
      <w:bookmarkEnd w:id="14"/>
      <w:r>
        <w:rPr>
          <w:rFonts w:ascii="Times New Roman" w:hAnsi="Times New Roman" w:eastAsia="Times New Roman" w:cs="Times New Roman"/>
          <w:b/>
          <w:bCs/>
          <w:spacing w:val="4"/>
          <w:sz w:val="31"/>
          <w:szCs w:val="31"/>
        </w:rPr>
        <w:t>2.5</w:t>
      </w:r>
      <w:r>
        <w:rPr>
          <w:rFonts w:ascii="宋体" w:hAnsi="宋体" w:eastAsia="宋体" w:cs="宋体"/>
          <w:b/>
          <w:bCs/>
          <w:spacing w:val="4"/>
          <w:sz w:val="31"/>
          <w:szCs w:val="31"/>
        </w:rPr>
        <w:t>评价标准</w:t>
      </w:r>
    </w:p>
    <w:p w14:paraId="536C9299">
      <w:pPr>
        <w:pStyle w:val="2"/>
        <w:spacing w:line="412" w:lineRule="auto"/>
      </w:pPr>
    </w:p>
    <w:p w14:paraId="067BA2F0">
      <w:pPr>
        <w:spacing w:before="78" w:line="221"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2.5.1</w:t>
      </w:r>
      <w:r>
        <w:rPr>
          <w:rFonts w:ascii="宋体" w:hAnsi="宋体" w:eastAsia="宋体" w:cs="宋体"/>
          <w:b/>
          <w:bCs/>
          <w:spacing w:val="-2"/>
          <w:sz w:val="24"/>
          <w:szCs w:val="24"/>
        </w:rPr>
        <w:t>环境质量标准</w:t>
      </w:r>
    </w:p>
    <w:p w14:paraId="20346D67">
      <w:pPr>
        <w:spacing w:before="200" w:line="219" w:lineRule="auto"/>
        <w:ind w:left="602"/>
        <w:rPr>
          <w:rFonts w:ascii="宋体" w:hAnsi="宋体" w:eastAsia="宋体" w:cs="宋体"/>
          <w:sz w:val="24"/>
          <w:szCs w:val="24"/>
        </w:rPr>
      </w:pPr>
      <w:r>
        <w:rPr>
          <w:rFonts w:ascii="宋体" w:hAnsi="宋体" w:eastAsia="宋体" w:cs="宋体"/>
          <w:sz w:val="24"/>
          <w:szCs w:val="24"/>
        </w:rPr>
        <w:t>根据项目所在区域环境功能区划，确定本项</w:t>
      </w:r>
      <w:r>
        <w:rPr>
          <w:rFonts w:ascii="宋体" w:hAnsi="宋体" w:eastAsia="宋体" w:cs="宋体"/>
          <w:spacing w:val="-1"/>
          <w:sz w:val="24"/>
          <w:szCs w:val="24"/>
        </w:rPr>
        <w:t>目的环境质量标准如下：</w:t>
      </w:r>
    </w:p>
    <w:p w14:paraId="69AF4775">
      <w:pPr>
        <w:pStyle w:val="2"/>
        <w:spacing w:line="252" w:lineRule="auto"/>
      </w:pPr>
    </w:p>
    <w:p w14:paraId="10E97462">
      <w:pPr>
        <w:spacing w:before="78" w:line="362" w:lineRule="exact"/>
        <w:ind w:left="621"/>
        <w:rPr>
          <w:rFonts w:ascii="宋体" w:hAnsi="宋体" w:eastAsia="宋体" w:cs="宋体"/>
          <w:sz w:val="24"/>
          <w:szCs w:val="24"/>
        </w:rPr>
      </w:pPr>
      <w:r>
        <w:rPr>
          <w:rFonts w:ascii="Times New Roman" w:hAnsi="Times New Roman" w:eastAsia="Times New Roman" w:cs="Times New Roman"/>
          <w:spacing w:val="-6"/>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6"/>
          <w:position w:val="2"/>
          <w:sz w:val="24"/>
          <w:szCs w:val="24"/>
        </w:rPr>
        <w:t>、环境空气质量标准</w:t>
      </w:r>
    </w:p>
    <w:p w14:paraId="4ABC9FD8">
      <w:pPr>
        <w:spacing w:before="127" w:line="375" w:lineRule="auto"/>
        <w:ind w:left="122" w:right="11" w:firstLine="481"/>
        <w:rPr>
          <w:rFonts w:ascii="宋体" w:hAnsi="宋体" w:eastAsia="宋体" w:cs="宋体"/>
          <w:sz w:val="24"/>
          <w:szCs w:val="24"/>
        </w:rPr>
      </w:pPr>
      <w:r>
        <w:rPr>
          <w:rFonts w:ascii="宋体" w:hAnsi="宋体" w:eastAsia="宋体" w:cs="宋体"/>
          <w:spacing w:val="-6"/>
          <w:sz w:val="24"/>
          <w:szCs w:val="24"/>
        </w:rPr>
        <w:t>本项目环境空气质量指标中基本因子执行《环境空气质量标准》（</w:t>
      </w:r>
      <w:r>
        <w:rPr>
          <w:rFonts w:ascii="Times New Roman" w:hAnsi="Times New Roman" w:eastAsia="Times New Roman" w:cs="Times New Roman"/>
          <w:spacing w:val="-6"/>
          <w:sz w:val="24"/>
          <w:szCs w:val="24"/>
        </w:rPr>
        <w:t>GB3095-2012</w:t>
      </w:r>
      <w:r>
        <w:rPr>
          <w:rFonts w:ascii="宋体" w:hAnsi="宋体" w:eastAsia="宋体" w:cs="宋体"/>
          <w:spacing w:val="-6"/>
          <w:sz w:val="24"/>
          <w:szCs w:val="24"/>
        </w:rPr>
        <w:t>）</w:t>
      </w:r>
      <w:r>
        <w:rPr>
          <w:rFonts w:ascii="宋体" w:hAnsi="宋体" w:eastAsia="宋体" w:cs="宋体"/>
          <w:spacing w:val="11"/>
          <w:sz w:val="24"/>
          <w:szCs w:val="24"/>
        </w:rPr>
        <w:t xml:space="preserve"> </w:t>
      </w:r>
      <w:r>
        <w:rPr>
          <w:rFonts w:ascii="宋体" w:hAnsi="宋体" w:eastAsia="宋体" w:cs="宋体"/>
          <w:spacing w:val="-1"/>
          <w:sz w:val="24"/>
          <w:szCs w:val="24"/>
        </w:rPr>
        <w:t>及其</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2018 </w:t>
      </w:r>
      <w:r>
        <w:rPr>
          <w:rFonts w:ascii="宋体" w:hAnsi="宋体" w:eastAsia="宋体" w:cs="宋体"/>
          <w:spacing w:val="-1"/>
          <w:sz w:val="24"/>
          <w:szCs w:val="24"/>
        </w:rPr>
        <w:t>年修改单二级标准；大气特征污染因子硫化氢及氨执行《</w:t>
      </w:r>
      <w:r>
        <w:rPr>
          <w:rFonts w:ascii="宋体" w:hAnsi="宋体" w:eastAsia="宋体" w:cs="宋体"/>
          <w:spacing w:val="-2"/>
          <w:sz w:val="24"/>
          <w:szCs w:val="24"/>
        </w:rPr>
        <w:t>环境影响评价技</w:t>
      </w:r>
      <w:r>
        <w:rPr>
          <w:rFonts w:ascii="宋体" w:hAnsi="宋体" w:eastAsia="宋体" w:cs="宋体"/>
          <w:sz w:val="24"/>
          <w:szCs w:val="24"/>
        </w:rPr>
        <w:t xml:space="preserve">  </w:t>
      </w:r>
      <w:r>
        <w:rPr>
          <w:rFonts w:ascii="宋体" w:hAnsi="宋体" w:eastAsia="宋体" w:cs="宋体"/>
          <w:spacing w:val="2"/>
          <w:sz w:val="24"/>
          <w:szCs w:val="24"/>
        </w:rPr>
        <w:t>术导则大气环境》（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2.2-2018</w:t>
      </w:r>
      <w:r>
        <w:rPr>
          <w:rFonts w:ascii="宋体" w:hAnsi="宋体" w:eastAsia="宋体" w:cs="宋体"/>
          <w:spacing w:val="2"/>
          <w:sz w:val="24"/>
          <w:szCs w:val="24"/>
        </w:rPr>
        <w:t>）中附录</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 xml:space="preserve">D </w:t>
      </w:r>
      <w:r>
        <w:rPr>
          <w:rFonts w:ascii="宋体" w:hAnsi="宋体" w:eastAsia="宋体" w:cs="宋体"/>
          <w:spacing w:val="2"/>
          <w:sz w:val="24"/>
          <w:szCs w:val="24"/>
        </w:rPr>
        <w:t>标准限值。臭气浓度参考执行《恶臭污</w:t>
      </w:r>
      <w:r>
        <w:rPr>
          <w:rFonts w:ascii="宋体" w:hAnsi="宋体" w:eastAsia="宋体" w:cs="宋体"/>
          <w:sz w:val="24"/>
          <w:szCs w:val="24"/>
        </w:rPr>
        <w:t xml:space="preserve"> </w:t>
      </w:r>
      <w:r>
        <w:rPr>
          <w:rFonts w:ascii="宋体" w:hAnsi="宋体" w:eastAsia="宋体" w:cs="宋体"/>
          <w:spacing w:val="-1"/>
          <w:sz w:val="24"/>
          <w:szCs w:val="24"/>
        </w:rPr>
        <w:t>染物排放标准》（</w:t>
      </w:r>
      <w:r>
        <w:rPr>
          <w:rFonts w:ascii="Times New Roman" w:hAnsi="Times New Roman" w:eastAsia="Times New Roman" w:cs="Times New Roman"/>
          <w:spacing w:val="-1"/>
          <w:sz w:val="24"/>
          <w:szCs w:val="24"/>
        </w:rPr>
        <w:t>GB14554-93</w:t>
      </w:r>
      <w:r>
        <w:rPr>
          <w:rFonts w:ascii="宋体" w:hAnsi="宋体" w:eastAsia="宋体" w:cs="宋体"/>
          <w:spacing w:val="-1"/>
          <w:sz w:val="24"/>
          <w:szCs w:val="24"/>
        </w:rPr>
        <w:t>）的二级标准值</w:t>
      </w:r>
    </w:p>
    <w:p w14:paraId="65084649">
      <w:pPr>
        <w:spacing w:before="56" w:line="227" w:lineRule="auto"/>
        <w:ind w:left="284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6"/>
          <w:sz w:val="20"/>
          <w:szCs w:val="20"/>
        </w:rPr>
        <w:t xml:space="preserve">2.5-1 </w:t>
      </w:r>
      <w:r>
        <w:rPr>
          <w:rFonts w:ascii="宋体" w:hAnsi="宋体" w:eastAsia="宋体" w:cs="宋体"/>
          <w:b/>
          <w:bCs/>
          <w:spacing w:val="6"/>
          <w:sz w:val="20"/>
          <w:szCs w:val="20"/>
        </w:rPr>
        <w:t>环境空气质量评价执行标准</w:t>
      </w:r>
    </w:p>
    <w:p w14:paraId="5D3B19F3">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2125"/>
        <w:gridCol w:w="1559"/>
        <w:gridCol w:w="1133"/>
        <w:gridCol w:w="3312"/>
      </w:tblGrid>
      <w:tr w14:paraId="399D7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21" w:type="dxa"/>
            <w:vAlign w:val="top"/>
          </w:tcPr>
          <w:p w14:paraId="4D9536FA">
            <w:pPr>
              <w:pStyle w:val="6"/>
              <w:spacing w:before="99" w:line="230" w:lineRule="auto"/>
              <w:ind w:left="204"/>
            </w:pPr>
            <w:r>
              <w:rPr>
                <w:spacing w:val="5"/>
              </w:rPr>
              <w:t>序号</w:t>
            </w:r>
          </w:p>
        </w:tc>
        <w:tc>
          <w:tcPr>
            <w:tcW w:w="2125" w:type="dxa"/>
            <w:vAlign w:val="top"/>
          </w:tcPr>
          <w:p w14:paraId="179D44FD">
            <w:pPr>
              <w:pStyle w:val="6"/>
              <w:spacing w:before="99" w:line="229" w:lineRule="auto"/>
              <w:ind w:left="859"/>
            </w:pPr>
            <w:r>
              <w:rPr>
                <w:spacing w:val="3"/>
              </w:rPr>
              <w:t>项目</w:t>
            </w:r>
          </w:p>
        </w:tc>
        <w:tc>
          <w:tcPr>
            <w:tcW w:w="1559" w:type="dxa"/>
            <w:vAlign w:val="top"/>
          </w:tcPr>
          <w:p w14:paraId="51E12441">
            <w:pPr>
              <w:pStyle w:val="6"/>
              <w:spacing w:before="99" w:line="228" w:lineRule="auto"/>
              <w:ind w:left="367"/>
            </w:pPr>
            <w:r>
              <w:rPr>
                <w:spacing w:val="6"/>
              </w:rPr>
              <w:t>取值时间</w:t>
            </w:r>
          </w:p>
        </w:tc>
        <w:tc>
          <w:tcPr>
            <w:tcW w:w="1133" w:type="dxa"/>
            <w:vAlign w:val="top"/>
          </w:tcPr>
          <w:p w14:paraId="0F32E15B">
            <w:pPr>
              <w:pStyle w:val="6"/>
              <w:spacing w:before="99" w:line="228" w:lineRule="auto"/>
              <w:ind w:left="152"/>
            </w:pPr>
            <w:r>
              <w:rPr>
                <w:spacing w:val="7"/>
              </w:rPr>
              <w:t>浓度限值</w:t>
            </w:r>
          </w:p>
        </w:tc>
        <w:tc>
          <w:tcPr>
            <w:tcW w:w="3312" w:type="dxa"/>
            <w:vAlign w:val="top"/>
          </w:tcPr>
          <w:p w14:paraId="20954CBD">
            <w:pPr>
              <w:pStyle w:val="6"/>
              <w:spacing w:before="99" w:line="229" w:lineRule="auto"/>
              <w:ind w:left="1241"/>
            </w:pPr>
            <w:r>
              <w:rPr>
                <w:spacing w:val="7"/>
              </w:rPr>
              <w:t>选用标准</w:t>
            </w:r>
          </w:p>
        </w:tc>
      </w:tr>
      <w:tr w14:paraId="7028E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restart"/>
            <w:tcBorders>
              <w:bottom w:val="nil"/>
            </w:tcBorders>
            <w:vAlign w:val="top"/>
          </w:tcPr>
          <w:p w14:paraId="78D60F3D">
            <w:pPr>
              <w:spacing w:line="411" w:lineRule="auto"/>
              <w:rPr>
                <w:rFonts w:ascii="Arial"/>
                <w:sz w:val="21"/>
              </w:rPr>
            </w:pPr>
          </w:p>
          <w:p w14:paraId="0B2C508E">
            <w:pPr>
              <w:spacing w:before="57" w:line="275" w:lineRule="exact"/>
              <w:ind w:left="38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125" w:type="dxa"/>
            <w:vMerge w:val="restart"/>
            <w:tcBorders>
              <w:bottom w:val="nil"/>
            </w:tcBorders>
            <w:vAlign w:val="top"/>
          </w:tcPr>
          <w:p w14:paraId="78C60AB9">
            <w:pPr>
              <w:spacing w:line="403" w:lineRule="auto"/>
              <w:rPr>
                <w:rFonts w:ascii="Arial"/>
                <w:sz w:val="21"/>
              </w:rPr>
            </w:pPr>
          </w:p>
          <w:p w14:paraId="025EA63F">
            <w:pPr>
              <w:pStyle w:val="6"/>
              <w:spacing w:before="65" w:line="275" w:lineRule="exact"/>
              <w:ind w:left="440"/>
            </w:pPr>
            <w:r>
              <w:rPr>
                <w:rFonts w:ascii="Times New Roman" w:hAnsi="Times New Roman" w:eastAsia="Times New Roman" w:cs="Times New Roman"/>
                <w:position w:val="2"/>
              </w:rPr>
              <w:t>SO</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6"/>
                <w:sz w:val="13"/>
                <w:szCs w:val="13"/>
              </w:rPr>
              <w:t xml:space="preserve">   </w:t>
            </w:r>
            <w:r>
              <w:rPr>
                <w:spacing w:val="2"/>
                <w:position w:val="2"/>
              </w:rPr>
              <w:t>(</w:t>
            </w:r>
            <w:r>
              <w:rPr>
                <w:rFonts w:ascii="Times New Roman" w:hAnsi="Times New Roman" w:eastAsia="Times New Roman" w:cs="Times New Roman"/>
                <w:spacing w:val="2"/>
                <w:position w:val="2"/>
              </w:rPr>
              <w:t>μg/m</w:t>
            </w:r>
            <w:r>
              <w:rPr>
                <w:rFonts w:ascii="Times New Roman" w:hAnsi="Times New Roman" w:eastAsia="Times New Roman" w:cs="Times New Roman"/>
                <w:spacing w:val="2"/>
                <w:position w:val="8"/>
                <w:sz w:val="13"/>
                <w:szCs w:val="13"/>
              </w:rPr>
              <w:t>3</w:t>
            </w:r>
            <w:r>
              <w:rPr>
                <w:spacing w:val="2"/>
                <w:position w:val="2"/>
              </w:rPr>
              <w:t>）</w:t>
            </w:r>
          </w:p>
        </w:tc>
        <w:tc>
          <w:tcPr>
            <w:tcW w:w="1559" w:type="dxa"/>
            <w:vAlign w:val="top"/>
          </w:tcPr>
          <w:p w14:paraId="6D229C69">
            <w:pPr>
              <w:pStyle w:val="6"/>
              <w:spacing w:before="94" w:line="228" w:lineRule="auto"/>
              <w:ind w:left="471"/>
            </w:pPr>
            <w:r>
              <w:rPr>
                <w:spacing w:val="6"/>
              </w:rPr>
              <w:t>年平均</w:t>
            </w:r>
          </w:p>
        </w:tc>
        <w:tc>
          <w:tcPr>
            <w:tcW w:w="1133" w:type="dxa"/>
            <w:vAlign w:val="top"/>
          </w:tcPr>
          <w:p w14:paraId="51D257E9">
            <w:pPr>
              <w:spacing w:before="63" w:line="274" w:lineRule="exact"/>
              <w:ind w:left="4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3312" w:type="dxa"/>
            <w:vMerge w:val="restart"/>
            <w:tcBorders>
              <w:bottom w:val="nil"/>
            </w:tcBorders>
            <w:vAlign w:val="top"/>
          </w:tcPr>
          <w:p w14:paraId="6002AD95">
            <w:pPr>
              <w:spacing w:line="260" w:lineRule="auto"/>
              <w:rPr>
                <w:rFonts w:ascii="Arial"/>
                <w:sz w:val="21"/>
              </w:rPr>
            </w:pPr>
          </w:p>
          <w:p w14:paraId="40BAA569">
            <w:pPr>
              <w:spacing w:line="260" w:lineRule="auto"/>
              <w:rPr>
                <w:rFonts w:ascii="Arial"/>
                <w:sz w:val="21"/>
              </w:rPr>
            </w:pPr>
          </w:p>
          <w:p w14:paraId="42664850">
            <w:pPr>
              <w:spacing w:line="260" w:lineRule="auto"/>
              <w:rPr>
                <w:rFonts w:ascii="Arial"/>
                <w:sz w:val="21"/>
              </w:rPr>
            </w:pPr>
          </w:p>
          <w:p w14:paraId="39BFF4BC">
            <w:pPr>
              <w:spacing w:line="260" w:lineRule="auto"/>
              <w:rPr>
                <w:rFonts w:ascii="Arial"/>
                <w:sz w:val="21"/>
              </w:rPr>
            </w:pPr>
          </w:p>
          <w:p w14:paraId="00073508">
            <w:pPr>
              <w:spacing w:line="260" w:lineRule="auto"/>
              <w:rPr>
                <w:rFonts w:ascii="Arial"/>
                <w:sz w:val="21"/>
              </w:rPr>
            </w:pPr>
          </w:p>
          <w:p w14:paraId="0DD1DDC6">
            <w:pPr>
              <w:spacing w:line="260" w:lineRule="auto"/>
              <w:rPr>
                <w:rFonts w:ascii="Arial"/>
                <w:sz w:val="21"/>
              </w:rPr>
            </w:pPr>
          </w:p>
          <w:p w14:paraId="1CB837BB">
            <w:pPr>
              <w:spacing w:line="261" w:lineRule="auto"/>
              <w:rPr>
                <w:rFonts w:ascii="Arial"/>
                <w:sz w:val="21"/>
              </w:rPr>
            </w:pPr>
          </w:p>
          <w:p w14:paraId="2794FCBA">
            <w:pPr>
              <w:spacing w:line="261" w:lineRule="auto"/>
              <w:rPr>
                <w:rFonts w:ascii="Arial"/>
                <w:sz w:val="21"/>
              </w:rPr>
            </w:pPr>
          </w:p>
          <w:p w14:paraId="5629592D">
            <w:pPr>
              <w:spacing w:line="261" w:lineRule="auto"/>
              <w:rPr>
                <w:rFonts w:ascii="Arial"/>
                <w:sz w:val="21"/>
              </w:rPr>
            </w:pPr>
          </w:p>
          <w:p w14:paraId="13498A1C">
            <w:pPr>
              <w:spacing w:line="261" w:lineRule="auto"/>
              <w:rPr>
                <w:rFonts w:ascii="Arial"/>
                <w:sz w:val="21"/>
              </w:rPr>
            </w:pPr>
          </w:p>
          <w:p w14:paraId="4567AF62">
            <w:pPr>
              <w:spacing w:line="261" w:lineRule="auto"/>
              <w:rPr>
                <w:rFonts w:ascii="Arial"/>
                <w:sz w:val="21"/>
              </w:rPr>
            </w:pPr>
          </w:p>
          <w:p w14:paraId="4A826ADC">
            <w:pPr>
              <w:pStyle w:val="6"/>
              <w:spacing w:before="65" w:line="229" w:lineRule="auto"/>
              <w:ind w:left="366"/>
              <w:rPr>
                <w:rFonts w:ascii="Times New Roman" w:hAnsi="Times New Roman" w:eastAsia="Times New Roman" w:cs="Times New Roman"/>
              </w:rPr>
            </w:pPr>
            <w:r>
              <w:rPr>
                <w:spacing w:val="9"/>
              </w:rPr>
              <w:t>《环境空气质量标准》（</w:t>
            </w:r>
            <w:r>
              <w:rPr>
                <w:rFonts w:ascii="Times New Roman" w:hAnsi="Times New Roman" w:eastAsia="Times New Roman" w:cs="Times New Roman"/>
              </w:rPr>
              <w:t>GB</w:t>
            </w:r>
          </w:p>
          <w:p w14:paraId="39F3309C">
            <w:pPr>
              <w:pStyle w:val="6"/>
              <w:spacing w:before="47" w:line="274" w:lineRule="exact"/>
              <w:ind w:left="116"/>
            </w:pPr>
            <w:r>
              <w:rPr>
                <w:rFonts w:ascii="Times New Roman" w:hAnsi="Times New Roman" w:eastAsia="Times New Roman" w:cs="Times New Roman"/>
                <w:spacing w:val="4"/>
                <w:position w:val="1"/>
              </w:rPr>
              <w:t>3095-2012</w:t>
            </w:r>
            <w:r>
              <w:rPr>
                <w:spacing w:val="4"/>
                <w:position w:val="1"/>
              </w:rPr>
              <w:t>）及其</w:t>
            </w:r>
            <w:r>
              <w:rPr>
                <w:spacing w:val="-23"/>
                <w:position w:val="1"/>
              </w:rPr>
              <w:t xml:space="preserve"> </w:t>
            </w:r>
            <w:r>
              <w:rPr>
                <w:rFonts w:ascii="Times New Roman" w:hAnsi="Times New Roman" w:eastAsia="Times New Roman" w:cs="Times New Roman"/>
                <w:spacing w:val="4"/>
                <w:position w:val="1"/>
              </w:rPr>
              <w:t xml:space="preserve">2018 </w:t>
            </w:r>
            <w:r>
              <w:rPr>
                <w:spacing w:val="4"/>
                <w:position w:val="1"/>
              </w:rPr>
              <w:t>年修改单二</w:t>
            </w:r>
          </w:p>
          <w:p w14:paraId="6B0FDB62">
            <w:pPr>
              <w:pStyle w:val="6"/>
              <w:spacing w:before="83" w:line="229" w:lineRule="auto"/>
              <w:ind w:left="1348"/>
            </w:pPr>
            <w:r>
              <w:rPr>
                <w:spacing w:val="5"/>
              </w:rPr>
              <w:t>级标准</w:t>
            </w:r>
          </w:p>
        </w:tc>
      </w:tr>
      <w:tr w14:paraId="2FE8F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bottom w:val="nil"/>
            </w:tcBorders>
            <w:vAlign w:val="top"/>
          </w:tcPr>
          <w:p w14:paraId="7015D47E">
            <w:pPr>
              <w:rPr>
                <w:rFonts w:ascii="Arial"/>
                <w:sz w:val="21"/>
              </w:rPr>
            </w:pPr>
          </w:p>
        </w:tc>
        <w:tc>
          <w:tcPr>
            <w:tcW w:w="2125" w:type="dxa"/>
            <w:vMerge w:val="continue"/>
            <w:tcBorders>
              <w:top w:val="nil"/>
              <w:bottom w:val="nil"/>
            </w:tcBorders>
            <w:vAlign w:val="top"/>
          </w:tcPr>
          <w:p w14:paraId="6350515C">
            <w:pPr>
              <w:rPr>
                <w:rFonts w:ascii="Arial"/>
                <w:sz w:val="21"/>
              </w:rPr>
            </w:pPr>
          </w:p>
        </w:tc>
        <w:tc>
          <w:tcPr>
            <w:tcW w:w="1559" w:type="dxa"/>
            <w:vAlign w:val="top"/>
          </w:tcPr>
          <w:p w14:paraId="40409589">
            <w:pPr>
              <w:pStyle w:val="6"/>
              <w:spacing w:before="64" w:line="274" w:lineRule="exact"/>
              <w:ind w:left="229"/>
            </w:pPr>
            <w:r>
              <w:rPr>
                <w:rFonts w:ascii="Times New Roman" w:hAnsi="Times New Roman" w:eastAsia="Times New Roman" w:cs="Times New Roman"/>
                <w:spacing w:val="4"/>
                <w:position w:val="1"/>
              </w:rPr>
              <w:t>24</w:t>
            </w:r>
            <w:r>
              <w:rPr>
                <w:rFonts w:ascii="Times New Roman" w:hAnsi="Times New Roman" w:eastAsia="Times New Roman" w:cs="Times New Roman"/>
                <w:spacing w:val="20"/>
                <w:position w:val="1"/>
              </w:rPr>
              <w:t xml:space="preserve"> </w:t>
            </w:r>
            <w:r>
              <w:rPr>
                <w:spacing w:val="4"/>
                <w:position w:val="1"/>
              </w:rPr>
              <w:t>小时平均</w:t>
            </w:r>
          </w:p>
        </w:tc>
        <w:tc>
          <w:tcPr>
            <w:tcW w:w="1133" w:type="dxa"/>
            <w:vAlign w:val="top"/>
          </w:tcPr>
          <w:p w14:paraId="76F6215C">
            <w:pPr>
              <w:spacing w:before="64"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3312" w:type="dxa"/>
            <w:vMerge w:val="continue"/>
            <w:tcBorders>
              <w:top w:val="nil"/>
              <w:bottom w:val="nil"/>
            </w:tcBorders>
            <w:vAlign w:val="top"/>
          </w:tcPr>
          <w:p w14:paraId="6E832D03">
            <w:pPr>
              <w:rPr>
                <w:rFonts w:ascii="Arial"/>
                <w:sz w:val="21"/>
              </w:rPr>
            </w:pPr>
          </w:p>
        </w:tc>
      </w:tr>
      <w:tr w14:paraId="04B24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tcBorders>
            <w:vAlign w:val="top"/>
          </w:tcPr>
          <w:p w14:paraId="2FC9D726">
            <w:pPr>
              <w:rPr>
                <w:rFonts w:ascii="Arial"/>
                <w:sz w:val="21"/>
              </w:rPr>
            </w:pPr>
          </w:p>
        </w:tc>
        <w:tc>
          <w:tcPr>
            <w:tcW w:w="2125" w:type="dxa"/>
            <w:vMerge w:val="continue"/>
            <w:tcBorders>
              <w:top w:val="nil"/>
            </w:tcBorders>
            <w:vAlign w:val="top"/>
          </w:tcPr>
          <w:p w14:paraId="6546C350">
            <w:pPr>
              <w:rPr>
                <w:rFonts w:ascii="Arial"/>
                <w:sz w:val="21"/>
              </w:rPr>
            </w:pPr>
          </w:p>
        </w:tc>
        <w:tc>
          <w:tcPr>
            <w:tcW w:w="1559" w:type="dxa"/>
            <w:vAlign w:val="top"/>
          </w:tcPr>
          <w:p w14:paraId="5F9E371E">
            <w:pPr>
              <w:pStyle w:val="6"/>
              <w:spacing w:before="62" w:line="275" w:lineRule="exact"/>
              <w:ind w:left="302"/>
            </w:pPr>
            <w:r>
              <w:rPr>
                <w:rFonts w:ascii="Times New Roman" w:hAnsi="Times New Roman" w:eastAsia="Times New Roman" w:cs="Times New Roman"/>
                <w:position w:val="1"/>
              </w:rPr>
              <w:t>1</w:t>
            </w:r>
            <w:r>
              <w:rPr>
                <w:rFonts w:ascii="Times New Roman" w:hAnsi="Times New Roman" w:eastAsia="Times New Roman" w:cs="Times New Roman"/>
                <w:spacing w:val="18"/>
                <w:position w:val="1"/>
              </w:rPr>
              <w:t xml:space="preserve"> </w:t>
            </w:r>
            <w:r>
              <w:rPr>
                <w:position w:val="1"/>
              </w:rPr>
              <w:t>小时平均</w:t>
            </w:r>
          </w:p>
        </w:tc>
        <w:tc>
          <w:tcPr>
            <w:tcW w:w="1133" w:type="dxa"/>
            <w:vAlign w:val="top"/>
          </w:tcPr>
          <w:p w14:paraId="5D80DA38">
            <w:pPr>
              <w:spacing w:before="62" w:line="275"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3312" w:type="dxa"/>
            <w:vMerge w:val="continue"/>
            <w:tcBorders>
              <w:top w:val="nil"/>
              <w:bottom w:val="nil"/>
            </w:tcBorders>
            <w:vAlign w:val="top"/>
          </w:tcPr>
          <w:p w14:paraId="32B3450A">
            <w:pPr>
              <w:rPr>
                <w:rFonts w:ascii="Arial"/>
                <w:sz w:val="21"/>
              </w:rPr>
            </w:pPr>
          </w:p>
        </w:tc>
      </w:tr>
      <w:tr w14:paraId="11B62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restart"/>
            <w:tcBorders>
              <w:bottom w:val="nil"/>
            </w:tcBorders>
            <w:vAlign w:val="top"/>
          </w:tcPr>
          <w:p w14:paraId="2DB52D5E">
            <w:pPr>
              <w:spacing w:line="409" w:lineRule="auto"/>
              <w:rPr>
                <w:rFonts w:ascii="Arial"/>
                <w:sz w:val="21"/>
              </w:rPr>
            </w:pPr>
          </w:p>
          <w:p w14:paraId="06BF7987">
            <w:pPr>
              <w:spacing w:before="58" w:line="274" w:lineRule="exact"/>
              <w:ind w:left="36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125" w:type="dxa"/>
            <w:vMerge w:val="restart"/>
            <w:tcBorders>
              <w:bottom w:val="nil"/>
            </w:tcBorders>
            <w:vAlign w:val="top"/>
          </w:tcPr>
          <w:p w14:paraId="60C1254A">
            <w:pPr>
              <w:spacing w:line="402" w:lineRule="auto"/>
              <w:rPr>
                <w:rFonts w:ascii="Arial"/>
                <w:sz w:val="21"/>
              </w:rPr>
            </w:pPr>
          </w:p>
          <w:p w14:paraId="11CEB275">
            <w:pPr>
              <w:pStyle w:val="6"/>
              <w:spacing w:before="65" w:line="274" w:lineRule="exact"/>
              <w:ind w:left="408"/>
            </w:pPr>
            <w:r>
              <w:rPr>
                <w:rFonts w:ascii="Times New Roman" w:hAnsi="Times New Roman" w:eastAsia="Times New Roman" w:cs="Times New Roman"/>
                <w:position w:val="2"/>
              </w:rPr>
              <w:t>NO</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7"/>
                <w:sz w:val="13"/>
                <w:szCs w:val="13"/>
              </w:rPr>
              <w:t xml:space="preserve">   </w:t>
            </w:r>
            <w:r>
              <w:rPr>
                <w:spacing w:val="4"/>
                <w:position w:val="2"/>
              </w:rPr>
              <w:t>(</w:t>
            </w:r>
            <w:r>
              <w:rPr>
                <w:rFonts w:ascii="Times New Roman" w:hAnsi="Times New Roman" w:eastAsia="Times New Roman" w:cs="Times New Roman"/>
                <w:spacing w:val="4"/>
                <w:position w:val="2"/>
              </w:rPr>
              <w:t>μg/m</w:t>
            </w:r>
            <w:r>
              <w:rPr>
                <w:rFonts w:ascii="Times New Roman" w:hAnsi="Times New Roman" w:eastAsia="Times New Roman" w:cs="Times New Roman"/>
                <w:spacing w:val="4"/>
                <w:position w:val="8"/>
                <w:sz w:val="13"/>
                <w:szCs w:val="13"/>
              </w:rPr>
              <w:t>3</w:t>
            </w:r>
            <w:r>
              <w:rPr>
                <w:spacing w:val="4"/>
                <w:position w:val="2"/>
              </w:rPr>
              <w:t>）</w:t>
            </w:r>
          </w:p>
        </w:tc>
        <w:tc>
          <w:tcPr>
            <w:tcW w:w="1559" w:type="dxa"/>
            <w:vAlign w:val="top"/>
          </w:tcPr>
          <w:p w14:paraId="655896D7">
            <w:pPr>
              <w:pStyle w:val="6"/>
              <w:spacing w:before="95" w:line="228" w:lineRule="auto"/>
              <w:ind w:left="471"/>
            </w:pPr>
            <w:r>
              <w:rPr>
                <w:spacing w:val="6"/>
              </w:rPr>
              <w:t>年平均</w:t>
            </w:r>
          </w:p>
        </w:tc>
        <w:tc>
          <w:tcPr>
            <w:tcW w:w="1133" w:type="dxa"/>
            <w:vAlign w:val="top"/>
          </w:tcPr>
          <w:p w14:paraId="567A3298">
            <w:pPr>
              <w:spacing w:before="63" w:line="275" w:lineRule="exact"/>
              <w:ind w:left="4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3312" w:type="dxa"/>
            <w:vMerge w:val="continue"/>
            <w:tcBorders>
              <w:top w:val="nil"/>
              <w:bottom w:val="nil"/>
            </w:tcBorders>
            <w:vAlign w:val="top"/>
          </w:tcPr>
          <w:p w14:paraId="67C03169">
            <w:pPr>
              <w:rPr>
                <w:rFonts w:ascii="Arial"/>
                <w:sz w:val="21"/>
              </w:rPr>
            </w:pPr>
          </w:p>
        </w:tc>
      </w:tr>
      <w:tr w14:paraId="16BC8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bottom w:val="nil"/>
            </w:tcBorders>
            <w:vAlign w:val="top"/>
          </w:tcPr>
          <w:p w14:paraId="3C61CE0A">
            <w:pPr>
              <w:rPr>
                <w:rFonts w:ascii="Arial"/>
                <w:sz w:val="21"/>
              </w:rPr>
            </w:pPr>
          </w:p>
        </w:tc>
        <w:tc>
          <w:tcPr>
            <w:tcW w:w="2125" w:type="dxa"/>
            <w:vMerge w:val="continue"/>
            <w:tcBorders>
              <w:top w:val="nil"/>
              <w:bottom w:val="nil"/>
            </w:tcBorders>
            <w:vAlign w:val="top"/>
          </w:tcPr>
          <w:p w14:paraId="133D027A">
            <w:pPr>
              <w:rPr>
                <w:rFonts w:ascii="Arial"/>
                <w:sz w:val="21"/>
              </w:rPr>
            </w:pPr>
          </w:p>
        </w:tc>
        <w:tc>
          <w:tcPr>
            <w:tcW w:w="1559" w:type="dxa"/>
            <w:vAlign w:val="top"/>
          </w:tcPr>
          <w:p w14:paraId="7186AF66">
            <w:pPr>
              <w:pStyle w:val="6"/>
              <w:spacing w:before="62" w:line="274" w:lineRule="exact"/>
              <w:ind w:left="229"/>
            </w:pPr>
            <w:r>
              <w:rPr>
                <w:rFonts w:ascii="Times New Roman" w:hAnsi="Times New Roman" w:eastAsia="Times New Roman" w:cs="Times New Roman"/>
                <w:spacing w:val="4"/>
                <w:position w:val="1"/>
              </w:rPr>
              <w:t>24</w:t>
            </w:r>
            <w:r>
              <w:rPr>
                <w:rFonts w:ascii="Times New Roman" w:hAnsi="Times New Roman" w:eastAsia="Times New Roman" w:cs="Times New Roman"/>
                <w:spacing w:val="20"/>
                <w:position w:val="1"/>
              </w:rPr>
              <w:t xml:space="preserve"> </w:t>
            </w:r>
            <w:r>
              <w:rPr>
                <w:spacing w:val="4"/>
                <w:position w:val="1"/>
              </w:rPr>
              <w:t>小时平均</w:t>
            </w:r>
          </w:p>
        </w:tc>
        <w:tc>
          <w:tcPr>
            <w:tcW w:w="1133" w:type="dxa"/>
            <w:vAlign w:val="top"/>
          </w:tcPr>
          <w:p w14:paraId="57E01857">
            <w:pPr>
              <w:spacing w:before="62" w:line="274"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3312" w:type="dxa"/>
            <w:vMerge w:val="continue"/>
            <w:tcBorders>
              <w:top w:val="nil"/>
              <w:bottom w:val="nil"/>
            </w:tcBorders>
            <w:vAlign w:val="top"/>
          </w:tcPr>
          <w:p w14:paraId="407DC3FF">
            <w:pPr>
              <w:rPr>
                <w:rFonts w:ascii="Arial"/>
                <w:sz w:val="21"/>
              </w:rPr>
            </w:pPr>
          </w:p>
        </w:tc>
      </w:tr>
      <w:tr w14:paraId="039A2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tcBorders>
            <w:vAlign w:val="top"/>
          </w:tcPr>
          <w:p w14:paraId="03C4A4CC">
            <w:pPr>
              <w:rPr>
                <w:rFonts w:ascii="Arial"/>
                <w:sz w:val="21"/>
              </w:rPr>
            </w:pPr>
          </w:p>
        </w:tc>
        <w:tc>
          <w:tcPr>
            <w:tcW w:w="2125" w:type="dxa"/>
            <w:vMerge w:val="continue"/>
            <w:tcBorders>
              <w:top w:val="nil"/>
            </w:tcBorders>
            <w:vAlign w:val="top"/>
          </w:tcPr>
          <w:p w14:paraId="040519F1">
            <w:pPr>
              <w:rPr>
                <w:rFonts w:ascii="Arial"/>
                <w:sz w:val="21"/>
              </w:rPr>
            </w:pPr>
          </w:p>
        </w:tc>
        <w:tc>
          <w:tcPr>
            <w:tcW w:w="1559" w:type="dxa"/>
            <w:vAlign w:val="top"/>
          </w:tcPr>
          <w:p w14:paraId="3D6803C0">
            <w:pPr>
              <w:pStyle w:val="6"/>
              <w:spacing w:before="63" w:line="274" w:lineRule="exact"/>
              <w:ind w:left="302"/>
            </w:pPr>
            <w:r>
              <w:rPr>
                <w:rFonts w:ascii="Times New Roman" w:hAnsi="Times New Roman" w:eastAsia="Times New Roman" w:cs="Times New Roman"/>
                <w:position w:val="1"/>
              </w:rPr>
              <w:t>1</w:t>
            </w:r>
            <w:r>
              <w:rPr>
                <w:rFonts w:ascii="Times New Roman" w:hAnsi="Times New Roman" w:eastAsia="Times New Roman" w:cs="Times New Roman"/>
                <w:spacing w:val="18"/>
                <w:position w:val="1"/>
              </w:rPr>
              <w:t xml:space="preserve"> </w:t>
            </w:r>
            <w:r>
              <w:rPr>
                <w:position w:val="1"/>
              </w:rPr>
              <w:t>小时平均</w:t>
            </w:r>
          </w:p>
        </w:tc>
        <w:tc>
          <w:tcPr>
            <w:tcW w:w="1133" w:type="dxa"/>
            <w:vAlign w:val="top"/>
          </w:tcPr>
          <w:p w14:paraId="570F6312">
            <w:pPr>
              <w:spacing w:before="63" w:line="274"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3312" w:type="dxa"/>
            <w:vMerge w:val="continue"/>
            <w:tcBorders>
              <w:top w:val="nil"/>
              <w:bottom w:val="nil"/>
            </w:tcBorders>
            <w:vAlign w:val="top"/>
          </w:tcPr>
          <w:p w14:paraId="298B470F">
            <w:pPr>
              <w:rPr>
                <w:rFonts w:ascii="Arial"/>
                <w:sz w:val="21"/>
              </w:rPr>
            </w:pPr>
          </w:p>
        </w:tc>
      </w:tr>
      <w:tr w14:paraId="2B143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restart"/>
            <w:tcBorders>
              <w:bottom w:val="nil"/>
            </w:tcBorders>
            <w:vAlign w:val="top"/>
          </w:tcPr>
          <w:p w14:paraId="6622B617">
            <w:pPr>
              <w:spacing w:before="268" w:line="274" w:lineRule="exact"/>
              <w:ind w:left="36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125" w:type="dxa"/>
            <w:vMerge w:val="restart"/>
            <w:tcBorders>
              <w:bottom w:val="nil"/>
            </w:tcBorders>
            <w:vAlign w:val="top"/>
          </w:tcPr>
          <w:p w14:paraId="5B9092E7">
            <w:pPr>
              <w:pStyle w:val="6"/>
              <w:spacing w:before="268" w:line="274" w:lineRule="exact"/>
              <w:ind w:left="432"/>
            </w:pPr>
            <w:r>
              <w:rPr>
                <w:rFonts w:ascii="Times New Roman" w:hAnsi="Times New Roman" w:eastAsia="Times New Roman" w:cs="Times New Roman"/>
                <w:position w:val="3"/>
              </w:rPr>
              <w:t>CO</w:t>
            </w:r>
            <w:r>
              <w:rPr>
                <w:spacing w:val="8"/>
                <w:position w:val="3"/>
              </w:rPr>
              <w:t>（</w:t>
            </w:r>
            <w:r>
              <w:rPr>
                <w:rFonts w:ascii="Times New Roman" w:hAnsi="Times New Roman" w:eastAsia="Times New Roman" w:cs="Times New Roman"/>
                <w:position w:val="3"/>
              </w:rPr>
              <w:t>mg</w:t>
            </w:r>
            <w:r>
              <w:rPr>
                <w:rFonts w:ascii="Times New Roman" w:hAnsi="Times New Roman" w:eastAsia="Times New Roman" w:cs="Times New Roman"/>
                <w:spacing w:val="8"/>
                <w:position w:val="3"/>
              </w:rPr>
              <w:t>/m</w:t>
            </w:r>
            <w:r>
              <w:rPr>
                <w:rFonts w:ascii="Times New Roman" w:hAnsi="Times New Roman" w:eastAsia="Times New Roman" w:cs="Times New Roman"/>
                <w:spacing w:val="8"/>
                <w:position w:val="9"/>
                <w:sz w:val="13"/>
                <w:szCs w:val="13"/>
              </w:rPr>
              <w:t>3</w:t>
            </w:r>
            <w:r>
              <w:rPr>
                <w:spacing w:val="8"/>
                <w:position w:val="3"/>
              </w:rPr>
              <w:t>）</w:t>
            </w:r>
          </w:p>
        </w:tc>
        <w:tc>
          <w:tcPr>
            <w:tcW w:w="1559" w:type="dxa"/>
            <w:vAlign w:val="top"/>
          </w:tcPr>
          <w:p w14:paraId="45D58DF3">
            <w:pPr>
              <w:pStyle w:val="6"/>
              <w:spacing w:before="64" w:line="274" w:lineRule="exact"/>
              <w:ind w:left="229"/>
            </w:pPr>
            <w:r>
              <w:rPr>
                <w:rFonts w:ascii="Times New Roman" w:hAnsi="Times New Roman" w:eastAsia="Times New Roman" w:cs="Times New Roman"/>
                <w:spacing w:val="4"/>
                <w:position w:val="1"/>
              </w:rPr>
              <w:t>24</w:t>
            </w:r>
            <w:r>
              <w:rPr>
                <w:rFonts w:ascii="Times New Roman" w:hAnsi="Times New Roman" w:eastAsia="Times New Roman" w:cs="Times New Roman"/>
                <w:spacing w:val="20"/>
                <w:position w:val="1"/>
              </w:rPr>
              <w:t xml:space="preserve"> </w:t>
            </w:r>
            <w:r>
              <w:rPr>
                <w:spacing w:val="4"/>
                <w:position w:val="1"/>
              </w:rPr>
              <w:t>小时平均</w:t>
            </w:r>
          </w:p>
        </w:tc>
        <w:tc>
          <w:tcPr>
            <w:tcW w:w="1133" w:type="dxa"/>
            <w:vAlign w:val="top"/>
          </w:tcPr>
          <w:p w14:paraId="6375AB9F">
            <w:pPr>
              <w:spacing w:before="64" w:line="274"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3312" w:type="dxa"/>
            <w:vMerge w:val="continue"/>
            <w:tcBorders>
              <w:top w:val="nil"/>
              <w:bottom w:val="nil"/>
            </w:tcBorders>
            <w:vAlign w:val="top"/>
          </w:tcPr>
          <w:p w14:paraId="60809C7B">
            <w:pPr>
              <w:rPr>
                <w:rFonts w:ascii="Arial"/>
                <w:sz w:val="21"/>
              </w:rPr>
            </w:pPr>
          </w:p>
        </w:tc>
      </w:tr>
      <w:tr w14:paraId="71655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tcBorders>
            <w:vAlign w:val="top"/>
          </w:tcPr>
          <w:p w14:paraId="451AA037">
            <w:pPr>
              <w:rPr>
                <w:rFonts w:ascii="Arial"/>
                <w:sz w:val="21"/>
              </w:rPr>
            </w:pPr>
          </w:p>
        </w:tc>
        <w:tc>
          <w:tcPr>
            <w:tcW w:w="2125" w:type="dxa"/>
            <w:vMerge w:val="continue"/>
            <w:tcBorders>
              <w:top w:val="nil"/>
            </w:tcBorders>
            <w:vAlign w:val="top"/>
          </w:tcPr>
          <w:p w14:paraId="571D5487">
            <w:pPr>
              <w:rPr>
                <w:rFonts w:ascii="Arial"/>
                <w:sz w:val="21"/>
              </w:rPr>
            </w:pPr>
          </w:p>
        </w:tc>
        <w:tc>
          <w:tcPr>
            <w:tcW w:w="1559" w:type="dxa"/>
            <w:vAlign w:val="top"/>
          </w:tcPr>
          <w:p w14:paraId="3D564B3B">
            <w:pPr>
              <w:pStyle w:val="6"/>
              <w:spacing w:before="63" w:line="274" w:lineRule="exact"/>
              <w:ind w:left="302"/>
            </w:pPr>
            <w:r>
              <w:rPr>
                <w:rFonts w:ascii="Times New Roman" w:hAnsi="Times New Roman" w:eastAsia="Times New Roman" w:cs="Times New Roman"/>
                <w:position w:val="1"/>
              </w:rPr>
              <w:t>1</w:t>
            </w:r>
            <w:r>
              <w:rPr>
                <w:rFonts w:ascii="Times New Roman" w:hAnsi="Times New Roman" w:eastAsia="Times New Roman" w:cs="Times New Roman"/>
                <w:spacing w:val="18"/>
                <w:position w:val="1"/>
              </w:rPr>
              <w:t xml:space="preserve"> </w:t>
            </w:r>
            <w:r>
              <w:rPr>
                <w:position w:val="1"/>
              </w:rPr>
              <w:t>小时平均</w:t>
            </w:r>
          </w:p>
        </w:tc>
        <w:tc>
          <w:tcPr>
            <w:tcW w:w="1133" w:type="dxa"/>
            <w:vAlign w:val="top"/>
          </w:tcPr>
          <w:p w14:paraId="6500BE70">
            <w:pPr>
              <w:spacing w:before="63"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3312" w:type="dxa"/>
            <w:vMerge w:val="continue"/>
            <w:tcBorders>
              <w:top w:val="nil"/>
              <w:bottom w:val="nil"/>
            </w:tcBorders>
            <w:vAlign w:val="top"/>
          </w:tcPr>
          <w:p w14:paraId="53037FDD">
            <w:pPr>
              <w:rPr>
                <w:rFonts w:ascii="Arial"/>
                <w:sz w:val="21"/>
              </w:rPr>
            </w:pPr>
          </w:p>
        </w:tc>
      </w:tr>
      <w:tr w14:paraId="13431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21" w:type="dxa"/>
            <w:vMerge w:val="restart"/>
            <w:tcBorders>
              <w:bottom w:val="nil"/>
            </w:tcBorders>
            <w:vAlign w:val="top"/>
          </w:tcPr>
          <w:p w14:paraId="6AB7FD28">
            <w:pPr>
              <w:spacing w:line="335" w:lineRule="auto"/>
              <w:rPr>
                <w:rFonts w:ascii="Arial"/>
                <w:sz w:val="21"/>
              </w:rPr>
            </w:pPr>
          </w:p>
          <w:p w14:paraId="4F19A273">
            <w:pPr>
              <w:spacing w:before="58" w:line="274" w:lineRule="exact"/>
              <w:ind w:left="35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125" w:type="dxa"/>
            <w:vMerge w:val="restart"/>
            <w:tcBorders>
              <w:bottom w:val="nil"/>
            </w:tcBorders>
            <w:vAlign w:val="top"/>
          </w:tcPr>
          <w:p w14:paraId="64746D0C">
            <w:pPr>
              <w:spacing w:line="328" w:lineRule="auto"/>
              <w:rPr>
                <w:rFonts w:ascii="Arial"/>
                <w:sz w:val="21"/>
              </w:rPr>
            </w:pPr>
          </w:p>
          <w:p w14:paraId="52DF7D8A">
            <w:pPr>
              <w:pStyle w:val="6"/>
              <w:spacing w:before="65" w:line="274" w:lineRule="exact"/>
              <w:ind w:left="492"/>
            </w:pPr>
            <w:r>
              <w:rPr>
                <w:rFonts w:ascii="Times New Roman" w:hAnsi="Times New Roman" w:eastAsia="Times New Roman" w:cs="Times New Roman"/>
                <w:spacing w:val="1"/>
                <w:position w:val="2"/>
              </w:rPr>
              <w:t>O</w:t>
            </w:r>
            <w:r>
              <w:rPr>
                <w:rFonts w:ascii="Times New Roman" w:hAnsi="Times New Roman" w:eastAsia="Times New Roman" w:cs="Times New Roman"/>
                <w:spacing w:val="1"/>
                <w:sz w:val="13"/>
                <w:szCs w:val="13"/>
              </w:rPr>
              <w:t>3</w:t>
            </w:r>
            <w:r>
              <w:rPr>
                <w:rFonts w:ascii="Times New Roman" w:hAnsi="Times New Roman" w:eastAsia="Times New Roman" w:cs="Times New Roman"/>
                <w:spacing w:val="7"/>
                <w:sz w:val="13"/>
                <w:szCs w:val="13"/>
              </w:rPr>
              <w:t xml:space="preserve">   </w:t>
            </w:r>
            <w:r>
              <w:rPr>
                <w:spacing w:val="2"/>
                <w:position w:val="2"/>
              </w:rPr>
              <w:t>(</w:t>
            </w:r>
            <w:r>
              <w:rPr>
                <w:rFonts w:ascii="Times New Roman" w:hAnsi="Times New Roman" w:eastAsia="Times New Roman" w:cs="Times New Roman"/>
                <w:spacing w:val="2"/>
                <w:position w:val="2"/>
              </w:rPr>
              <w:t>μg/m</w:t>
            </w:r>
            <w:r>
              <w:rPr>
                <w:rFonts w:ascii="Times New Roman" w:hAnsi="Times New Roman" w:eastAsia="Times New Roman" w:cs="Times New Roman"/>
                <w:spacing w:val="2"/>
                <w:position w:val="8"/>
                <w:sz w:val="13"/>
                <w:szCs w:val="13"/>
              </w:rPr>
              <w:t>3</w:t>
            </w:r>
            <w:r>
              <w:rPr>
                <w:spacing w:val="2"/>
                <w:position w:val="2"/>
              </w:rPr>
              <w:t>）</w:t>
            </w:r>
          </w:p>
        </w:tc>
        <w:tc>
          <w:tcPr>
            <w:tcW w:w="1559" w:type="dxa"/>
            <w:vAlign w:val="top"/>
          </w:tcPr>
          <w:p w14:paraId="7EC5EEB6">
            <w:pPr>
              <w:pStyle w:val="6"/>
              <w:spacing w:before="28" w:line="274" w:lineRule="exact"/>
              <w:ind w:left="189"/>
            </w:pPr>
            <w:r>
              <w:rPr>
                <w:spacing w:val="-4"/>
                <w:position w:val="1"/>
              </w:rPr>
              <w:t>日最大</w:t>
            </w:r>
            <w:r>
              <w:rPr>
                <w:spacing w:val="-29"/>
                <w:position w:val="1"/>
              </w:rPr>
              <w:t xml:space="preserve"> </w:t>
            </w:r>
            <w:r>
              <w:rPr>
                <w:rFonts w:ascii="Times New Roman" w:hAnsi="Times New Roman" w:eastAsia="Times New Roman" w:cs="Times New Roman"/>
                <w:spacing w:val="-4"/>
                <w:position w:val="1"/>
              </w:rPr>
              <w:t>8</w:t>
            </w:r>
            <w:r>
              <w:rPr>
                <w:rFonts w:ascii="Times New Roman" w:hAnsi="Times New Roman" w:eastAsia="Times New Roman" w:cs="Times New Roman"/>
                <w:spacing w:val="15"/>
                <w:w w:val="101"/>
                <w:position w:val="1"/>
              </w:rPr>
              <w:t xml:space="preserve"> </w:t>
            </w:r>
            <w:r>
              <w:rPr>
                <w:spacing w:val="-4"/>
                <w:position w:val="1"/>
              </w:rPr>
              <w:t>小时</w:t>
            </w:r>
          </w:p>
          <w:p w14:paraId="74C06406">
            <w:pPr>
              <w:pStyle w:val="6"/>
              <w:spacing w:before="83" w:line="229" w:lineRule="auto"/>
              <w:ind w:left="573"/>
            </w:pPr>
            <w:r>
              <w:rPr>
                <w:spacing w:val="5"/>
              </w:rPr>
              <w:t>平均</w:t>
            </w:r>
          </w:p>
        </w:tc>
        <w:tc>
          <w:tcPr>
            <w:tcW w:w="1133" w:type="dxa"/>
            <w:vAlign w:val="top"/>
          </w:tcPr>
          <w:p w14:paraId="08327132">
            <w:pPr>
              <w:spacing w:before="191"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160</w:t>
            </w:r>
          </w:p>
        </w:tc>
        <w:tc>
          <w:tcPr>
            <w:tcW w:w="3312" w:type="dxa"/>
            <w:vMerge w:val="continue"/>
            <w:tcBorders>
              <w:top w:val="nil"/>
              <w:bottom w:val="nil"/>
            </w:tcBorders>
            <w:vAlign w:val="top"/>
          </w:tcPr>
          <w:p w14:paraId="64607846">
            <w:pPr>
              <w:rPr>
                <w:rFonts w:ascii="Arial"/>
                <w:sz w:val="21"/>
              </w:rPr>
            </w:pPr>
          </w:p>
        </w:tc>
      </w:tr>
      <w:tr w14:paraId="69252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tcBorders>
            <w:vAlign w:val="top"/>
          </w:tcPr>
          <w:p w14:paraId="03DED52F">
            <w:pPr>
              <w:rPr>
                <w:rFonts w:ascii="Arial"/>
                <w:sz w:val="21"/>
              </w:rPr>
            </w:pPr>
          </w:p>
        </w:tc>
        <w:tc>
          <w:tcPr>
            <w:tcW w:w="2125" w:type="dxa"/>
            <w:vMerge w:val="continue"/>
            <w:tcBorders>
              <w:top w:val="nil"/>
            </w:tcBorders>
            <w:vAlign w:val="top"/>
          </w:tcPr>
          <w:p w14:paraId="2C6F20D0">
            <w:pPr>
              <w:rPr>
                <w:rFonts w:ascii="Arial"/>
                <w:sz w:val="21"/>
              </w:rPr>
            </w:pPr>
          </w:p>
        </w:tc>
        <w:tc>
          <w:tcPr>
            <w:tcW w:w="1559" w:type="dxa"/>
            <w:vAlign w:val="top"/>
          </w:tcPr>
          <w:p w14:paraId="0F4A2D0F">
            <w:pPr>
              <w:pStyle w:val="6"/>
              <w:spacing w:before="65" w:line="274" w:lineRule="exact"/>
              <w:ind w:left="302"/>
            </w:pPr>
            <w:r>
              <w:rPr>
                <w:rFonts w:ascii="Times New Roman" w:hAnsi="Times New Roman" w:eastAsia="Times New Roman" w:cs="Times New Roman"/>
                <w:position w:val="1"/>
              </w:rPr>
              <w:t>1</w:t>
            </w:r>
            <w:r>
              <w:rPr>
                <w:rFonts w:ascii="Times New Roman" w:hAnsi="Times New Roman" w:eastAsia="Times New Roman" w:cs="Times New Roman"/>
                <w:spacing w:val="18"/>
                <w:position w:val="1"/>
              </w:rPr>
              <w:t xml:space="preserve"> </w:t>
            </w:r>
            <w:r>
              <w:rPr>
                <w:position w:val="1"/>
              </w:rPr>
              <w:t>小时平均</w:t>
            </w:r>
          </w:p>
        </w:tc>
        <w:tc>
          <w:tcPr>
            <w:tcW w:w="1133" w:type="dxa"/>
            <w:vAlign w:val="top"/>
          </w:tcPr>
          <w:p w14:paraId="474AA9D7">
            <w:pPr>
              <w:spacing w:before="65" w:line="274"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3312" w:type="dxa"/>
            <w:vMerge w:val="continue"/>
            <w:tcBorders>
              <w:top w:val="nil"/>
              <w:bottom w:val="nil"/>
            </w:tcBorders>
            <w:vAlign w:val="top"/>
          </w:tcPr>
          <w:p w14:paraId="798A9E03">
            <w:pPr>
              <w:rPr>
                <w:rFonts w:ascii="Arial"/>
                <w:sz w:val="21"/>
              </w:rPr>
            </w:pPr>
          </w:p>
        </w:tc>
      </w:tr>
      <w:tr w14:paraId="64AB9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restart"/>
            <w:tcBorders>
              <w:bottom w:val="nil"/>
            </w:tcBorders>
            <w:vAlign w:val="top"/>
          </w:tcPr>
          <w:p w14:paraId="233261CE">
            <w:pPr>
              <w:spacing w:line="278" w:lineRule="auto"/>
              <w:rPr>
                <w:rFonts w:ascii="Arial"/>
                <w:sz w:val="21"/>
              </w:rPr>
            </w:pPr>
          </w:p>
          <w:p w14:paraId="75ADB1B2">
            <w:pPr>
              <w:spacing w:before="57" w:line="192"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25" w:type="dxa"/>
            <w:vMerge w:val="restart"/>
            <w:tcBorders>
              <w:bottom w:val="nil"/>
            </w:tcBorders>
            <w:vAlign w:val="top"/>
          </w:tcPr>
          <w:p w14:paraId="05E07146">
            <w:pPr>
              <w:pStyle w:val="6"/>
              <w:spacing w:before="268" w:line="274" w:lineRule="exact"/>
              <w:ind w:left="380"/>
            </w:pPr>
            <w:r>
              <w:rPr>
                <w:rFonts w:ascii="Times New Roman" w:hAnsi="Times New Roman" w:eastAsia="Times New Roman" w:cs="Times New Roman"/>
                <w:position w:val="2"/>
              </w:rPr>
              <w:t>PM</w:t>
            </w:r>
            <w:r>
              <w:rPr>
                <w:rFonts w:ascii="Times New Roman" w:hAnsi="Times New Roman" w:eastAsia="Times New Roman" w:cs="Times New Roman"/>
                <w:spacing w:val="3"/>
                <w:sz w:val="13"/>
                <w:szCs w:val="13"/>
              </w:rPr>
              <w:t>10</w:t>
            </w:r>
            <w:r>
              <w:rPr>
                <w:rFonts w:ascii="Times New Roman" w:hAnsi="Times New Roman" w:eastAsia="Times New Roman" w:cs="Times New Roman"/>
                <w:spacing w:val="8"/>
                <w:sz w:val="13"/>
                <w:szCs w:val="13"/>
              </w:rPr>
              <w:t xml:space="preserve">   </w:t>
            </w:r>
            <w:r>
              <w:rPr>
                <w:spacing w:val="3"/>
                <w:position w:val="2"/>
              </w:rPr>
              <w:t>(</w:t>
            </w:r>
            <w:r>
              <w:rPr>
                <w:rFonts w:ascii="Times New Roman" w:hAnsi="Times New Roman" w:eastAsia="Times New Roman" w:cs="Times New Roman"/>
                <w:spacing w:val="3"/>
                <w:position w:val="2"/>
              </w:rPr>
              <w:t>μg/m</w:t>
            </w:r>
            <w:r>
              <w:rPr>
                <w:rFonts w:ascii="Times New Roman" w:hAnsi="Times New Roman" w:eastAsia="Times New Roman" w:cs="Times New Roman"/>
                <w:spacing w:val="3"/>
                <w:position w:val="8"/>
                <w:sz w:val="13"/>
                <w:szCs w:val="13"/>
              </w:rPr>
              <w:t>3</w:t>
            </w:r>
            <w:r>
              <w:rPr>
                <w:spacing w:val="3"/>
                <w:position w:val="2"/>
              </w:rPr>
              <w:t>）</w:t>
            </w:r>
          </w:p>
        </w:tc>
        <w:tc>
          <w:tcPr>
            <w:tcW w:w="1559" w:type="dxa"/>
            <w:vAlign w:val="top"/>
          </w:tcPr>
          <w:p w14:paraId="79E65685">
            <w:pPr>
              <w:pStyle w:val="6"/>
              <w:spacing w:before="95" w:line="228" w:lineRule="auto"/>
              <w:ind w:left="471"/>
            </w:pPr>
            <w:r>
              <w:rPr>
                <w:spacing w:val="6"/>
              </w:rPr>
              <w:t>年平均</w:t>
            </w:r>
          </w:p>
        </w:tc>
        <w:tc>
          <w:tcPr>
            <w:tcW w:w="1133" w:type="dxa"/>
            <w:vAlign w:val="top"/>
          </w:tcPr>
          <w:p w14:paraId="56712E70">
            <w:pPr>
              <w:spacing w:before="64" w:line="274" w:lineRule="exact"/>
              <w:ind w:left="46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3312" w:type="dxa"/>
            <w:vMerge w:val="continue"/>
            <w:tcBorders>
              <w:top w:val="nil"/>
              <w:bottom w:val="nil"/>
            </w:tcBorders>
            <w:vAlign w:val="top"/>
          </w:tcPr>
          <w:p w14:paraId="35724C32">
            <w:pPr>
              <w:rPr>
                <w:rFonts w:ascii="Arial"/>
                <w:sz w:val="21"/>
              </w:rPr>
            </w:pPr>
          </w:p>
        </w:tc>
      </w:tr>
      <w:tr w14:paraId="1B832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tcBorders>
            <w:vAlign w:val="top"/>
          </w:tcPr>
          <w:p w14:paraId="50F92B61">
            <w:pPr>
              <w:rPr>
                <w:rFonts w:ascii="Arial"/>
                <w:sz w:val="21"/>
              </w:rPr>
            </w:pPr>
          </w:p>
        </w:tc>
        <w:tc>
          <w:tcPr>
            <w:tcW w:w="2125" w:type="dxa"/>
            <w:vMerge w:val="continue"/>
            <w:tcBorders>
              <w:top w:val="nil"/>
            </w:tcBorders>
            <w:vAlign w:val="top"/>
          </w:tcPr>
          <w:p w14:paraId="5B6B7E55">
            <w:pPr>
              <w:rPr>
                <w:rFonts w:ascii="Arial"/>
                <w:sz w:val="21"/>
              </w:rPr>
            </w:pPr>
          </w:p>
        </w:tc>
        <w:tc>
          <w:tcPr>
            <w:tcW w:w="1559" w:type="dxa"/>
            <w:vAlign w:val="top"/>
          </w:tcPr>
          <w:p w14:paraId="21B2DF28">
            <w:pPr>
              <w:pStyle w:val="6"/>
              <w:spacing w:before="65" w:line="274" w:lineRule="exact"/>
              <w:ind w:left="229"/>
            </w:pPr>
            <w:r>
              <w:rPr>
                <w:rFonts w:ascii="Times New Roman" w:hAnsi="Times New Roman" w:eastAsia="Times New Roman" w:cs="Times New Roman"/>
                <w:spacing w:val="4"/>
                <w:position w:val="1"/>
              </w:rPr>
              <w:t>24</w:t>
            </w:r>
            <w:r>
              <w:rPr>
                <w:rFonts w:ascii="Times New Roman" w:hAnsi="Times New Roman" w:eastAsia="Times New Roman" w:cs="Times New Roman"/>
                <w:spacing w:val="20"/>
                <w:position w:val="1"/>
              </w:rPr>
              <w:t xml:space="preserve"> </w:t>
            </w:r>
            <w:r>
              <w:rPr>
                <w:spacing w:val="4"/>
                <w:position w:val="1"/>
              </w:rPr>
              <w:t>小时平均</w:t>
            </w:r>
          </w:p>
        </w:tc>
        <w:tc>
          <w:tcPr>
            <w:tcW w:w="1133" w:type="dxa"/>
            <w:vAlign w:val="top"/>
          </w:tcPr>
          <w:p w14:paraId="07E6573E">
            <w:pPr>
              <w:spacing w:before="65"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3312" w:type="dxa"/>
            <w:vMerge w:val="continue"/>
            <w:tcBorders>
              <w:top w:val="nil"/>
              <w:bottom w:val="nil"/>
            </w:tcBorders>
            <w:vAlign w:val="top"/>
          </w:tcPr>
          <w:p w14:paraId="67AD8862">
            <w:pPr>
              <w:rPr>
                <w:rFonts w:ascii="Arial"/>
                <w:sz w:val="21"/>
              </w:rPr>
            </w:pPr>
          </w:p>
        </w:tc>
      </w:tr>
      <w:tr w14:paraId="520F1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21" w:type="dxa"/>
            <w:vMerge w:val="restart"/>
            <w:tcBorders>
              <w:bottom w:val="nil"/>
            </w:tcBorders>
            <w:vAlign w:val="top"/>
          </w:tcPr>
          <w:p w14:paraId="3578B502">
            <w:pPr>
              <w:spacing w:before="267" w:line="274" w:lineRule="exact"/>
              <w:ind w:left="36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125" w:type="dxa"/>
            <w:vMerge w:val="restart"/>
            <w:tcBorders>
              <w:bottom w:val="nil"/>
            </w:tcBorders>
            <w:vAlign w:val="top"/>
          </w:tcPr>
          <w:p w14:paraId="0F02B3EB">
            <w:pPr>
              <w:pStyle w:val="6"/>
              <w:spacing w:before="267" w:line="274" w:lineRule="exact"/>
              <w:ind w:left="363"/>
            </w:pPr>
            <w:r>
              <w:rPr>
                <w:rFonts w:ascii="Times New Roman" w:hAnsi="Times New Roman" w:eastAsia="Times New Roman" w:cs="Times New Roman"/>
                <w:position w:val="2"/>
              </w:rPr>
              <w:t>PM</w:t>
            </w:r>
            <w:r>
              <w:rPr>
                <w:rFonts w:ascii="Times New Roman" w:hAnsi="Times New Roman" w:eastAsia="Times New Roman" w:cs="Times New Roman"/>
                <w:spacing w:val="3"/>
                <w:sz w:val="13"/>
                <w:szCs w:val="13"/>
              </w:rPr>
              <w:t>2.5</w:t>
            </w:r>
            <w:r>
              <w:rPr>
                <w:rFonts w:ascii="Times New Roman" w:hAnsi="Times New Roman" w:eastAsia="Times New Roman" w:cs="Times New Roman"/>
                <w:spacing w:val="7"/>
                <w:sz w:val="13"/>
                <w:szCs w:val="13"/>
              </w:rPr>
              <w:t xml:space="preserve">   </w:t>
            </w:r>
            <w:r>
              <w:rPr>
                <w:spacing w:val="3"/>
                <w:position w:val="2"/>
              </w:rPr>
              <w:t>(</w:t>
            </w:r>
            <w:r>
              <w:rPr>
                <w:rFonts w:ascii="Times New Roman" w:hAnsi="Times New Roman" w:eastAsia="Times New Roman" w:cs="Times New Roman"/>
                <w:spacing w:val="3"/>
                <w:position w:val="2"/>
              </w:rPr>
              <w:t>μg/m</w:t>
            </w:r>
            <w:r>
              <w:rPr>
                <w:rFonts w:ascii="Times New Roman" w:hAnsi="Times New Roman" w:eastAsia="Times New Roman" w:cs="Times New Roman"/>
                <w:spacing w:val="3"/>
                <w:position w:val="8"/>
                <w:sz w:val="13"/>
                <w:szCs w:val="13"/>
              </w:rPr>
              <w:t>3</w:t>
            </w:r>
            <w:r>
              <w:rPr>
                <w:spacing w:val="3"/>
                <w:position w:val="2"/>
              </w:rPr>
              <w:t>）</w:t>
            </w:r>
          </w:p>
        </w:tc>
        <w:tc>
          <w:tcPr>
            <w:tcW w:w="1559" w:type="dxa"/>
            <w:vAlign w:val="top"/>
          </w:tcPr>
          <w:p w14:paraId="39C9606D">
            <w:pPr>
              <w:pStyle w:val="6"/>
              <w:spacing w:before="94" w:line="228" w:lineRule="auto"/>
              <w:ind w:left="471"/>
            </w:pPr>
            <w:r>
              <w:rPr>
                <w:spacing w:val="6"/>
              </w:rPr>
              <w:t>年平均</w:t>
            </w:r>
          </w:p>
        </w:tc>
        <w:tc>
          <w:tcPr>
            <w:tcW w:w="1133" w:type="dxa"/>
            <w:vAlign w:val="top"/>
          </w:tcPr>
          <w:p w14:paraId="472AEFB7">
            <w:pPr>
              <w:spacing w:before="63" w:line="274" w:lineRule="exact"/>
              <w:ind w:left="4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3312" w:type="dxa"/>
            <w:vMerge w:val="continue"/>
            <w:tcBorders>
              <w:top w:val="nil"/>
              <w:bottom w:val="nil"/>
            </w:tcBorders>
            <w:vAlign w:val="top"/>
          </w:tcPr>
          <w:p w14:paraId="7E621D71">
            <w:pPr>
              <w:rPr>
                <w:rFonts w:ascii="Arial"/>
                <w:sz w:val="21"/>
              </w:rPr>
            </w:pPr>
          </w:p>
        </w:tc>
      </w:tr>
      <w:tr w14:paraId="35AB2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tcBorders>
            <w:vAlign w:val="top"/>
          </w:tcPr>
          <w:p w14:paraId="707508A8">
            <w:pPr>
              <w:rPr>
                <w:rFonts w:ascii="Arial"/>
                <w:sz w:val="21"/>
              </w:rPr>
            </w:pPr>
          </w:p>
        </w:tc>
        <w:tc>
          <w:tcPr>
            <w:tcW w:w="2125" w:type="dxa"/>
            <w:vMerge w:val="continue"/>
            <w:tcBorders>
              <w:top w:val="nil"/>
            </w:tcBorders>
            <w:vAlign w:val="top"/>
          </w:tcPr>
          <w:p w14:paraId="47D6180B">
            <w:pPr>
              <w:rPr>
                <w:rFonts w:ascii="Arial"/>
                <w:sz w:val="21"/>
              </w:rPr>
            </w:pPr>
          </w:p>
        </w:tc>
        <w:tc>
          <w:tcPr>
            <w:tcW w:w="1559" w:type="dxa"/>
            <w:vAlign w:val="top"/>
          </w:tcPr>
          <w:p w14:paraId="56A75C75">
            <w:pPr>
              <w:pStyle w:val="6"/>
              <w:spacing w:before="65" w:line="274" w:lineRule="exact"/>
              <w:ind w:left="229"/>
            </w:pPr>
            <w:r>
              <w:rPr>
                <w:rFonts w:ascii="Times New Roman" w:hAnsi="Times New Roman" w:eastAsia="Times New Roman" w:cs="Times New Roman"/>
                <w:spacing w:val="4"/>
                <w:position w:val="1"/>
              </w:rPr>
              <w:t>24</w:t>
            </w:r>
            <w:r>
              <w:rPr>
                <w:rFonts w:ascii="Times New Roman" w:hAnsi="Times New Roman" w:eastAsia="Times New Roman" w:cs="Times New Roman"/>
                <w:spacing w:val="20"/>
                <w:position w:val="1"/>
              </w:rPr>
              <w:t xml:space="preserve"> </w:t>
            </w:r>
            <w:r>
              <w:rPr>
                <w:spacing w:val="4"/>
                <w:position w:val="1"/>
              </w:rPr>
              <w:t>小时平均</w:t>
            </w:r>
          </w:p>
        </w:tc>
        <w:tc>
          <w:tcPr>
            <w:tcW w:w="1133" w:type="dxa"/>
            <w:vAlign w:val="top"/>
          </w:tcPr>
          <w:p w14:paraId="2DA2CB3D">
            <w:pPr>
              <w:spacing w:before="135" w:line="192"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3312" w:type="dxa"/>
            <w:vMerge w:val="continue"/>
            <w:tcBorders>
              <w:top w:val="nil"/>
              <w:bottom w:val="nil"/>
            </w:tcBorders>
            <w:vAlign w:val="top"/>
          </w:tcPr>
          <w:p w14:paraId="14EBF844">
            <w:pPr>
              <w:rPr>
                <w:rFonts w:ascii="Arial"/>
                <w:sz w:val="21"/>
              </w:rPr>
            </w:pPr>
          </w:p>
        </w:tc>
      </w:tr>
      <w:tr w14:paraId="47D50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21" w:type="dxa"/>
            <w:vMerge w:val="restart"/>
            <w:tcBorders>
              <w:bottom w:val="nil"/>
            </w:tcBorders>
            <w:vAlign w:val="top"/>
          </w:tcPr>
          <w:p w14:paraId="24AD2840">
            <w:pPr>
              <w:spacing w:line="281" w:lineRule="auto"/>
              <w:rPr>
                <w:rFonts w:ascii="Arial"/>
                <w:sz w:val="21"/>
              </w:rPr>
            </w:pPr>
          </w:p>
          <w:p w14:paraId="7FB9C7B0">
            <w:pPr>
              <w:spacing w:before="57" w:line="192"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25" w:type="dxa"/>
            <w:vMerge w:val="restart"/>
            <w:tcBorders>
              <w:bottom w:val="nil"/>
            </w:tcBorders>
            <w:vAlign w:val="top"/>
          </w:tcPr>
          <w:p w14:paraId="42966C4F">
            <w:pPr>
              <w:pStyle w:val="6"/>
              <w:spacing w:before="270" w:line="274" w:lineRule="exact"/>
              <w:ind w:left="421"/>
            </w:pPr>
            <w:r>
              <w:rPr>
                <w:rFonts w:ascii="Times New Roman" w:hAnsi="Times New Roman" w:eastAsia="Times New Roman" w:cs="Times New Roman"/>
                <w:position w:val="2"/>
              </w:rPr>
              <w:t>TSP</w:t>
            </w:r>
            <w:r>
              <w:rPr>
                <w:rFonts w:ascii="Times New Roman" w:hAnsi="Times New Roman" w:eastAsia="Times New Roman" w:cs="Times New Roman"/>
                <w:spacing w:val="11"/>
                <w:position w:val="2"/>
              </w:rPr>
              <w:t xml:space="preserve">  </w:t>
            </w:r>
            <w:r>
              <w:rPr>
                <w:spacing w:val="3"/>
                <w:position w:val="2"/>
              </w:rPr>
              <w:t>(</w:t>
            </w:r>
            <w:r>
              <w:rPr>
                <w:rFonts w:ascii="Times New Roman" w:hAnsi="Times New Roman" w:eastAsia="Times New Roman" w:cs="Times New Roman"/>
                <w:spacing w:val="3"/>
                <w:position w:val="2"/>
              </w:rPr>
              <w:t>μg/m</w:t>
            </w:r>
            <w:r>
              <w:rPr>
                <w:rFonts w:ascii="Times New Roman" w:hAnsi="Times New Roman" w:eastAsia="Times New Roman" w:cs="Times New Roman"/>
                <w:spacing w:val="3"/>
                <w:position w:val="8"/>
                <w:sz w:val="13"/>
                <w:szCs w:val="13"/>
              </w:rPr>
              <w:t>3</w:t>
            </w:r>
            <w:r>
              <w:rPr>
                <w:spacing w:val="3"/>
                <w:position w:val="2"/>
              </w:rPr>
              <w:t>）</w:t>
            </w:r>
          </w:p>
        </w:tc>
        <w:tc>
          <w:tcPr>
            <w:tcW w:w="1559" w:type="dxa"/>
            <w:vAlign w:val="top"/>
          </w:tcPr>
          <w:p w14:paraId="42B4B099">
            <w:pPr>
              <w:pStyle w:val="6"/>
              <w:spacing w:before="97" w:line="228" w:lineRule="auto"/>
              <w:ind w:left="471"/>
            </w:pPr>
            <w:r>
              <w:rPr>
                <w:spacing w:val="6"/>
              </w:rPr>
              <w:t>年平均</w:t>
            </w:r>
          </w:p>
        </w:tc>
        <w:tc>
          <w:tcPr>
            <w:tcW w:w="1133" w:type="dxa"/>
            <w:vAlign w:val="top"/>
          </w:tcPr>
          <w:p w14:paraId="55A9F643">
            <w:pPr>
              <w:spacing w:before="66" w:line="274"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3312" w:type="dxa"/>
            <w:vMerge w:val="continue"/>
            <w:tcBorders>
              <w:top w:val="nil"/>
              <w:bottom w:val="nil"/>
            </w:tcBorders>
            <w:vAlign w:val="top"/>
          </w:tcPr>
          <w:p w14:paraId="7265CE8E">
            <w:pPr>
              <w:rPr>
                <w:rFonts w:ascii="Arial"/>
                <w:sz w:val="21"/>
              </w:rPr>
            </w:pPr>
          </w:p>
        </w:tc>
      </w:tr>
      <w:tr w14:paraId="5814B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Merge w:val="continue"/>
            <w:tcBorders>
              <w:top w:val="nil"/>
            </w:tcBorders>
            <w:vAlign w:val="top"/>
          </w:tcPr>
          <w:p w14:paraId="1686CBE1">
            <w:pPr>
              <w:rPr>
                <w:rFonts w:ascii="Arial"/>
                <w:sz w:val="21"/>
              </w:rPr>
            </w:pPr>
          </w:p>
        </w:tc>
        <w:tc>
          <w:tcPr>
            <w:tcW w:w="2125" w:type="dxa"/>
            <w:vMerge w:val="continue"/>
            <w:tcBorders>
              <w:top w:val="nil"/>
            </w:tcBorders>
            <w:vAlign w:val="top"/>
          </w:tcPr>
          <w:p w14:paraId="5DC80CF6">
            <w:pPr>
              <w:rPr>
                <w:rFonts w:ascii="Arial"/>
                <w:sz w:val="21"/>
              </w:rPr>
            </w:pPr>
          </w:p>
        </w:tc>
        <w:tc>
          <w:tcPr>
            <w:tcW w:w="1559" w:type="dxa"/>
            <w:vAlign w:val="top"/>
          </w:tcPr>
          <w:p w14:paraId="54DAA58E">
            <w:pPr>
              <w:pStyle w:val="6"/>
              <w:spacing w:before="66" w:line="274" w:lineRule="exact"/>
              <w:ind w:left="229"/>
            </w:pPr>
            <w:r>
              <w:rPr>
                <w:rFonts w:ascii="Times New Roman" w:hAnsi="Times New Roman" w:eastAsia="Times New Roman" w:cs="Times New Roman"/>
                <w:spacing w:val="4"/>
                <w:position w:val="1"/>
              </w:rPr>
              <w:t>24</w:t>
            </w:r>
            <w:r>
              <w:rPr>
                <w:rFonts w:ascii="Times New Roman" w:hAnsi="Times New Roman" w:eastAsia="Times New Roman" w:cs="Times New Roman"/>
                <w:spacing w:val="20"/>
                <w:position w:val="1"/>
              </w:rPr>
              <w:t xml:space="preserve"> </w:t>
            </w:r>
            <w:r>
              <w:rPr>
                <w:spacing w:val="4"/>
                <w:position w:val="1"/>
              </w:rPr>
              <w:t>小时平均</w:t>
            </w:r>
          </w:p>
        </w:tc>
        <w:tc>
          <w:tcPr>
            <w:tcW w:w="1133" w:type="dxa"/>
            <w:vAlign w:val="top"/>
          </w:tcPr>
          <w:p w14:paraId="414BE76C">
            <w:pPr>
              <w:spacing w:before="66" w:line="27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3312" w:type="dxa"/>
            <w:vMerge w:val="continue"/>
            <w:tcBorders>
              <w:top w:val="nil"/>
            </w:tcBorders>
            <w:vAlign w:val="top"/>
          </w:tcPr>
          <w:p w14:paraId="360C0538">
            <w:pPr>
              <w:rPr>
                <w:rFonts w:ascii="Arial"/>
                <w:sz w:val="21"/>
              </w:rPr>
            </w:pPr>
          </w:p>
        </w:tc>
      </w:tr>
      <w:tr w14:paraId="22D8E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21" w:type="dxa"/>
            <w:vAlign w:val="top"/>
          </w:tcPr>
          <w:p w14:paraId="242C2952">
            <w:pPr>
              <w:spacing w:before="67" w:line="274" w:lineRule="exact"/>
              <w:ind w:left="36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125" w:type="dxa"/>
            <w:vAlign w:val="top"/>
          </w:tcPr>
          <w:p w14:paraId="74AF7F48">
            <w:pPr>
              <w:pStyle w:val="6"/>
              <w:spacing w:before="67" w:line="274" w:lineRule="exact"/>
              <w:ind w:left="394"/>
            </w:pPr>
            <w:r>
              <w:rPr>
                <w:spacing w:val="2"/>
                <w:position w:val="2"/>
              </w:rPr>
              <w:t>氨气</w:t>
            </w:r>
            <w:r>
              <w:rPr>
                <w:spacing w:val="25"/>
                <w:position w:val="2"/>
              </w:rPr>
              <w:t xml:space="preserve"> </w:t>
            </w:r>
            <w:r>
              <w:rPr>
                <w:spacing w:val="2"/>
                <w:position w:val="2"/>
              </w:rPr>
              <w:t>(</w:t>
            </w:r>
            <w:r>
              <w:rPr>
                <w:rFonts w:ascii="Times New Roman" w:hAnsi="Times New Roman" w:eastAsia="Times New Roman" w:cs="Times New Roman"/>
                <w:spacing w:val="2"/>
                <w:position w:val="2"/>
              </w:rPr>
              <w:t>μg/m</w:t>
            </w:r>
            <w:r>
              <w:rPr>
                <w:rFonts w:ascii="Times New Roman" w:hAnsi="Times New Roman" w:eastAsia="Times New Roman" w:cs="Times New Roman"/>
                <w:spacing w:val="2"/>
                <w:position w:val="8"/>
                <w:sz w:val="13"/>
                <w:szCs w:val="13"/>
              </w:rPr>
              <w:t>3</w:t>
            </w:r>
            <w:r>
              <w:rPr>
                <w:spacing w:val="2"/>
                <w:position w:val="2"/>
              </w:rPr>
              <w:t>）</w:t>
            </w:r>
          </w:p>
        </w:tc>
        <w:tc>
          <w:tcPr>
            <w:tcW w:w="1559" w:type="dxa"/>
            <w:vAlign w:val="top"/>
          </w:tcPr>
          <w:p w14:paraId="5D24F2C2">
            <w:pPr>
              <w:pStyle w:val="6"/>
              <w:spacing w:before="67" w:line="274" w:lineRule="exact"/>
              <w:ind w:left="302"/>
            </w:pPr>
            <w:r>
              <w:rPr>
                <w:rFonts w:ascii="Times New Roman" w:hAnsi="Times New Roman" w:eastAsia="Times New Roman" w:cs="Times New Roman"/>
                <w:position w:val="1"/>
              </w:rPr>
              <w:t>1</w:t>
            </w:r>
            <w:r>
              <w:rPr>
                <w:rFonts w:ascii="Times New Roman" w:hAnsi="Times New Roman" w:eastAsia="Times New Roman" w:cs="Times New Roman"/>
                <w:spacing w:val="18"/>
                <w:position w:val="1"/>
              </w:rPr>
              <w:t xml:space="preserve"> </w:t>
            </w:r>
            <w:r>
              <w:rPr>
                <w:position w:val="1"/>
              </w:rPr>
              <w:t>小时平均</w:t>
            </w:r>
          </w:p>
        </w:tc>
        <w:tc>
          <w:tcPr>
            <w:tcW w:w="1133" w:type="dxa"/>
            <w:vAlign w:val="top"/>
          </w:tcPr>
          <w:p w14:paraId="3DA9CA90">
            <w:pPr>
              <w:spacing w:before="67" w:line="274"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3312" w:type="dxa"/>
            <w:vMerge w:val="restart"/>
            <w:tcBorders>
              <w:bottom w:val="nil"/>
            </w:tcBorders>
            <w:vAlign w:val="top"/>
          </w:tcPr>
          <w:p w14:paraId="698FA8E5">
            <w:pPr>
              <w:pStyle w:val="6"/>
              <w:spacing w:before="62" w:line="227" w:lineRule="auto"/>
              <w:ind w:left="196"/>
            </w:pPr>
            <w:r>
              <w:rPr>
                <w:spacing w:val="9"/>
              </w:rPr>
              <w:t>《环境影响评价技术导则大气环</w:t>
            </w:r>
          </w:p>
          <w:p w14:paraId="140996C9">
            <w:pPr>
              <w:pStyle w:val="6"/>
              <w:spacing w:before="49" w:line="275" w:lineRule="exact"/>
              <w:ind w:left="119"/>
            </w:pPr>
            <w:r>
              <w:rPr>
                <w:spacing w:val="4"/>
                <w:position w:val="1"/>
              </w:rPr>
              <w:t>境》（</w:t>
            </w:r>
            <w:r>
              <w:rPr>
                <w:rFonts w:ascii="Times New Roman" w:hAnsi="Times New Roman" w:eastAsia="Times New Roman" w:cs="Times New Roman"/>
                <w:position w:val="1"/>
              </w:rPr>
              <w:t>HJ</w:t>
            </w:r>
            <w:r>
              <w:rPr>
                <w:rFonts w:ascii="Times New Roman" w:hAnsi="Times New Roman" w:eastAsia="Times New Roman" w:cs="Times New Roman"/>
                <w:spacing w:val="4"/>
                <w:position w:val="1"/>
              </w:rPr>
              <w:t>2.2-2018</w:t>
            </w:r>
            <w:r>
              <w:rPr>
                <w:spacing w:val="4"/>
                <w:position w:val="1"/>
              </w:rPr>
              <w:t>）中附录</w:t>
            </w:r>
            <w:r>
              <w:rPr>
                <w:spacing w:val="-31"/>
                <w:position w:val="1"/>
              </w:rPr>
              <w:t xml:space="preserve"> </w:t>
            </w:r>
            <w:r>
              <w:rPr>
                <w:rFonts w:ascii="Times New Roman" w:hAnsi="Times New Roman" w:eastAsia="Times New Roman" w:cs="Times New Roman"/>
                <w:spacing w:val="4"/>
                <w:position w:val="1"/>
              </w:rPr>
              <w:t xml:space="preserve">D </w:t>
            </w:r>
            <w:r>
              <w:rPr>
                <w:spacing w:val="4"/>
                <w:position w:val="1"/>
              </w:rPr>
              <w:t>标准</w:t>
            </w:r>
          </w:p>
          <w:p w14:paraId="4D416D2C">
            <w:pPr>
              <w:pStyle w:val="6"/>
              <w:spacing w:before="83" w:line="228" w:lineRule="auto"/>
              <w:ind w:left="1465"/>
            </w:pPr>
            <w:r>
              <w:rPr>
                <w:spacing w:val="-3"/>
              </w:rPr>
              <w:t>限值</w:t>
            </w:r>
          </w:p>
        </w:tc>
      </w:tr>
      <w:tr w14:paraId="64022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1" w:type="dxa"/>
            <w:vAlign w:val="top"/>
          </w:tcPr>
          <w:p w14:paraId="2310D563">
            <w:pPr>
              <w:spacing w:before="154" w:line="274" w:lineRule="exact"/>
              <w:ind w:left="36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125" w:type="dxa"/>
            <w:vAlign w:val="top"/>
          </w:tcPr>
          <w:p w14:paraId="62CC2719">
            <w:pPr>
              <w:pStyle w:val="6"/>
              <w:spacing w:before="154" w:line="274" w:lineRule="exact"/>
              <w:ind w:left="288"/>
            </w:pPr>
            <w:r>
              <w:rPr>
                <w:spacing w:val="3"/>
                <w:position w:val="2"/>
              </w:rPr>
              <w:t>硫化氢</w:t>
            </w:r>
            <w:r>
              <w:rPr>
                <w:spacing w:val="26"/>
                <w:position w:val="2"/>
              </w:rPr>
              <w:t xml:space="preserve"> </w:t>
            </w:r>
            <w:r>
              <w:rPr>
                <w:spacing w:val="3"/>
                <w:position w:val="2"/>
              </w:rPr>
              <w:t>(</w:t>
            </w:r>
            <w:r>
              <w:rPr>
                <w:rFonts w:ascii="Times New Roman" w:hAnsi="Times New Roman" w:eastAsia="Times New Roman" w:cs="Times New Roman"/>
                <w:spacing w:val="3"/>
                <w:position w:val="2"/>
              </w:rPr>
              <w:t>μg/m</w:t>
            </w:r>
            <w:r>
              <w:rPr>
                <w:rFonts w:ascii="Times New Roman" w:hAnsi="Times New Roman" w:eastAsia="Times New Roman" w:cs="Times New Roman"/>
                <w:spacing w:val="3"/>
                <w:position w:val="8"/>
                <w:sz w:val="13"/>
                <w:szCs w:val="13"/>
              </w:rPr>
              <w:t>3</w:t>
            </w:r>
            <w:r>
              <w:rPr>
                <w:spacing w:val="3"/>
                <w:position w:val="2"/>
              </w:rPr>
              <w:t>）</w:t>
            </w:r>
          </w:p>
        </w:tc>
        <w:tc>
          <w:tcPr>
            <w:tcW w:w="1559" w:type="dxa"/>
            <w:vAlign w:val="top"/>
          </w:tcPr>
          <w:p w14:paraId="7C038CAF">
            <w:pPr>
              <w:pStyle w:val="6"/>
              <w:spacing w:before="154" w:line="274" w:lineRule="exact"/>
              <w:ind w:left="302"/>
            </w:pPr>
            <w:r>
              <w:rPr>
                <w:rFonts w:ascii="Times New Roman" w:hAnsi="Times New Roman" w:eastAsia="Times New Roman" w:cs="Times New Roman"/>
                <w:position w:val="1"/>
              </w:rPr>
              <w:t>1</w:t>
            </w:r>
            <w:r>
              <w:rPr>
                <w:rFonts w:ascii="Times New Roman" w:hAnsi="Times New Roman" w:eastAsia="Times New Roman" w:cs="Times New Roman"/>
                <w:spacing w:val="18"/>
                <w:position w:val="1"/>
              </w:rPr>
              <w:t xml:space="preserve"> </w:t>
            </w:r>
            <w:r>
              <w:rPr>
                <w:position w:val="1"/>
              </w:rPr>
              <w:t>小时平均</w:t>
            </w:r>
          </w:p>
        </w:tc>
        <w:tc>
          <w:tcPr>
            <w:tcW w:w="1133" w:type="dxa"/>
            <w:vAlign w:val="top"/>
          </w:tcPr>
          <w:p w14:paraId="17433502">
            <w:pPr>
              <w:spacing w:before="154"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3312" w:type="dxa"/>
            <w:vMerge w:val="continue"/>
            <w:tcBorders>
              <w:top w:val="nil"/>
            </w:tcBorders>
            <w:vAlign w:val="top"/>
          </w:tcPr>
          <w:p w14:paraId="25FDF0E3">
            <w:pPr>
              <w:rPr>
                <w:rFonts w:ascii="Arial"/>
                <w:sz w:val="21"/>
              </w:rPr>
            </w:pPr>
          </w:p>
        </w:tc>
      </w:tr>
      <w:tr w14:paraId="10939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21" w:type="dxa"/>
            <w:vAlign w:val="top"/>
          </w:tcPr>
          <w:p w14:paraId="37B43888">
            <w:pPr>
              <w:spacing w:before="66" w:line="274" w:lineRule="exact"/>
              <w:ind w:left="32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125" w:type="dxa"/>
            <w:vAlign w:val="top"/>
          </w:tcPr>
          <w:p w14:paraId="6B1A422D">
            <w:pPr>
              <w:pStyle w:val="6"/>
              <w:spacing w:before="97" w:line="228" w:lineRule="auto"/>
              <w:ind w:left="121"/>
            </w:pPr>
            <w:r>
              <w:rPr>
                <w:spacing w:val="7"/>
              </w:rPr>
              <w:t>臭气浓度（无量纲）</w:t>
            </w:r>
          </w:p>
        </w:tc>
        <w:tc>
          <w:tcPr>
            <w:tcW w:w="1559" w:type="dxa"/>
            <w:vAlign w:val="top"/>
          </w:tcPr>
          <w:p w14:paraId="4EBDFB85">
            <w:pPr>
              <w:pStyle w:val="6"/>
              <w:spacing w:before="97" w:line="228" w:lineRule="auto"/>
              <w:ind w:left="577"/>
            </w:pPr>
            <w:r>
              <w:rPr>
                <w:spacing w:val="3"/>
              </w:rPr>
              <w:t>一次</w:t>
            </w:r>
          </w:p>
        </w:tc>
        <w:tc>
          <w:tcPr>
            <w:tcW w:w="1133" w:type="dxa"/>
            <w:vAlign w:val="top"/>
          </w:tcPr>
          <w:p w14:paraId="27C55259">
            <w:pPr>
              <w:spacing w:before="66" w:line="274" w:lineRule="exact"/>
              <w:ind w:left="4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3312" w:type="dxa"/>
            <w:vAlign w:val="top"/>
          </w:tcPr>
          <w:p w14:paraId="242E2048">
            <w:pPr>
              <w:pStyle w:val="6"/>
              <w:spacing w:before="97" w:line="228" w:lineRule="auto"/>
              <w:ind w:left="510"/>
            </w:pPr>
            <w:r>
              <w:rPr>
                <w:spacing w:val="7"/>
              </w:rPr>
              <w:t>《恶臭污染物排放标准》</w:t>
            </w:r>
          </w:p>
        </w:tc>
      </w:tr>
    </w:tbl>
    <w:p w14:paraId="1EF92E0A">
      <w:pPr>
        <w:pStyle w:val="2"/>
        <w:spacing w:line="91" w:lineRule="exact"/>
        <w:rPr>
          <w:sz w:val="7"/>
        </w:rPr>
      </w:pPr>
    </w:p>
    <w:p w14:paraId="4C34DAA0">
      <w:pPr>
        <w:spacing w:line="91" w:lineRule="exact"/>
        <w:rPr>
          <w:sz w:val="7"/>
          <w:szCs w:val="7"/>
        </w:rPr>
        <w:sectPr>
          <w:footerReference r:id="rId47" w:type="default"/>
          <w:pgSz w:w="11906" w:h="16839"/>
          <w:pgMar w:top="1431" w:right="1475" w:bottom="1485" w:left="1475" w:header="0" w:footer="1249" w:gutter="0"/>
          <w:cols w:space="720" w:num="1"/>
        </w:sectPr>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2125"/>
        <w:gridCol w:w="1559"/>
        <w:gridCol w:w="1133"/>
        <w:gridCol w:w="3312"/>
      </w:tblGrid>
      <w:tr w14:paraId="5CD44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21" w:type="dxa"/>
            <w:vAlign w:val="top"/>
          </w:tcPr>
          <w:p w14:paraId="50758378">
            <w:pPr>
              <w:rPr>
                <w:rFonts w:ascii="Arial"/>
                <w:sz w:val="21"/>
              </w:rPr>
            </w:pPr>
          </w:p>
        </w:tc>
        <w:tc>
          <w:tcPr>
            <w:tcW w:w="2125" w:type="dxa"/>
            <w:vAlign w:val="top"/>
          </w:tcPr>
          <w:p w14:paraId="00F2EA34">
            <w:pPr>
              <w:rPr>
                <w:rFonts w:ascii="Arial"/>
                <w:sz w:val="21"/>
              </w:rPr>
            </w:pPr>
          </w:p>
        </w:tc>
        <w:tc>
          <w:tcPr>
            <w:tcW w:w="1559" w:type="dxa"/>
            <w:vAlign w:val="top"/>
          </w:tcPr>
          <w:p w14:paraId="00198C10">
            <w:pPr>
              <w:rPr>
                <w:rFonts w:ascii="Arial"/>
                <w:sz w:val="21"/>
              </w:rPr>
            </w:pPr>
          </w:p>
        </w:tc>
        <w:tc>
          <w:tcPr>
            <w:tcW w:w="1133" w:type="dxa"/>
            <w:vAlign w:val="top"/>
          </w:tcPr>
          <w:p w14:paraId="422DFE20">
            <w:pPr>
              <w:rPr>
                <w:rFonts w:ascii="Arial"/>
                <w:sz w:val="21"/>
              </w:rPr>
            </w:pPr>
          </w:p>
        </w:tc>
        <w:tc>
          <w:tcPr>
            <w:tcW w:w="3312" w:type="dxa"/>
            <w:vAlign w:val="top"/>
          </w:tcPr>
          <w:p w14:paraId="310931BF">
            <w:pPr>
              <w:pStyle w:val="6"/>
              <w:spacing w:before="33" w:line="274" w:lineRule="exact"/>
              <w:ind w:left="983"/>
              <w:rPr>
                <w:rFonts w:ascii="Times New Roman" w:hAnsi="Times New Roman" w:eastAsia="Times New Roman" w:cs="Times New Roman"/>
              </w:rPr>
            </w:pPr>
            <w:r>
              <w:rPr>
                <w:spacing w:val="4"/>
                <w:position w:val="3"/>
              </w:rPr>
              <w:t>（</w:t>
            </w:r>
            <w:r>
              <w:rPr>
                <w:rFonts w:ascii="Times New Roman" w:hAnsi="Times New Roman" w:eastAsia="Times New Roman" w:cs="Times New Roman"/>
                <w:position w:val="3"/>
              </w:rPr>
              <w:t>GB</w:t>
            </w:r>
            <w:r>
              <w:rPr>
                <w:rFonts w:ascii="Times New Roman" w:hAnsi="Times New Roman" w:eastAsia="Times New Roman" w:cs="Times New Roman"/>
                <w:spacing w:val="4"/>
                <w:position w:val="3"/>
              </w:rPr>
              <w:t>14554-93)</w:t>
            </w:r>
          </w:p>
        </w:tc>
      </w:tr>
    </w:tbl>
    <w:p w14:paraId="7AD07B36">
      <w:pPr>
        <w:spacing w:before="161" w:line="361" w:lineRule="exact"/>
        <w:ind w:left="603"/>
        <w:rPr>
          <w:rFonts w:ascii="宋体" w:hAnsi="宋体" w:eastAsia="宋体" w:cs="宋体"/>
          <w:sz w:val="24"/>
          <w:szCs w:val="24"/>
        </w:rPr>
      </w:pPr>
      <w:r>
        <w:rPr>
          <w:rFonts w:ascii="Times New Roman" w:hAnsi="Times New Roman" w:eastAsia="Times New Roman" w:cs="Times New Roman"/>
          <w:spacing w:val="-4"/>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4"/>
          <w:position w:val="2"/>
          <w:sz w:val="24"/>
          <w:szCs w:val="24"/>
        </w:rPr>
        <w:t>、声环境质量标准</w:t>
      </w:r>
    </w:p>
    <w:p w14:paraId="073C10DF">
      <w:pPr>
        <w:spacing w:before="195" w:line="372" w:lineRule="auto"/>
        <w:ind w:left="122" w:right="47" w:firstLine="480"/>
        <w:rPr>
          <w:rFonts w:ascii="宋体" w:hAnsi="宋体" w:eastAsia="宋体" w:cs="宋体"/>
          <w:sz w:val="24"/>
          <w:szCs w:val="24"/>
        </w:rPr>
      </w:pPr>
      <w:r>
        <w:rPr>
          <w:rFonts w:ascii="宋体" w:hAnsi="宋体" w:eastAsia="宋体" w:cs="宋体"/>
          <w:spacing w:val="-6"/>
          <w:sz w:val="24"/>
          <w:szCs w:val="24"/>
        </w:rPr>
        <w:t>本项目所在地属于《声环境质量标准》（</w:t>
      </w:r>
      <w:r>
        <w:rPr>
          <w:rFonts w:ascii="Times New Roman" w:hAnsi="Times New Roman" w:eastAsia="Times New Roman" w:cs="Times New Roman"/>
          <w:spacing w:val="-6"/>
          <w:sz w:val="24"/>
          <w:szCs w:val="24"/>
        </w:rPr>
        <w:t>GB 3096-2008</w:t>
      </w:r>
      <w:r>
        <w:rPr>
          <w:rFonts w:ascii="宋体" w:hAnsi="宋体" w:eastAsia="宋体" w:cs="宋体"/>
          <w:spacing w:val="-7"/>
          <w:sz w:val="24"/>
          <w:szCs w:val="24"/>
        </w:rPr>
        <w:t>）</w:t>
      </w:r>
      <w:r>
        <w:rPr>
          <w:rFonts w:ascii="Times New Roman" w:hAnsi="Times New Roman" w:eastAsia="Times New Roman" w:cs="Times New Roman"/>
          <w:spacing w:val="-7"/>
          <w:sz w:val="24"/>
          <w:szCs w:val="24"/>
        </w:rPr>
        <w:t xml:space="preserve">2 </w:t>
      </w:r>
      <w:r>
        <w:rPr>
          <w:rFonts w:ascii="宋体" w:hAnsi="宋体" w:eastAsia="宋体" w:cs="宋体"/>
          <w:spacing w:val="-7"/>
          <w:sz w:val="24"/>
          <w:szCs w:val="24"/>
        </w:rPr>
        <w:t>类声环境功能控制区，</w:t>
      </w:r>
      <w:r>
        <w:rPr>
          <w:rFonts w:ascii="宋体" w:hAnsi="宋体" w:eastAsia="宋体" w:cs="宋体"/>
          <w:sz w:val="24"/>
          <w:szCs w:val="24"/>
        </w:rPr>
        <w:t xml:space="preserve"> 执行《声环境质量标准》（</w:t>
      </w:r>
      <w:r>
        <w:rPr>
          <w:rFonts w:ascii="Times New Roman" w:hAnsi="Times New Roman" w:eastAsia="Times New Roman" w:cs="Times New Roman"/>
          <w:sz w:val="24"/>
          <w:szCs w:val="24"/>
        </w:rPr>
        <w:t>GB 3096-</w:t>
      </w:r>
      <w:r>
        <w:rPr>
          <w:rFonts w:ascii="Times New Roman" w:hAnsi="Times New Roman" w:eastAsia="Times New Roman" w:cs="Times New Roman"/>
          <w:spacing w:val="-1"/>
          <w:sz w:val="24"/>
          <w:szCs w:val="24"/>
        </w:rPr>
        <w:t>2008</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w:t>
      </w:r>
    </w:p>
    <w:p w14:paraId="248DF6BC">
      <w:pPr>
        <w:spacing w:before="61" w:line="229" w:lineRule="auto"/>
        <w:ind w:left="2828"/>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6"/>
          <w:sz w:val="20"/>
          <w:szCs w:val="20"/>
        </w:rPr>
        <w:t xml:space="preserve">2.5-2  </w:t>
      </w:r>
      <w:r>
        <w:rPr>
          <w:rFonts w:ascii="宋体" w:hAnsi="宋体" w:eastAsia="宋体" w:cs="宋体"/>
          <w:b/>
          <w:bCs/>
          <w:spacing w:val="6"/>
          <w:sz w:val="20"/>
          <w:szCs w:val="20"/>
        </w:rPr>
        <w:t>声环境质量标准单位：</w:t>
      </w:r>
      <w:r>
        <w:rPr>
          <w:rFonts w:ascii="Times New Roman" w:hAnsi="Times New Roman" w:eastAsia="Times New Roman" w:cs="Times New Roman"/>
          <w:b/>
          <w:bCs/>
          <w:sz w:val="20"/>
          <w:szCs w:val="20"/>
        </w:rPr>
        <w:t>dB</w:t>
      </w: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A</w:t>
      </w:r>
      <w:r>
        <w:rPr>
          <w:rFonts w:ascii="宋体" w:hAnsi="宋体" w:eastAsia="宋体" w:cs="宋体"/>
          <w:b/>
          <w:bCs/>
          <w:spacing w:val="6"/>
          <w:sz w:val="20"/>
          <w:szCs w:val="20"/>
        </w:rPr>
        <w:t>）</w:t>
      </w:r>
    </w:p>
    <w:p w14:paraId="5E397F29">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8"/>
        <w:gridCol w:w="2234"/>
        <w:gridCol w:w="2237"/>
        <w:gridCol w:w="2241"/>
      </w:tblGrid>
      <w:tr w14:paraId="1E92F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238" w:type="dxa"/>
            <w:vAlign w:val="top"/>
          </w:tcPr>
          <w:p w14:paraId="448D43CF">
            <w:pPr>
              <w:pStyle w:val="6"/>
              <w:spacing w:before="62" w:line="230" w:lineRule="auto"/>
              <w:ind w:left="915"/>
            </w:pPr>
            <w:r>
              <w:rPr>
                <w:spacing w:val="4"/>
              </w:rPr>
              <w:t>位置</w:t>
            </w:r>
          </w:p>
        </w:tc>
        <w:tc>
          <w:tcPr>
            <w:tcW w:w="2234" w:type="dxa"/>
            <w:vAlign w:val="top"/>
          </w:tcPr>
          <w:p w14:paraId="02357C73">
            <w:pPr>
              <w:pStyle w:val="6"/>
              <w:spacing w:before="63" w:line="228" w:lineRule="auto"/>
              <w:ind w:left="912"/>
            </w:pPr>
            <w:r>
              <w:rPr>
                <w:spacing w:val="4"/>
              </w:rPr>
              <w:t>类别</w:t>
            </w:r>
          </w:p>
        </w:tc>
        <w:tc>
          <w:tcPr>
            <w:tcW w:w="2237" w:type="dxa"/>
            <w:vAlign w:val="top"/>
          </w:tcPr>
          <w:p w14:paraId="38ECFC0E">
            <w:pPr>
              <w:pStyle w:val="6"/>
              <w:spacing w:before="63" w:line="231" w:lineRule="auto"/>
              <w:ind w:left="914"/>
            </w:pPr>
            <w:r>
              <w:rPr>
                <w:spacing w:val="5"/>
              </w:rPr>
              <w:t>昼间</w:t>
            </w:r>
          </w:p>
        </w:tc>
        <w:tc>
          <w:tcPr>
            <w:tcW w:w="2241" w:type="dxa"/>
            <w:vAlign w:val="top"/>
          </w:tcPr>
          <w:p w14:paraId="31709E7E">
            <w:pPr>
              <w:pStyle w:val="6"/>
              <w:spacing w:before="63" w:line="228" w:lineRule="auto"/>
              <w:ind w:left="918"/>
            </w:pPr>
            <w:r>
              <w:rPr>
                <w:spacing w:val="3"/>
              </w:rPr>
              <w:t>夜间</w:t>
            </w:r>
          </w:p>
        </w:tc>
      </w:tr>
      <w:tr w14:paraId="02634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238" w:type="dxa"/>
            <w:vAlign w:val="top"/>
          </w:tcPr>
          <w:p w14:paraId="7BE686DC">
            <w:pPr>
              <w:pStyle w:val="6"/>
              <w:spacing w:before="61" w:line="229" w:lineRule="auto"/>
              <w:ind w:left="708"/>
            </w:pPr>
            <w:r>
              <w:rPr>
                <w:spacing w:val="6"/>
              </w:rPr>
              <w:t>项目位置</w:t>
            </w:r>
          </w:p>
        </w:tc>
        <w:tc>
          <w:tcPr>
            <w:tcW w:w="2234" w:type="dxa"/>
            <w:vAlign w:val="top"/>
          </w:tcPr>
          <w:p w14:paraId="30605D2F">
            <w:pPr>
              <w:pStyle w:val="6"/>
              <w:spacing w:before="30" w:line="274" w:lineRule="exact"/>
              <w:ind w:left="934"/>
            </w:pPr>
            <w:r>
              <w:rPr>
                <w:rFonts w:ascii="Times New Roman" w:hAnsi="Times New Roman" w:eastAsia="Times New Roman" w:cs="Times New Roman"/>
                <w:position w:val="1"/>
              </w:rPr>
              <w:t>2</w:t>
            </w:r>
            <w:r>
              <w:rPr>
                <w:rFonts w:ascii="Times New Roman" w:hAnsi="Times New Roman" w:eastAsia="Times New Roman" w:cs="Times New Roman"/>
                <w:spacing w:val="9"/>
                <w:position w:val="1"/>
              </w:rPr>
              <w:t xml:space="preserve"> </w:t>
            </w:r>
            <w:r>
              <w:rPr>
                <w:position w:val="1"/>
              </w:rPr>
              <w:t>类</w:t>
            </w:r>
          </w:p>
        </w:tc>
        <w:tc>
          <w:tcPr>
            <w:tcW w:w="2237" w:type="dxa"/>
            <w:vAlign w:val="top"/>
          </w:tcPr>
          <w:p w14:paraId="0ABC9149">
            <w:pPr>
              <w:spacing w:before="30" w:line="274" w:lineRule="exact"/>
              <w:ind w:left="10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2241" w:type="dxa"/>
            <w:vAlign w:val="top"/>
          </w:tcPr>
          <w:p w14:paraId="72757023">
            <w:pPr>
              <w:spacing w:before="30" w:line="274" w:lineRule="exact"/>
              <w:ind w:left="10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bl>
    <w:p w14:paraId="1A279088">
      <w:pPr>
        <w:spacing w:before="87" w:line="360" w:lineRule="exact"/>
        <w:ind w:left="597"/>
        <w:rPr>
          <w:rFonts w:ascii="宋体" w:hAnsi="宋体" w:eastAsia="宋体" w:cs="宋体"/>
          <w:sz w:val="24"/>
          <w:szCs w:val="24"/>
        </w:rPr>
      </w:pPr>
      <w:r>
        <w:rPr>
          <w:rFonts w:ascii="Times New Roman" w:hAnsi="Times New Roman" w:eastAsia="Times New Roman" w:cs="Times New Roman"/>
          <w:spacing w:val="-3"/>
          <w:position w:val="2"/>
          <w:sz w:val="24"/>
          <w:szCs w:val="24"/>
        </w:rPr>
        <w:t>4</w:t>
      </w:r>
      <w:r>
        <w:rPr>
          <w:rFonts w:ascii="Times New Roman" w:hAnsi="Times New Roman" w:eastAsia="Times New Roman" w:cs="Times New Roman"/>
          <w:spacing w:val="-32"/>
          <w:position w:val="2"/>
          <w:sz w:val="24"/>
          <w:szCs w:val="24"/>
        </w:rPr>
        <w:t xml:space="preserve"> </w:t>
      </w:r>
      <w:r>
        <w:rPr>
          <w:rFonts w:ascii="宋体" w:hAnsi="宋体" w:eastAsia="宋体" w:cs="宋体"/>
          <w:spacing w:val="-3"/>
          <w:position w:val="2"/>
          <w:sz w:val="24"/>
          <w:szCs w:val="24"/>
        </w:rPr>
        <w:t>、地下水环境质量标准</w:t>
      </w:r>
    </w:p>
    <w:p w14:paraId="7255D99F">
      <w:pPr>
        <w:spacing w:before="131" w:line="383" w:lineRule="auto"/>
        <w:ind w:left="126" w:right="110" w:firstLine="476"/>
        <w:rPr>
          <w:rFonts w:ascii="宋体" w:hAnsi="宋体" w:eastAsia="宋体" w:cs="宋体"/>
          <w:sz w:val="24"/>
          <w:szCs w:val="24"/>
        </w:rPr>
      </w:pPr>
      <w:r>
        <w:rPr>
          <w:rFonts w:ascii="宋体" w:hAnsi="宋体" w:eastAsia="宋体" w:cs="宋体"/>
          <w:spacing w:val="-7"/>
          <w:sz w:val="24"/>
          <w:szCs w:val="24"/>
        </w:rPr>
        <w:t>根据广东省水利厅《广东省地下水功能区划》（粤水资源﹝</w:t>
      </w:r>
      <w:r>
        <w:rPr>
          <w:rFonts w:ascii="Times New Roman" w:hAnsi="Times New Roman" w:eastAsia="Times New Roman" w:cs="Times New Roman"/>
          <w:spacing w:val="-7"/>
          <w:sz w:val="24"/>
          <w:szCs w:val="24"/>
        </w:rPr>
        <w:t>2009</w:t>
      </w:r>
      <w:r>
        <w:rPr>
          <w:rFonts w:ascii="宋体" w:hAnsi="宋体" w:eastAsia="宋体" w:cs="宋体"/>
          <w:spacing w:val="-7"/>
          <w:sz w:val="24"/>
          <w:szCs w:val="24"/>
        </w:rPr>
        <w:t>﹞</w:t>
      </w:r>
      <w:r>
        <w:rPr>
          <w:rFonts w:ascii="宋体" w:hAnsi="宋体" w:eastAsia="宋体" w:cs="宋体"/>
          <w:spacing w:val="-91"/>
          <w:sz w:val="24"/>
          <w:szCs w:val="24"/>
        </w:rPr>
        <w:t xml:space="preserve"> </w:t>
      </w:r>
      <w:r>
        <w:rPr>
          <w:rFonts w:ascii="Times New Roman" w:hAnsi="Times New Roman" w:eastAsia="Times New Roman" w:cs="Times New Roman"/>
          <w:spacing w:val="-7"/>
          <w:sz w:val="24"/>
          <w:szCs w:val="24"/>
        </w:rPr>
        <w:t>19</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号）和《关</w:t>
      </w:r>
      <w:r>
        <w:rPr>
          <w:rFonts w:ascii="宋体" w:hAnsi="宋体" w:eastAsia="宋体" w:cs="宋体"/>
          <w:sz w:val="24"/>
          <w:szCs w:val="24"/>
        </w:rPr>
        <w:t xml:space="preserve"> </w:t>
      </w:r>
      <w:r>
        <w:rPr>
          <w:rFonts w:ascii="宋体" w:hAnsi="宋体" w:eastAsia="宋体" w:cs="宋体"/>
          <w:spacing w:val="-3"/>
          <w:sz w:val="24"/>
          <w:szCs w:val="24"/>
        </w:rPr>
        <w:t>于同意广东省地下水功能区划的复函》（粤府办﹝</w:t>
      </w:r>
      <w:r>
        <w:rPr>
          <w:rFonts w:ascii="Times New Roman" w:hAnsi="Times New Roman" w:eastAsia="Times New Roman" w:cs="Times New Roman"/>
          <w:spacing w:val="-3"/>
          <w:sz w:val="24"/>
          <w:szCs w:val="24"/>
        </w:rPr>
        <w:t>2009</w:t>
      </w:r>
      <w:r>
        <w:rPr>
          <w:rFonts w:ascii="宋体" w:hAnsi="宋体" w:eastAsia="宋体" w:cs="宋体"/>
          <w:spacing w:val="-3"/>
          <w:sz w:val="24"/>
          <w:szCs w:val="24"/>
        </w:rPr>
        <w:t>﹞</w:t>
      </w:r>
      <w:r>
        <w:rPr>
          <w:rFonts w:ascii="Times New Roman" w:hAnsi="Times New Roman" w:eastAsia="Times New Roman" w:cs="Times New Roman"/>
          <w:spacing w:val="-3"/>
          <w:sz w:val="24"/>
          <w:szCs w:val="24"/>
        </w:rPr>
        <w:t>459</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号）中相关划定，本项</w:t>
      </w:r>
      <w:r>
        <w:rPr>
          <w:rFonts w:ascii="宋体" w:hAnsi="宋体" w:eastAsia="宋体" w:cs="宋体"/>
          <w:sz w:val="24"/>
          <w:szCs w:val="24"/>
        </w:rPr>
        <w:t xml:space="preserve"> </w:t>
      </w:r>
      <w:r>
        <w:rPr>
          <w:rFonts w:ascii="宋体" w:hAnsi="宋体" w:eastAsia="宋体" w:cs="宋体"/>
          <w:spacing w:val="2"/>
          <w:sz w:val="24"/>
          <w:szCs w:val="24"/>
        </w:rPr>
        <w:t>目所在区域地下水功能区保护目标水质类别为Ⅲ类水体，执行《地</w:t>
      </w:r>
      <w:r>
        <w:rPr>
          <w:rFonts w:ascii="宋体" w:hAnsi="宋体" w:eastAsia="宋体" w:cs="宋体"/>
          <w:spacing w:val="1"/>
          <w:sz w:val="24"/>
          <w:szCs w:val="24"/>
        </w:rPr>
        <w:t>下水质量标准》</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GB/T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3"/>
          <w:sz w:val="24"/>
          <w:szCs w:val="24"/>
        </w:rPr>
        <w:t>14848-93</w:t>
      </w:r>
      <w:r>
        <w:rPr>
          <w:rFonts w:ascii="宋体" w:hAnsi="宋体" w:eastAsia="宋体" w:cs="宋体"/>
          <w:spacing w:val="-3"/>
          <w:sz w:val="24"/>
          <w:szCs w:val="24"/>
        </w:rPr>
        <w:t>）Ⅲ类水质标准。</w:t>
      </w:r>
    </w:p>
    <w:p w14:paraId="78D4961E">
      <w:pPr>
        <w:spacing w:before="13" w:line="221" w:lineRule="auto"/>
        <w:ind w:left="1136"/>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b/>
          <w:bCs/>
          <w:spacing w:val="6"/>
          <w:sz w:val="20"/>
          <w:szCs w:val="20"/>
        </w:rPr>
        <w:t xml:space="preserve">2.5-3  </w:t>
      </w:r>
      <w:r>
        <w:rPr>
          <w:rFonts w:ascii="宋体" w:hAnsi="宋体" w:eastAsia="宋体" w:cs="宋体"/>
          <w:b/>
          <w:bCs/>
          <w:spacing w:val="6"/>
          <w:sz w:val="20"/>
          <w:szCs w:val="20"/>
        </w:rPr>
        <w:t>地下水环境质量标准（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6"/>
          <w:sz w:val="20"/>
          <w:szCs w:val="20"/>
        </w:rPr>
        <w:t>/T14848-201</w:t>
      </w:r>
      <w:r>
        <w:rPr>
          <w:rFonts w:ascii="Times New Roman" w:hAnsi="Times New Roman" w:eastAsia="Times New Roman" w:cs="Times New Roman"/>
          <w:b/>
          <w:bCs/>
          <w:spacing w:val="5"/>
          <w:sz w:val="20"/>
          <w:szCs w:val="20"/>
        </w:rPr>
        <w:t>7</w:t>
      </w:r>
      <w:r>
        <w:rPr>
          <w:rFonts w:ascii="宋体" w:hAnsi="宋体" w:eastAsia="宋体" w:cs="宋体"/>
          <w:b/>
          <w:bCs/>
          <w:spacing w:val="5"/>
          <w:sz w:val="20"/>
          <w:szCs w:val="20"/>
        </w:rPr>
        <w:t>）单位：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5"/>
          <w:sz w:val="20"/>
          <w:szCs w:val="20"/>
        </w:rPr>
        <w:t>/L</w:t>
      </w:r>
      <w:r>
        <w:rPr>
          <w:rFonts w:ascii="Times New Roman" w:hAnsi="Times New Roman" w:eastAsia="Times New Roman" w:cs="Times New Roman"/>
          <w:b/>
          <w:bCs/>
          <w:spacing w:val="-23"/>
          <w:sz w:val="20"/>
          <w:szCs w:val="20"/>
        </w:rPr>
        <w:t xml:space="preserve"> </w:t>
      </w:r>
      <w:r>
        <w:rPr>
          <w:rFonts w:ascii="宋体" w:hAnsi="宋体" w:eastAsia="宋体" w:cs="宋体"/>
          <w:b/>
          <w:bCs/>
          <w:spacing w:val="5"/>
          <w:sz w:val="20"/>
          <w:szCs w:val="20"/>
        </w:rPr>
        <w:t>，</w:t>
      </w:r>
      <w:r>
        <w:rPr>
          <w:rFonts w:ascii="Times New Roman" w:hAnsi="Times New Roman" w:eastAsia="Times New Roman" w:cs="Times New Roman"/>
          <w:b/>
          <w:bCs/>
          <w:sz w:val="20"/>
          <w:szCs w:val="20"/>
        </w:rPr>
        <w:t>pH</w:t>
      </w:r>
      <w:r>
        <w:rPr>
          <w:rFonts w:ascii="Times New Roman" w:hAnsi="Times New Roman" w:eastAsia="Times New Roman" w:cs="Times New Roman"/>
          <w:b/>
          <w:bCs/>
          <w:spacing w:val="24"/>
          <w:w w:val="101"/>
          <w:sz w:val="20"/>
          <w:szCs w:val="20"/>
        </w:rPr>
        <w:t xml:space="preserve"> </w:t>
      </w:r>
      <w:r>
        <w:rPr>
          <w:rFonts w:ascii="宋体" w:hAnsi="宋体" w:eastAsia="宋体" w:cs="宋体"/>
          <w:b/>
          <w:bCs/>
          <w:spacing w:val="5"/>
          <w:sz w:val="20"/>
          <w:szCs w:val="20"/>
        </w:rPr>
        <w:t>除外</w:t>
      </w:r>
    </w:p>
    <w:p w14:paraId="208ED5B2">
      <w:pPr>
        <w:spacing w:line="112" w:lineRule="exact"/>
      </w:pPr>
    </w:p>
    <w:tbl>
      <w:tblPr>
        <w:tblStyle w:val="5"/>
        <w:tblW w:w="8526" w:type="dxa"/>
        <w:tblInd w:w="2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30"/>
        <w:gridCol w:w="5296"/>
      </w:tblGrid>
      <w:tr w14:paraId="09D06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230" w:type="dxa"/>
            <w:vAlign w:val="top"/>
          </w:tcPr>
          <w:p w14:paraId="44E5B09F">
            <w:pPr>
              <w:pStyle w:val="6"/>
              <w:spacing w:before="61" w:line="229" w:lineRule="auto"/>
              <w:ind w:left="1415"/>
            </w:pPr>
            <w:r>
              <w:rPr>
                <w:spacing w:val="3"/>
              </w:rPr>
              <w:t>项目</w:t>
            </w:r>
          </w:p>
        </w:tc>
        <w:tc>
          <w:tcPr>
            <w:tcW w:w="5296" w:type="dxa"/>
            <w:vAlign w:val="top"/>
          </w:tcPr>
          <w:p w14:paraId="7A95D4A7">
            <w:pPr>
              <w:pStyle w:val="6"/>
              <w:spacing w:before="30" w:line="274" w:lineRule="exact"/>
              <w:ind w:left="443"/>
            </w:pPr>
            <w:r>
              <w:rPr>
                <w:spacing w:val="7"/>
                <w:position w:val="1"/>
              </w:rPr>
              <w:t>《地下水质量标准》（</w:t>
            </w:r>
            <w:r>
              <w:rPr>
                <w:rFonts w:ascii="Times New Roman" w:hAnsi="Times New Roman" w:eastAsia="Times New Roman" w:cs="Times New Roman"/>
                <w:position w:val="1"/>
              </w:rPr>
              <w:t>GB</w:t>
            </w:r>
            <w:r>
              <w:rPr>
                <w:rFonts w:ascii="Times New Roman" w:hAnsi="Times New Roman" w:eastAsia="Times New Roman" w:cs="Times New Roman"/>
                <w:spacing w:val="7"/>
                <w:position w:val="1"/>
              </w:rPr>
              <w:t>/T</w:t>
            </w:r>
            <w:r>
              <w:rPr>
                <w:rFonts w:ascii="Times New Roman" w:hAnsi="Times New Roman" w:eastAsia="Times New Roman" w:cs="Times New Roman"/>
                <w:spacing w:val="-26"/>
                <w:position w:val="1"/>
              </w:rPr>
              <w:t xml:space="preserve"> </w:t>
            </w:r>
            <w:r>
              <w:rPr>
                <w:rFonts w:ascii="Times New Roman" w:hAnsi="Times New Roman" w:eastAsia="Times New Roman" w:cs="Times New Roman"/>
                <w:spacing w:val="7"/>
                <w:position w:val="1"/>
              </w:rPr>
              <w:t>14848-9</w:t>
            </w:r>
            <w:r>
              <w:rPr>
                <w:rFonts w:ascii="Times New Roman" w:hAnsi="Times New Roman" w:eastAsia="Times New Roman" w:cs="Times New Roman"/>
                <w:spacing w:val="6"/>
                <w:position w:val="1"/>
              </w:rPr>
              <w:t>3</w:t>
            </w:r>
            <w:r>
              <w:rPr>
                <w:spacing w:val="6"/>
                <w:position w:val="1"/>
              </w:rPr>
              <w:t>）Ⅲ类标准</w:t>
            </w:r>
          </w:p>
        </w:tc>
      </w:tr>
      <w:tr w14:paraId="678E9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230" w:type="dxa"/>
            <w:vAlign w:val="top"/>
          </w:tcPr>
          <w:p w14:paraId="7F51D816">
            <w:pPr>
              <w:spacing w:before="95" w:line="194" w:lineRule="auto"/>
              <w:ind w:left="148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5296" w:type="dxa"/>
            <w:vAlign w:val="top"/>
          </w:tcPr>
          <w:p w14:paraId="0FF2670E">
            <w:pPr>
              <w:spacing w:before="26" w:line="274" w:lineRule="exact"/>
              <w:ind w:left="2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6.5-8.5</w:t>
            </w:r>
          </w:p>
        </w:tc>
      </w:tr>
      <w:tr w14:paraId="07B03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230" w:type="dxa"/>
            <w:vAlign w:val="top"/>
          </w:tcPr>
          <w:p w14:paraId="3E4A2C8A">
            <w:pPr>
              <w:pStyle w:val="6"/>
              <w:spacing w:before="57" w:line="229" w:lineRule="auto"/>
              <w:ind w:left="994"/>
            </w:pPr>
            <w:r>
              <w:rPr>
                <w:spacing w:val="7"/>
              </w:rPr>
              <w:t>溶解性总固体</w:t>
            </w:r>
          </w:p>
        </w:tc>
        <w:tc>
          <w:tcPr>
            <w:tcW w:w="5296" w:type="dxa"/>
            <w:vAlign w:val="top"/>
          </w:tcPr>
          <w:p w14:paraId="7821863B">
            <w:pPr>
              <w:spacing w:before="26" w:line="274" w:lineRule="exact"/>
              <w:ind w:left="245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r>
      <w:tr w14:paraId="694CD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3230" w:type="dxa"/>
            <w:vAlign w:val="top"/>
          </w:tcPr>
          <w:p w14:paraId="0C5D0728">
            <w:pPr>
              <w:pStyle w:val="6"/>
              <w:spacing w:before="31" w:line="228" w:lineRule="auto"/>
              <w:ind w:left="1307"/>
            </w:pPr>
            <w:r>
              <w:rPr>
                <w:spacing w:val="6"/>
              </w:rPr>
              <w:t>耗氧量</w:t>
            </w:r>
          </w:p>
          <w:p w14:paraId="518D8212">
            <w:pPr>
              <w:pStyle w:val="6"/>
              <w:spacing w:before="53"/>
              <w:ind w:left="517"/>
            </w:pPr>
            <w:r>
              <w:rPr>
                <w:spacing w:val="6"/>
              </w:rPr>
              <w:t>（</w:t>
            </w:r>
            <w:r>
              <w:rPr>
                <w:rFonts w:ascii="Times New Roman" w:hAnsi="Times New Roman" w:eastAsia="Times New Roman" w:cs="Times New Roman"/>
              </w:rPr>
              <w:t>COD</w:t>
            </w:r>
            <w:r>
              <w:rPr>
                <w:rFonts w:ascii="Times New Roman" w:hAnsi="Times New Roman" w:eastAsia="Times New Roman" w:cs="Times New Roman"/>
                <w:position w:val="-1"/>
                <w:sz w:val="13"/>
                <w:szCs w:val="13"/>
              </w:rPr>
              <w:t>Mn</w:t>
            </w:r>
            <w:r>
              <w:rPr>
                <w:rFonts w:ascii="Times New Roman" w:hAnsi="Times New Roman" w:eastAsia="Times New Roman" w:cs="Times New Roman"/>
                <w:spacing w:val="6"/>
                <w:position w:val="-1"/>
                <w:sz w:val="13"/>
                <w:szCs w:val="13"/>
              </w:rPr>
              <w:t xml:space="preserve"> </w:t>
            </w:r>
            <w:r>
              <w:rPr>
                <w:spacing w:val="6"/>
              </w:rPr>
              <w:t>法，以</w:t>
            </w:r>
            <w:r>
              <w:rPr>
                <w:spacing w:val="-40"/>
              </w:rPr>
              <w:t xml:space="preserve"> </w:t>
            </w:r>
            <w:r>
              <w:rPr>
                <w:rFonts w:ascii="Times New Roman" w:hAnsi="Times New Roman" w:eastAsia="Times New Roman" w:cs="Times New Roman"/>
                <w:spacing w:val="6"/>
              </w:rPr>
              <w:t>O</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10"/>
                <w:w w:val="101"/>
                <w:position w:val="-1"/>
                <w:sz w:val="13"/>
                <w:szCs w:val="13"/>
              </w:rPr>
              <w:t xml:space="preserve"> </w:t>
            </w:r>
            <w:r>
              <w:rPr>
                <w:spacing w:val="6"/>
              </w:rPr>
              <w:t>计）</w:t>
            </w:r>
          </w:p>
        </w:tc>
        <w:tc>
          <w:tcPr>
            <w:tcW w:w="5296" w:type="dxa"/>
            <w:vAlign w:val="top"/>
          </w:tcPr>
          <w:p w14:paraId="3C0659B1">
            <w:pPr>
              <w:spacing w:before="164" w:line="274" w:lineRule="exact"/>
              <w:ind w:left="252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r>
      <w:tr w14:paraId="11B74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230" w:type="dxa"/>
            <w:vAlign w:val="top"/>
          </w:tcPr>
          <w:p w14:paraId="55CE85EF">
            <w:pPr>
              <w:pStyle w:val="6"/>
              <w:spacing w:before="60" w:line="229" w:lineRule="auto"/>
              <w:ind w:left="574"/>
            </w:pPr>
            <w:r>
              <w:rPr>
                <w:spacing w:val="7"/>
              </w:rPr>
              <w:t>总硬度（钙和镁总量）</w:t>
            </w:r>
          </w:p>
        </w:tc>
        <w:tc>
          <w:tcPr>
            <w:tcW w:w="5296" w:type="dxa"/>
            <w:vAlign w:val="top"/>
          </w:tcPr>
          <w:p w14:paraId="3FA17140">
            <w:pPr>
              <w:spacing w:before="30" w:line="274" w:lineRule="exact"/>
              <w:ind w:left="248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450</w:t>
            </w:r>
          </w:p>
        </w:tc>
      </w:tr>
      <w:tr w14:paraId="18B78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230" w:type="dxa"/>
            <w:vAlign w:val="top"/>
          </w:tcPr>
          <w:p w14:paraId="32F30AD8">
            <w:pPr>
              <w:pStyle w:val="6"/>
              <w:spacing w:before="60" w:line="228" w:lineRule="auto"/>
              <w:ind w:left="1411"/>
            </w:pPr>
            <w:r>
              <w:rPr>
                <w:spacing w:val="4"/>
              </w:rPr>
              <w:t>氨氮</w:t>
            </w:r>
          </w:p>
        </w:tc>
        <w:tc>
          <w:tcPr>
            <w:tcW w:w="5296" w:type="dxa"/>
            <w:vAlign w:val="top"/>
          </w:tcPr>
          <w:p w14:paraId="50743854">
            <w:pPr>
              <w:spacing w:before="30" w:line="274" w:lineRule="exact"/>
              <w:ind w:left="25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r>
      <w:tr w14:paraId="74EC8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230" w:type="dxa"/>
            <w:vAlign w:val="top"/>
          </w:tcPr>
          <w:p w14:paraId="5CD19A36">
            <w:pPr>
              <w:pStyle w:val="6"/>
              <w:spacing w:before="61" w:line="230" w:lineRule="auto"/>
              <w:ind w:left="1308"/>
            </w:pPr>
            <w:r>
              <w:rPr>
                <w:spacing w:val="6"/>
              </w:rPr>
              <w:t>硝酸盐</w:t>
            </w:r>
          </w:p>
        </w:tc>
        <w:tc>
          <w:tcPr>
            <w:tcW w:w="5296" w:type="dxa"/>
            <w:vAlign w:val="top"/>
          </w:tcPr>
          <w:p w14:paraId="5C5533A2">
            <w:pPr>
              <w:spacing w:before="31" w:line="274" w:lineRule="exact"/>
              <w:ind w:left="25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3208F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230" w:type="dxa"/>
            <w:vAlign w:val="top"/>
          </w:tcPr>
          <w:p w14:paraId="480240D0">
            <w:pPr>
              <w:pStyle w:val="6"/>
              <w:spacing w:before="32" w:line="274" w:lineRule="exact"/>
              <w:ind w:left="689"/>
            </w:pPr>
            <w:r>
              <w:rPr>
                <w:spacing w:val="6"/>
                <w:position w:val="1"/>
              </w:rPr>
              <w:t>总大肠菌群（个</w:t>
            </w:r>
            <w:r>
              <w:rPr>
                <w:rFonts w:ascii="Times New Roman" w:hAnsi="Times New Roman" w:eastAsia="Times New Roman" w:cs="Times New Roman"/>
                <w:spacing w:val="6"/>
                <w:position w:val="1"/>
              </w:rPr>
              <w:t>/L</w:t>
            </w:r>
            <w:r>
              <w:rPr>
                <w:spacing w:val="6"/>
                <w:position w:val="1"/>
              </w:rPr>
              <w:t>）</w:t>
            </w:r>
          </w:p>
        </w:tc>
        <w:tc>
          <w:tcPr>
            <w:tcW w:w="5296" w:type="dxa"/>
            <w:vAlign w:val="top"/>
          </w:tcPr>
          <w:p w14:paraId="3E0D7681">
            <w:pPr>
              <w:spacing w:before="32" w:line="274" w:lineRule="exact"/>
              <w:ind w:left="252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r>
    </w:tbl>
    <w:p w14:paraId="7AB121E7">
      <w:pPr>
        <w:spacing w:before="125" w:line="221" w:lineRule="auto"/>
        <w:ind w:left="605"/>
        <w:rPr>
          <w:rFonts w:ascii="宋体" w:hAnsi="宋体" w:eastAsia="宋体" w:cs="宋体"/>
          <w:sz w:val="24"/>
          <w:szCs w:val="24"/>
        </w:rPr>
      </w:pPr>
      <w:r>
        <w:rPr>
          <w:rFonts w:ascii="Times New Roman" w:hAnsi="Times New Roman" w:eastAsia="Times New Roman" w:cs="Times New Roman"/>
          <w:spacing w:val="-4"/>
          <w:sz w:val="24"/>
          <w:szCs w:val="24"/>
        </w:rPr>
        <w:t>5</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、土壤环境质量标准</w:t>
      </w:r>
    </w:p>
    <w:p w14:paraId="06CD638B">
      <w:pPr>
        <w:spacing w:before="203" w:line="377" w:lineRule="auto"/>
        <w:ind w:left="126" w:right="113" w:firstLine="480"/>
        <w:rPr>
          <w:rFonts w:ascii="宋体" w:hAnsi="宋体" w:eastAsia="宋体" w:cs="宋体"/>
          <w:sz w:val="24"/>
          <w:szCs w:val="24"/>
        </w:rPr>
      </w:pPr>
      <w:r>
        <w:rPr>
          <w:rFonts w:ascii="宋体" w:hAnsi="宋体" w:eastAsia="宋体" w:cs="宋体"/>
          <w:spacing w:val="-5"/>
          <w:sz w:val="24"/>
          <w:szCs w:val="24"/>
        </w:rPr>
        <w:t>项目区域土壤环境质量执行《土壤环境质量建设用地土壤污染风险管控标准（试</w:t>
      </w:r>
      <w:r>
        <w:rPr>
          <w:rFonts w:ascii="宋体" w:hAnsi="宋体" w:eastAsia="宋体" w:cs="宋体"/>
          <w:spacing w:val="9"/>
          <w:sz w:val="24"/>
          <w:szCs w:val="24"/>
        </w:rPr>
        <w:t xml:space="preserve"> </w:t>
      </w:r>
      <w:r>
        <w:rPr>
          <w:rFonts w:ascii="宋体" w:hAnsi="宋体" w:eastAsia="宋体" w:cs="宋体"/>
          <w:sz w:val="24"/>
          <w:szCs w:val="24"/>
        </w:rPr>
        <w:t>行）》</w:t>
      </w:r>
      <w:r>
        <w:rPr>
          <w:rFonts w:ascii="Times New Roman" w:hAnsi="Times New Roman" w:eastAsia="Times New Roman" w:cs="Times New Roman"/>
          <w:sz w:val="24"/>
          <w:szCs w:val="24"/>
        </w:rPr>
        <w:t>(GB36600-2018)</w:t>
      </w:r>
      <w:r>
        <w:rPr>
          <w:rFonts w:ascii="宋体" w:hAnsi="宋体" w:eastAsia="宋体" w:cs="宋体"/>
          <w:sz w:val="24"/>
          <w:szCs w:val="24"/>
        </w:rPr>
        <w:t>第二</w:t>
      </w:r>
      <w:r>
        <w:rPr>
          <w:rFonts w:ascii="宋体" w:hAnsi="宋体" w:eastAsia="宋体" w:cs="宋体"/>
          <w:spacing w:val="-1"/>
          <w:sz w:val="24"/>
          <w:szCs w:val="24"/>
        </w:rPr>
        <w:t>类建设用地筛选值，具体限值见下表。</w:t>
      </w:r>
    </w:p>
    <w:p w14:paraId="7AB5F432">
      <w:pPr>
        <w:spacing w:before="11" w:line="228" w:lineRule="auto"/>
        <w:ind w:left="536"/>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b/>
          <w:bCs/>
          <w:spacing w:val="7"/>
          <w:sz w:val="20"/>
          <w:szCs w:val="20"/>
        </w:rPr>
        <w:t>2.5-4</w:t>
      </w:r>
      <w:r>
        <w:rPr>
          <w:rFonts w:ascii="宋体" w:hAnsi="宋体" w:eastAsia="宋体" w:cs="宋体"/>
          <w:b/>
          <w:bCs/>
          <w:spacing w:val="7"/>
          <w:sz w:val="20"/>
          <w:szCs w:val="20"/>
        </w:rPr>
        <w:t>《土壤环境质量建设用地土壤污染风险管控标准（试行）》（</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36600-2018</w:t>
      </w:r>
      <w:r>
        <w:rPr>
          <w:rFonts w:ascii="宋体" w:hAnsi="宋体" w:eastAsia="宋体" w:cs="宋体"/>
          <w:b/>
          <w:bCs/>
          <w:spacing w:val="7"/>
          <w:sz w:val="20"/>
          <w:szCs w:val="20"/>
        </w:rPr>
        <w:t>）</w:t>
      </w:r>
    </w:p>
    <w:p w14:paraId="4B03ED9B">
      <w:pPr>
        <w:spacing w:line="103" w:lineRule="exact"/>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2"/>
        <w:gridCol w:w="2285"/>
        <w:gridCol w:w="1762"/>
        <w:gridCol w:w="2012"/>
        <w:gridCol w:w="2063"/>
      </w:tblGrid>
      <w:tr w14:paraId="2AD5A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724" w:type="dxa"/>
            <w:gridSpan w:val="5"/>
            <w:vAlign w:val="top"/>
          </w:tcPr>
          <w:p w14:paraId="41070629">
            <w:pPr>
              <w:pStyle w:val="6"/>
              <w:spacing w:before="62" w:line="221" w:lineRule="auto"/>
              <w:ind w:left="1227"/>
            </w:pPr>
            <w:r>
              <w:rPr>
                <w:b/>
                <w:bCs/>
                <w:spacing w:val="7"/>
              </w:rPr>
              <w:t>表</w:t>
            </w:r>
            <w:r>
              <w:rPr>
                <w:spacing w:val="-34"/>
              </w:rPr>
              <w:t xml:space="preserve"> </w:t>
            </w:r>
            <w:r>
              <w:rPr>
                <w:rFonts w:ascii="Times New Roman" w:hAnsi="Times New Roman" w:eastAsia="Times New Roman" w:cs="Times New Roman"/>
                <w:b/>
                <w:bCs/>
                <w:spacing w:val="7"/>
              </w:rPr>
              <w:t xml:space="preserve">1  </w:t>
            </w:r>
            <w:r>
              <w:rPr>
                <w:b/>
                <w:bCs/>
                <w:spacing w:val="7"/>
              </w:rPr>
              <w:t>建设用地土壤污染风险筛选值和管制值（基本项目</w:t>
            </w:r>
            <w:r>
              <w:rPr>
                <w:b/>
                <w:bCs/>
                <w:spacing w:val="-6"/>
              </w:rPr>
              <w:t>）（</w:t>
            </w:r>
            <w:r>
              <w:rPr>
                <w:spacing w:val="-59"/>
              </w:rPr>
              <w:t xml:space="preserve"> </w:t>
            </w:r>
            <w:r>
              <w:rPr>
                <w:rFonts w:ascii="Times New Roman" w:hAnsi="Times New Roman" w:eastAsia="Times New Roman" w:cs="Times New Roman"/>
                <w:b/>
                <w:bCs/>
              </w:rPr>
              <w:t>mg</w:t>
            </w:r>
            <w:r>
              <w:rPr>
                <w:rFonts w:ascii="Times New Roman" w:hAnsi="Times New Roman" w:eastAsia="Times New Roman" w:cs="Times New Roman"/>
                <w:b/>
                <w:bCs/>
                <w:spacing w:val="7"/>
              </w:rPr>
              <w:t>/</w:t>
            </w:r>
            <w:r>
              <w:rPr>
                <w:rFonts w:ascii="Times New Roman" w:hAnsi="Times New Roman" w:eastAsia="Times New Roman" w:cs="Times New Roman"/>
                <w:b/>
                <w:bCs/>
              </w:rPr>
              <w:t>kg</w:t>
            </w:r>
            <w:r>
              <w:rPr>
                <w:b/>
                <w:bCs/>
                <w:spacing w:val="7"/>
              </w:rPr>
              <w:t>）</w:t>
            </w:r>
          </w:p>
        </w:tc>
      </w:tr>
      <w:tr w14:paraId="4BAFC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02" w:type="dxa"/>
            <w:vMerge w:val="restart"/>
            <w:tcBorders>
              <w:bottom w:val="nil"/>
            </w:tcBorders>
            <w:textDirection w:val="tbRlV"/>
            <w:vAlign w:val="top"/>
          </w:tcPr>
          <w:p w14:paraId="6EF2156F">
            <w:pPr>
              <w:pStyle w:val="6"/>
              <w:spacing w:before="195" w:line="218" w:lineRule="auto"/>
              <w:ind w:left="63"/>
            </w:pPr>
            <w:r>
              <w:rPr>
                <w:spacing w:val="9"/>
              </w:rPr>
              <w:t>序</w:t>
            </w:r>
            <w:r>
              <w:rPr>
                <w:spacing w:val="17"/>
              </w:rPr>
              <w:t xml:space="preserve"> </w:t>
            </w:r>
            <w:r>
              <w:rPr>
                <w:spacing w:val="9"/>
              </w:rPr>
              <w:t>号</w:t>
            </w:r>
          </w:p>
        </w:tc>
        <w:tc>
          <w:tcPr>
            <w:tcW w:w="2285" w:type="dxa"/>
            <w:vMerge w:val="restart"/>
            <w:tcBorders>
              <w:bottom w:val="nil"/>
            </w:tcBorders>
            <w:vAlign w:val="top"/>
          </w:tcPr>
          <w:p w14:paraId="746FCFE9">
            <w:pPr>
              <w:pStyle w:val="6"/>
              <w:spacing w:before="226" w:line="229" w:lineRule="auto"/>
              <w:ind w:left="622"/>
            </w:pPr>
            <w:r>
              <w:rPr>
                <w:spacing w:val="7"/>
              </w:rPr>
              <w:t>污染物项目</w:t>
            </w:r>
          </w:p>
        </w:tc>
        <w:tc>
          <w:tcPr>
            <w:tcW w:w="1762" w:type="dxa"/>
            <w:vMerge w:val="restart"/>
            <w:tcBorders>
              <w:bottom w:val="nil"/>
            </w:tcBorders>
            <w:vAlign w:val="top"/>
          </w:tcPr>
          <w:p w14:paraId="29EA9466">
            <w:pPr>
              <w:pStyle w:val="6"/>
              <w:spacing w:before="226" w:line="230" w:lineRule="auto"/>
              <w:ind w:left="550"/>
            </w:pPr>
            <w:r>
              <w:rPr>
                <w:rFonts w:ascii="Times New Roman" w:hAnsi="Times New Roman" w:eastAsia="Times New Roman" w:cs="Times New Roman"/>
              </w:rPr>
              <w:t>CAS</w:t>
            </w:r>
            <w:r>
              <w:rPr>
                <w:rFonts w:ascii="Times New Roman" w:hAnsi="Times New Roman" w:eastAsia="Times New Roman" w:cs="Times New Roman"/>
                <w:spacing w:val="17"/>
              </w:rPr>
              <w:t xml:space="preserve"> </w:t>
            </w:r>
            <w:r>
              <w:rPr>
                <w:spacing w:val="9"/>
              </w:rPr>
              <w:t>号</w:t>
            </w:r>
          </w:p>
        </w:tc>
        <w:tc>
          <w:tcPr>
            <w:tcW w:w="4075" w:type="dxa"/>
            <w:gridSpan w:val="2"/>
            <w:vAlign w:val="top"/>
          </w:tcPr>
          <w:p w14:paraId="1F693DD4">
            <w:pPr>
              <w:pStyle w:val="6"/>
              <w:spacing w:before="58" w:line="228" w:lineRule="auto"/>
              <w:ind w:left="1515"/>
            </w:pPr>
            <w:r>
              <w:rPr>
                <w:spacing w:val="8"/>
              </w:rPr>
              <w:t>第二类用地</w:t>
            </w:r>
          </w:p>
        </w:tc>
      </w:tr>
      <w:tr w14:paraId="06CFA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02" w:type="dxa"/>
            <w:vMerge w:val="continue"/>
            <w:tcBorders>
              <w:top w:val="nil"/>
            </w:tcBorders>
            <w:textDirection w:val="tbRlV"/>
            <w:vAlign w:val="top"/>
          </w:tcPr>
          <w:p w14:paraId="06F1A570">
            <w:pPr>
              <w:rPr>
                <w:rFonts w:ascii="Arial"/>
                <w:sz w:val="21"/>
              </w:rPr>
            </w:pPr>
          </w:p>
        </w:tc>
        <w:tc>
          <w:tcPr>
            <w:tcW w:w="2285" w:type="dxa"/>
            <w:vMerge w:val="continue"/>
            <w:tcBorders>
              <w:top w:val="nil"/>
            </w:tcBorders>
            <w:vAlign w:val="top"/>
          </w:tcPr>
          <w:p w14:paraId="002FBBCF">
            <w:pPr>
              <w:rPr>
                <w:rFonts w:ascii="Arial"/>
                <w:sz w:val="21"/>
              </w:rPr>
            </w:pPr>
          </w:p>
        </w:tc>
        <w:tc>
          <w:tcPr>
            <w:tcW w:w="1762" w:type="dxa"/>
            <w:vMerge w:val="continue"/>
            <w:tcBorders>
              <w:top w:val="nil"/>
            </w:tcBorders>
            <w:vAlign w:val="top"/>
          </w:tcPr>
          <w:p w14:paraId="35F2AD15">
            <w:pPr>
              <w:rPr>
                <w:rFonts w:ascii="Arial"/>
                <w:sz w:val="21"/>
              </w:rPr>
            </w:pPr>
          </w:p>
        </w:tc>
        <w:tc>
          <w:tcPr>
            <w:tcW w:w="2012" w:type="dxa"/>
            <w:vAlign w:val="top"/>
          </w:tcPr>
          <w:p w14:paraId="0381C871">
            <w:pPr>
              <w:pStyle w:val="6"/>
              <w:spacing w:before="59" w:line="228" w:lineRule="auto"/>
              <w:ind w:left="699"/>
            </w:pPr>
            <w:r>
              <w:rPr>
                <w:spacing w:val="6"/>
              </w:rPr>
              <w:t>筛选值</w:t>
            </w:r>
          </w:p>
        </w:tc>
        <w:tc>
          <w:tcPr>
            <w:tcW w:w="2063" w:type="dxa"/>
            <w:vAlign w:val="top"/>
          </w:tcPr>
          <w:p w14:paraId="22D52E01">
            <w:pPr>
              <w:pStyle w:val="6"/>
              <w:spacing w:before="59" w:line="228" w:lineRule="auto"/>
              <w:ind w:left="727"/>
            </w:pPr>
            <w:r>
              <w:rPr>
                <w:spacing w:val="5"/>
              </w:rPr>
              <w:t>管制值</w:t>
            </w:r>
          </w:p>
        </w:tc>
      </w:tr>
      <w:tr w14:paraId="45105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724" w:type="dxa"/>
            <w:gridSpan w:val="5"/>
            <w:vAlign w:val="top"/>
          </w:tcPr>
          <w:p w14:paraId="45BFE324">
            <w:pPr>
              <w:pStyle w:val="6"/>
              <w:spacing w:before="60" w:line="228" w:lineRule="auto"/>
              <w:ind w:left="3633"/>
            </w:pPr>
            <w:r>
              <w:rPr>
                <w:spacing w:val="8"/>
              </w:rPr>
              <w:t>重金属和无机物</w:t>
            </w:r>
          </w:p>
        </w:tc>
      </w:tr>
      <w:tr w14:paraId="22E71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343362AB">
            <w:pPr>
              <w:spacing w:before="30" w:line="274" w:lineRule="exact"/>
              <w:ind w:left="26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285" w:type="dxa"/>
            <w:vAlign w:val="top"/>
          </w:tcPr>
          <w:p w14:paraId="4A73EA99">
            <w:pPr>
              <w:pStyle w:val="6"/>
              <w:spacing w:before="61" w:line="229" w:lineRule="auto"/>
              <w:ind w:left="1040"/>
            </w:pPr>
            <w:r>
              <w:rPr>
                <w:spacing w:val="1"/>
              </w:rPr>
              <w:t>砷</w:t>
            </w:r>
          </w:p>
        </w:tc>
        <w:tc>
          <w:tcPr>
            <w:tcW w:w="1762" w:type="dxa"/>
            <w:vAlign w:val="top"/>
          </w:tcPr>
          <w:p w14:paraId="7C2103F9">
            <w:pPr>
              <w:spacing w:before="30" w:line="274"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7440-38-2</w:t>
            </w:r>
          </w:p>
        </w:tc>
        <w:tc>
          <w:tcPr>
            <w:tcW w:w="2012" w:type="dxa"/>
            <w:vAlign w:val="top"/>
          </w:tcPr>
          <w:p w14:paraId="7E8DF899">
            <w:pPr>
              <w:spacing w:before="30" w:line="274" w:lineRule="exact"/>
              <w:ind w:left="9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2063" w:type="dxa"/>
            <w:vAlign w:val="top"/>
          </w:tcPr>
          <w:p w14:paraId="2A7047BF">
            <w:pPr>
              <w:spacing w:before="30"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140</w:t>
            </w:r>
          </w:p>
        </w:tc>
      </w:tr>
      <w:tr w14:paraId="53A7E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02" w:type="dxa"/>
            <w:vAlign w:val="top"/>
          </w:tcPr>
          <w:p w14:paraId="10C895B0">
            <w:pPr>
              <w:spacing w:before="30"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285" w:type="dxa"/>
            <w:vAlign w:val="top"/>
          </w:tcPr>
          <w:p w14:paraId="0B452BB8">
            <w:pPr>
              <w:pStyle w:val="6"/>
              <w:spacing w:before="61" w:line="231" w:lineRule="auto"/>
              <w:ind w:left="1039"/>
            </w:pPr>
            <w:r>
              <w:rPr>
                <w:spacing w:val="2"/>
              </w:rPr>
              <w:t>镉</w:t>
            </w:r>
          </w:p>
        </w:tc>
        <w:tc>
          <w:tcPr>
            <w:tcW w:w="1762" w:type="dxa"/>
            <w:vAlign w:val="top"/>
          </w:tcPr>
          <w:p w14:paraId="6DCB1519">
            <w:pPr>
              <w:spacing w:before="30" w:line="274"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7440-43-9</w:t>
            </w:r>
          </w:p>
        </w:tc>
        <w:tc>
          <w:tcPr>
            <w:tcW w:w="2012" w:type="dxa"/>
            <w:vAlign w:val="top"/>
          </w:tcPr>
          <w:p w14:paraId="4002B9FB">
            <w:pPr>
              <w:spacing w:before="30" w:line="274" w:lineRule="exact"/>
              <w:ind w:left="9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2063" w:type="dxa"/>
            <w:vAlign w:val="top"/>
          </w:tcPr>
          <w:p w14:paraId="6B332CB8">
            <w:pPr>
              <w:spacing w:before="30"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172</w:t>
            </w:r>
          </w:p>
        </w:tc>
      </w:tr>
      <w:tr w14:paraId="34F5B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51F787C">
            <w:pPr>
              <w:spacing w:before="31" w:line="274" w:lineRule="exact"/>
              <w:ind w:left="2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285" w:type="dxa"/>
            <w:vAlign w:val="top"/>
          </w:tcPr>
          <w:p w14:paraId="66048603">
            <w:pPr>
              <w:pStyle w:val="6"/>
              <w:spacing w:before="62" w:line="227" w:lineRule="auto"/>
              <w:ind w:left="620"/>
            </w:pPr>
            <w:r>
              <w:rPr>
                <w:spacing w:val="6"/>
              </w:rPr>
              <w:t>铬（六价）</w:t>
            </w:r>
          </w:p>
        </w:tc>
        <w:tc>
          <w:tcPr>
            <w:tcW w:w="1762" w:type="dxa"/>
            <w:vAlign w:val="top"/>
          </w:tcPr>
          <w:p w14:paraId="2290B7A3">
            <w:pPr>
              <w:spacing w:before="31" w:line="27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18540-29-9</w:t>
            </w:r>
          </w:p>
        </w:tc>
        <w:tc>
          <w:tcPr>
            <w:tcW w:w="2012" w:type="dxa"/>
            <w:vAlign w:val="top"/>
          </w:tcPr>
          <w:p w14:paraId="61BD4F08">
            <w:pPr>
              <w:spacing w:before="101" w:line="192" w:lineRule="auto"/>
              <w:ind w:left="88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2063" w:type="dxa"/>
            <w:vAlign w:val="top"/>
          </w:tcPr>
          <w:p w14:paraId="38DDB271">
            <w:pPr>
              <w:spacing w:before="31" w:line="274" w:lineRule="exact"/>
              <w:ind w:left="93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78</w:t>
            </w:r>
          </w:p>
        </w:tc>
      </w:tr>
      <w:tr w14:paraId="09114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02" w:type="dxa"/>
            <w:vAlign w:val="top"/>
          </w:tcPr>
          <w:p w14:paraId="061C88C2">
            <w:pPr>
              <w:spacing w:before="31"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285" w:type="dxa"/>
            <w:vAlign w:val="top"/>
          </w:tcPr>
          <w:p w14:paraId="7DBE01EA">
            <w:pPr>
              <w:pStyle w:val="6"/>
              <w:spacing w:before="62" w:line="230" w:lineRule="auto"/>
              <w:ind w:left="1041"/>
            </w:pPr>
            <w:r>
              <w:t>铜</w:t>
            </w:r>
          </w:p>
        </w:tc>
        <w:tc>
          <w:tcPr>
            <w:tcW w:w="1762" w:type="dxa"/>
            <w:vAlign w:val="top"/>
          </w:tcPr>
          <w:p w14:paraId="72B6F6C9">
            <w:pPr>
              <w:spacing w:before="31" w:line="274"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7440-50-8</w:t>
            </w:r>
          </w:p>
        </w:tc>
        <w:tc>
          <w:tcPr>
            <w:tcW w:w="2012" w:type="dxa"/>
            <w:vAlign w:val="top"/>
          </w:tcPr>
          <w:p w14:paraId="3DA3897A">
            <w:pPr>
              <w:spacing w:before="31" w:line="274" w:lineRule="exact"/>
              <w:ind w:left="7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18000</w:t>
            </w:r>
          </w:p>
        </w:tc>
        <w:tc>
          <w:tcPr>
            <w:tcW w:w="2063" w:type="dxa"/>
            <w:vAlign w:val="top"/>
          </w:tcPr>
          <w:p w14:paraId="3C403C09">
            <w:pPr>
              <w:spacing w:before="31" w:line="274" w:lineRule="exact"/>
              <w:ind w:left="7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36000</w:t>
            </w:r>
          </w:p>
        </w:tc>
      </w:tr>
    </w:tbl>
    <w:p w14:paraId="6D73E9DD">
      <w:pPr>
        <w:pStyle w:val="2"/>
        <w:spacing w:line="173" w:lineRule="exact"/>
        <w:rPr>
          <w:sz w:val="15"/>
        </w:rPr>
      </w:pPr>
    </w:p>
    <w:p w14:paraId="19158E77">
      <w:pPr>
        <w:spacing w:line="173" w:lineRule="exact"/>
        <w:rPr>
          <w:sz w:val="15"/>
          <w:szCs w:val="15"/>
        </w:rPr>
        <w:sectPr>
          <w:footerReference r:id="rId48" w:type="default"/>
          <w:pgSz w:w="11906" w:h="16839"/>
          <w:pgMar w:top="1418" w:right="1475" w:bottom="1485" w:left="1475" w:header="0" w:footer="1249" w:gutter="0"/>
          <w:cols w:space="720" w:num="1"/>
        </w:sectPr>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2"/>
        <w:gridCol w:w="2285"/>
        <w:gridCol w:w="1762"/>
        <w:gridCol w:w="2012"/>
        <w:gridCol w:w="2063"/>
      </w:tblGrid>
      <w:tr w14:paraId="3BC3D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02" w:type="dxa"/>
            <w:vAlign w:val="top"/>
          </w:tcPr>
          <w:p w14:paraId="73E54E80">
            <w:pPr>
              <w:spacing w:before="102" w:line="192" w:lineRule="auto"/>
              <w:ind w:left="25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85" w:type="dxa"/>
            <w:vAlign w:val="top"/>
          </w:tcPr>
          <w:p w14:paraId="117A73DC">
            <w:pPr>
              <w:pStyle w:val="6"/>
              <w:spacing w:before="63" w:line="233" w:lineRule="auto"/>
              <w:ind w:left="1041"/>
            </w:pPr>
            <w:r>
              <w:t>铅</w:t>
            </w:r>
          </w:p>
        </w:tc>
        <w:tc>
          <w:tcPr>
            <w:tcW w:w="1762" w:type="dxa"/>
            <w:vAlign w:val="top"/>
          </w:tcPr>
          <w:p w14:paraId="3E4F75C4">
            <w:pPr>
              <w:spacing w:before="33" w:line="274"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7439-92-1</w:t>
            </w:r>
          </w:p>
        </w:tc>
        <w:tc>
          <w:tcPr>
            <w:tcW w:w="2012" w:type="dxa"/>
            <w:vAlign w:val="top"/>
          </w:tcPr>
          <w:p w14:paraId="01D3B1F9">
            <w:pPr>
              <w:spacing w:before="33" w:line="274" w:lineRule="exact"/>
              <w:ind w:left="86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800</w:t>
            </w:r>
          </w:p>
        </w:tc>
        <w:tc>
          <w:tcPr>
            <w:tcW w:w="2063" w:type="dxa"/>
            <w:vAlign w:val="top"/>
          </w:tcPr>
          <w:p w14:paraId="4D85C599">
            <w:pPr>
              <w:spacing w:before="33" w:line="274" w:lineRule="exact"/>
              <w:ind w:left="82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r>
      <w:tr w14:paraId="60282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3A2557D1">
            <w:pPr>
              <w:spacing w:before="29"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285" w:type="dxa"/>
            <w:vAlign w:val="top"/>
          </w:tcPr>
          <w:p w14:paraId="184E2B7D">
            <w:pPr>
              <w:pStyle w:val="6"/>
              <w:spacing w:before="60" w:line="229" w:lineRule="auto"/>
              <w:ind w:left="1041"/>
            </w:pPr>
            <w:r>
              <w:t>汞</w:t>
            </w:r>
          </w:p>
        </w:tc>
        <w:tc>
          <w:tcPr>
            <w:tcW w:w="1762" w:type="dxa"/>
            <w:vAlign w:val="top"/>
          </w:tcPr>
          <w:p w14:paraId="061AD8EC">
            <w:pPr>
              <w:spacing w:before="29" w:line="274"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7439-97-6</w:t>
            </w:r>
          </w:p>
        </w:tc>
        <w:tc>
          <w:tcPr>
            <w:tcW w:w="2012" w:type="dxa"/>
            <w:vAlign w:val="top"/>
          </w:tcPr>
          <w:p w14:paraId="3A89A194">
            <w:pPr>
              <w:spacing w:before="29" w:line="274" w:lineRule="exact"/>
              <w:ind w:left="9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38</w:t>
            </w:r>
          </w:p>
        </w:tc>
        <w:tc>
          <w:tcPr>
            <w:tcW w:w="2063" w:type="dxa"/>
            <w:vAlign w:val="top"/>
          </w:tcPr>
          <w:p w14:paraId="36BF2AA4">
            <w:pPr>
              <w:spacing w:before="29" w:line="274" w:lineRule="exact"/>
              <w:ind w:left="9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w:t>
            </w:r>
          </w:p>
        </w:tc>
      </w:tr>
      <w:tr w14:paraId="7229D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12273EBD">
            <w:pPr>
              <w:spacing w:before="98" w:line="192"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285" w:type="dxa"/>
            <w:vAlign w:val="top"/>
          </w:tcPr>
          <w:p w14:paraId="211B63D5">
            <w:pPr>
              <w:pStyle w:val="6"/>
              <w:spacing w:before="60" w:line="229" w:lineRule="auto"/>
              <w:ind w:left="1040"/>
            </w:pPr>
            <w:r>
              <w:rPr>
                <w:spacing w:val="1"/>
              </w:rPr>
              <w:t>镍</w:t>
            </w:r>
          </w:p>
        </w:tc>
        <w:tc>
          <w:tcPr>
            <w:tcW w:w="1762" w:type="dxa"/>
            <w:vAlign w:val="top"/>
          </w:tcPr>
          <w:p w14:paraId="228165F3">
            <w:pPr>
              <w:spacing w:before="29" w:line="274"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7440-02-0</w:t>
            </w:r>
          </w:p>
        </w:tc>
        <w:tc>
          <w:tcPr>
            <w:tcW w:w="2012" w:type="dxa"/>
            <w:vAlign w:val="top"/>
          </w:tcPr>
          <w:p w14:paraId="39B584E5">
            <w:pPr>
              <w:spacing w:before="29" w:line="274" w:lineRule="exact"/>
              <w:ind w:left="8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900</w:t>
            </w:r>
          </w:p>
        </w:tc>
        <w:tc>
          <w:tcPr>
            <w:tcW w:w="2063" w:type="dxa"/>
            <w:vAlign w:val="top"/>
          </w:tcPr>
          <w:p w14:paraId="293EDFA7">
            <w:pPr>
              <w:spacing w:before="29" w:line="274" w:lineRule="exact"/>
              <w:ind w:left="82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w:t>
            </w:r>
          </w:p>
        </w:tc>
      </w:tr>
      <w:tr w14:paraId="05F20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724" w:type="dxa"/>
            <w:gridSpan w:val="5"/>
            <w:vAlign w:val="top"/>
          </w:tcPr>
          <w:p w14:paraId="1309EC8B">
            <w:pPr>
              <w:pStyle w:val="6"/>
              <w:spacing w:before="59" w:line="228" w:lineRule="auto"/>
              <w:ind w:left="3737"/>
            </w:pPr>
            <w:r>
              <w:rPr>
                <w:spacing w:val="8"/>
              </w:rPr>
              <w:t>挥发性有机物</w:t>
            </w:r>
          </w:p>
        </w:tc>
      </w:tr>
      <w:tr w14:paraId="12B04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DD14BD1">
            <w:pPr>
              <w:spacing w:before="30" w:line="274" w:lineRule="exact"/>
              <w:ind w:left="25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285" w:type="dxa"/>
            <w:vAlign w:val="top"/>
          </w:tcPr>
          <w:p w14:paraId="1E33EE7F">
            <w:pPr>
              <w:pStyle w:val="6"/>
              <w:spacing w:before="61" w:line="229" w:lineRule="auto"/>
              <w:ind w:left="746"/>
            </w:pPr>
            <w:r>
              <w:rPr>
                <w:spacing w:val="2"/>
              </w:rPr>
              <w:t>四氯化碳</w:t>
            </w:r>
          </w:p>
        </w:tc>
        <w:tc>
          <w:tcPr>
            <w:tcW w:w="1762" w:type="dxa"/>
            <w:vAlign w:val="top"/>
          </w:tcPr>
          <w:p w14:paraId="185A7E33">
            <w:pPr>
              <w:spacing w:before="30" w:line="274" w:lineRule="exact"/>
              <w:ind w:left="5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56-23-5</w:t>
            </w:r>
          </w:p>
        </w:tc>
        <w:tc>
          <w:tcPr>
            <w:tcW w:w="2012" w:type="dxa"/>
            <w:vAlign w:val="top"/>
          </w:tcPr>
          <w:p w14:paraId="17BDF39A">
            <w:pPr>
              <w:spacing w:before="30" w:line="274" w:lineRule="exact"/>
              <w:ind w:left="8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2063" w:type="dxa"/>
            <w:vAlign w:val="top"/>
          </w:tcPr>
          <w:p w14:paraId="71733B43">
            <w:pPr>
              <w:spacing w:before="30" w:line="274" w:lineRule="exact"/>
              <w:ind w:left="9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36</w:t>
            </w:r>
          </w:p>
        </w:tc>
      </w:tr>
      <w:tr w14:paraId="4EAA0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02" w:type="dxa"/>
            <w:vAlign w:val="top"/>
          </w:tcPr>
          <w:p w14:paraId="34B97013">
            <w:pPr>
              <w:spacing w:before="30" w:line="274" w:lineRule="exact"/>
              <w:ind w:left="2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285" w:type="dxa"/>
            <w:vAlign w:val="top"/>
          </w:tcPr>
          <w:p w14:paraId="368BF89D">
            <w:pPr>
              <w:pStyle w:val="6"/>
              <w:spacing w:before="61" w:line="229" w:lineRule="auto"/>
              <w:ind w:left="941"/>
            </w:pPr>
            <w:r>
              <w:rPr>
                <w:spacing w:val="3"/>
              </w:rPr>
              <w:t>氯仿</w:t>
            </w:r>
          </w:p>
        </w:tc>
        <w:tc>
          <w:tcPr>
            <w:tcW w:w="1762" w:type="dxa"/>
            <w:vAlign w:val="top"/>
          </w:tcPr>
          <w:p w14:paraId="324EBACF">
            <w:pPr>
              <w:spacing w:before="30" w:line="274" w:lineRule="exact"/>
              <w:ind w:left="5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67-66-3</w:t>
            </w:r>
          </w:p>
        </w:tc>
        <w:tc>
          <w:tcPr>
            <w:tcW w:w="2012" w:type="dxa"/>
            <w:vAlign w:val="top"/>
          </w:tcPr>
          <w:p w14:paraId="08C1BD84">
            <w:pPr>
              <w:spacing w:before="30" w:line="274" w:lineRule="exact"/>
              <w:ind w:left="87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0.9</w:t>
            </w:r>
          </w:p>
        </w:tc>
        <w:tc>
          <w:tcPr>
            <w:tcW w:w="2063" w:type="dxa"/>
            <w:vAlign w:val="top"/>
          </w:tcPr>
          <w:p w14:paraId="73A2A943">
            <w:pPr>
              <w:spacing w:before="30" w:line="274" w:lineRule="exact"/>
              <w:ind w:left="94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68C8C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4C389CC2">
            <w:pPr>
              <w:spacing w:before="31"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285" w:type="dxa"/>
            <w:vAlign w:val="top"/>
          </w:tcPr>
          <w:p w14:paraId="01E9DA7C">
            <w:pPr>
              <w:pStyle w:val="6"/>
              <w:spacing w:before="62" w:line="229" w:lineRule="auto"/>
              <w:ind w:left="835"/>
            </w:pPr>
            <w:r>
              <w:rPr>
                <w:spacing w:val="5"/>
              </w:rPr>
              <w:t>氯甲烷</w:t>
            </w:r>
          </w:p>
        </w:tc>
        <w:tc>
          <w:tcPr>
            <w:tcW w:w="1762" w:type="dxa"/>
            <w:vAlign w:val="top"/>
          </w:tcPr>
          <w:p w14:paraId="608F8754">
            <w:pPr>
              <w:spacing w:before="31"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74-87-3</w:t>
            </w:r>
          </w:p>
        </w:tc>
        <w:tc>
          <w:tcPr>
            <w:tcW w:w="2012" w:type="dxa"/>
            <w:vAlign w:val="top"/>
          </w:tcPr>
          <w:p w14:paraId="3FFA3948">
            <w:pPr>
              <w:spacing w:before="31" w:line="274" w:lineRule="exact"/>
              <w:ind w:left="9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37</w:t>
            </w:r>
          </w:p>
        </w:tc>
        <w:tc>
          <w:tcPr>
            <w:tcW w:w="2063" w:type="dxa"/>
            <w:vAlign w:val="top"/>
          </w:tcPr>
          <w:p w14:paraId="475B1EFF">
            <w:pPr>
              <w:spacing w:before="31"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120</w:t>
            </w:r>
          </w:p>
        </w:tc>
      </w:tr>
      <w:tr w14:paraId="5D093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19801FF5">
            <w:pPr>
              <w:spacing w:before="31"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2285" w:type="dxa"/>
            <w:vAlign w:val="top"/>
          </w:tcPr>
          <w:p w14:paraId="7C79BFA1">
            <w:pPr>
              <w:pStyle w:val="6"/>
              <w:spacing w:before="31" w:line="274" w:lineRule="exact"/>
              <w:ind w:left="577"/>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二氯乙烷</w:t>
            </w:r>
          </w:p>
        </w:tc>
        <w:tc>
          <w:tcPr>
            <w:tcW w:w="1762" w:type="dxa"/>
            <w:vAlign w:val="top"/>
          </w:tcPr>
          <w:p w14:paraId="1A9D6C9E">
            <w:pPr>
              <w:spacing w:before="31"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75-34-3</w:t>
            </w:r>
          </w:p>
        </w:tc>
        <w:tc>
          <w:tcPr>
            <w:tcW w:w="2012" w:type="dxa"/>
            <w:vAlign w:val="top"/>
          </w:tcPr>
          <w:p w14:paraId="22254E27">
            <w:pPr>
              <w:spacing w:before="31" w:line="274" w:lineRule="exact"/>
              <w:ind w:left="9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063" w:type="dxa"/>
            <w:vAlign w:val="top"/>
          </w:tcPr>
          <w:p w14:paraId="4EE6E59D">
            <w:pPr>
              <w:spacing w:before="31"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r>
      <w:tr w14:paraId="650F2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02" w:type="dxa"/>
            <w:vAlign w:val="top"/>
          </w:tcPr>
          <w:p w14:paraId="10E477ED">
            <w:pPr>
              <w:spacing w:before="31"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2285" w:type="dxa"/>
            <w:vAlign w:val="top"/>
          </w:tcPr>
          <w:p w14:paraId="0B95611C">
            <w:pPr>
              <w:pStyle w:val="6"/>
              <w:spacing w:before="31" w:line="274" w:lineRule="exact"/>
              <w:ind w:left="577"/>
            </w:pPr>
            <w:r>
              <w:rPr>
                <w:rFonts w:ascii="Times New Roman" w:hAnsi="Times New Roman" w:eastAsia="Times New Roman" w:cs="Times New Roman"/>
                <w:spacing w:val="3"/>
                <w:position w:val="2"/>
              </w:rPr>
              <w:t>1,2-</w:t>
            </w:r>
            <w:r>
              <w:rPr>
                <w:spacing w:val="3"/>
                <w:position w:val="2"/>
              </w:rPr>
              <w:t>二氯乙烷</w:t>
            </w:r>
          </w:p>
        </w:tc>
        <w:tc>
          <w:tcPr>
            <w:tcW w:w="1762" w:type="dxa"/>
            <w:vAlign w:val="top"/>
          </w:tcPr>
          <w:p w14:paraId="2C51223D">
            <w:pPr>
              <w:spacing w:before="31"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107-06-2</w:t>
            </w:r>
          </w:p>
        </w:tc>
        <w:tc>
          <w:tcPr>
            <w:tcW w:w="2012" w:type="dxa"/>
            <w:vAlign w:val="top"/>
          </w:tcPr>
          <w:p w14:paraId="3BE4DEE0">
            <w:pPr>
              <w:spacing w:before="100" w:line="192" w:lineRule="auto"/>
              <w:ind w:left="96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63" w:type="dxa"/>
            <w:vAlign w:val="top"/>
          </w:tcPr>
          <w:p w14:paraId="17CDD5BD">
            <w:pPr>
              <w:spacing w:before="31" w:line="274" w:lineRule="exact"/>
              <w:ind w:left="92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21</w:t>
            </w:r>
          </w:p>
        </w:tc>
      </w:tr>
      <w:tr w14:paraId="0A12C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4E3BB190">
            <w:pPr>
              <w:spacing w:before="32"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2285" w:type="dxa"/>
            <w:vAlign w:val="top"/>
          </w:tcPr>
          <w:p w14:paraId="74AA0292">
            <w:pPr>
              <w:pStyle w:val="6"/>
              <w:spacing w:before="32" w:line="274" w:lineRule="exact"/>
              <w:ind w:left="577"/>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二氯乙烯</w:t>
            </w:r>
          </w:p>
        </w:tc>
        <w:tc>
          <w:tcPr>
            <w:tcW w:w="1762" w:type="dxa"/>
            <w:vAlign w:val="top"/>
          </w:tcPr>
          <w:p w14:paraId="77621112">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75-35-4</w:t>
            </w:r>
          </w:p>
        </w:tc>
        <w:tc>
          <w:tcPr>
            <w:tcW w:w="2012" w:type="dxa"/>
            <w:vAlign w:val="top"/>
          </w:tcPr>
          <w:p w14:paraId="4166D101">
            <w:pPr>
              <w:spacing w:before="32" w:line="274" w:lineRule="exact"/>
              <w:ind w:left="9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66</w:t>
            </w:r>
          </w:p>
        </w:tc>
        <w:tc>
          <w:tcPr>
            <w:tcW w:w="2063" w:type="dxa"/>
            <w:vAlign w:val="top"/>
          </w:tcPr>
          <w:p w14:paraId="4985058C">
            <w:pPr>
              <w:spacing w:before="32" w:line="274" w:lineRule="exact"/>
              <w:ind w:left="8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r>
      <w:tr w14:paraId="19BF7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2CCDE299">
            <w:pPr>
              <w:spacing w:before="32"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2285" w:type="dxa"/>
            <w:vAlign w:val="top"/>
          </w:tcPr>
          <w:p w14:paraId="624CBB84">
            <w:pPr>
              <w:pStyle w:val="6"/>
              <w:spacing w:before="32" w:line="274" w:lineRule="exact"/>
              <w:ind w:left="317"/>
            </w:pPr>
            <w:r>
              <w:rPr>
                <w:spacing w:val="6"/>
                <w:position w:val="2"/>
              </w:rPr>
              <w:t>顺式</w:t>
            </w:r>
            <w:r>
              <w:rPr>
                <w:rFonts w:ascii="Times New Roman" w:hAnsi="Times New Roman" w:eastAsia="Times New Roman" w:cs="Times New Roman"/>
                <w:spacing w:val="6"/>
                <w:position w:val="2"/>
              </w:rPr>
              <w:t>-1,2-</w:t>
            </w:r>
            <w:r>
              <w:rPr>
                <w:spacing w:val="6"/>
                <w:position w:val="2"/>
              </w:rPr>
              <w:t>二氯乙烯</w:t>
            </w:r>
          </w:p>
        </w:tc>
        <w:tc>
          <w:tcPr>
            <w:tcW w:w="1762" w:type="dxa"/>
            <w:vAlign w:val="top"/>
          </w:tcPr>
          <w:p w14:paraId="3963BF04">
            <w:pPr>
              <w:spacing w:before="32"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156-59-2</w:t>
            </w:r>
          </w:p>
        </w:tc>
        <w:tc>
          <w:tcPr>
            <w:tcW w:w="2012" w:type="dxa"/>
            <w:vAlign w:val="top"/>
          </w:tcPr>
          <w:p w14:paraId="01EAEA04">
            <w:pPr>
              <w:spacing w:before="32" w:line="274" w:lineRule="exact"/>
              <w:ind w:left="8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596</w:t>
            </w:r>
          </w:p>
        </w:tc>
        <w:tc>
          <w:tcPr>
            <w:tcW w:w="2063" w:type="dxa"/>
            <w:vAlign w:val="top"/>
          </w:tcPr>
          <w:p w14:paraId="0CBC607D">
            <w:pPr>
              <w:spacing w:before="32" w:line="274" w:lineRule="exact"/>
              <w:ind w:left="82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w:t>
            </w:r>
          </w:p>
        </w:tc>
      </w:tr>
      <w:tr w14:paraId="425CE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5264BC9E">
            <w:pPr>
              <w:spacing w:before="32"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285" w:type="dxa"/>
            <w:vAlign w:val="top"/>
          </w:tcPr>
          <w:p w14:paraId="19481A99">
            <w:pPr>
              <w:pStyle w:val="6"/>
              <w:spacing w:before="32" w:line="274" w:lineRule="exact"/>
              <w:ind w:left="317"/>
            </w:pPr>
            <w:r>
              <w:rPr>
                <w:spacing w:val="6"/>
                <w:position w:val="2"/>
              </w:rPr>
              <w:t>反式</w:t>
            </w:r>
            <w:r>
              <w:rPr>
                <w:rFonts w:ascii="Times New Roman" w:hAnsi="Times New Roman" w:eastAsia="Times New Roman" w:cs="Times New Roman"/>
                <w:spacing w:val="6"/>
                <w:position w:val="2"/>
              </w:rPr>
              <w:t>-1,2-</w:t>
            </w:r>
            <w:r>
              <w:rPr>
                <w:spacing w:val="6"/>
                <w:position w:val="2"/>
              </w:rPr>
              <w:t>二氯乙烯</w:t>
            </w:r>
          </w:p>
        </w:tc>
        <w:tc>
          <w:tcPr>
            <w:tcW w:w="1762" w:type="dxa"/>
            <w:vAlign w:val="top"/>
          </w:tcPr>
          <w:p w14:paraId="0E23AD0D">
            <w:pPr>
              <w:spacing w:before="32"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156-60-5</w:t>
            </w:r>
          </w:p>
        </w:tc>
        <w:tc>
          <w:tcPr>
            <w:tcW w:w="2012" w:type="dxa"/>
            <w:vAlign w:val="top"/>
          </w:tcPr>
          <w:p w14:paraId="65448479">
            <w:pPr>
              <w:spacing w:before="32" w:line="274" w:lineRule="exact"/>
              <w:ind w:left="9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2063" w:type="dxa"/>
            <w:vAlign w:val="top"/>
          </w:tcPr>
          <w:p w14:paraId="4480D2F4">
            <w:pPr>
              <w:spacing w:before="32"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163</w:t>
            </w:r>
          </w:p>
        </w:tc>
      </w:tr>
      <w:tr w14:paraId="66827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A7929D4">
            <w:pPr>
              <w:spacing w:before="32"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2285" w:type="dxa"/>
            <w:vAlign w:val="top"/>
          </w:tcPr>
          <w:p w14:paraId="2A9A61B4">
            <w:pPr>
              <w:pStyle w:val="6"/>
              <w:spacing w:before="63" w:line="229" w:lineRule="auto"/>
              <w:ind w:left="730"/>
            </w:pPr>
            <w:r>
              <w:rPr>
                <w:spacing w:val="6"/>
              </w:rPr>
              <w:t>二氯甲烷</w:t>
            </w:r>
          </w:p>
        </w:tc>
        <w:tc>
          <w:tcPr>
            <w:tcW w:w="1762" w:type="dxa"/>
            <w:vAlign w:val="top"/>
          </w:tcPr>
          <w:p w14:paraId="79574673">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75-09-2</w:t>
            </w:r>
          </w:p>
        </w:tc>
        <w:tc>
          <w:tcPr>
            <w:tcW w:w="2012" w:type="dxa"/>
            <w:vAlign w:val="top"/>
          </w:tcPr>
          <w:p w14:paraId="2078C77F">
            <w:pPr>
              <w:spacing w:before="32" w:line="274" w:lineRule="exact"/>
              <w:ind w:left="8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616</w:t>
            </w:r>
          </w:p>
        </w:tc>
        <w:tc>
          <w:tcPr>
            <w:tcW w:w="2063" w:type="dxa"/>
            <w:vAlign w:val="top"/>
          </w:tcPr>
          <w:p w14:paraId="29041D9F">
            <w:pPr>
              <w:spacing w:before="32" w:line="274" w:lineRule="exact"/>
              <w:ind w:left="82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w:t>
            </w:r>
          </w:p>
        </w:tc>
      </w:tr>
      <w:tr w14:paraId="726C5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71007D6C">
            <w:pPr>
              <w:spacing w:before="32"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17</w:t>
            </w:r>
          </w:p>
        </w:tc>
        <w:tc>
          <w:tcPr>
            <w:tcW w:w="2285" w:type="dxa"/>
            <w:vAlign w:val="top"/>
          </w:tcPr>
          <w:p w14:paraId="52B4B8AF">
            <w:pPr>
              <w:pStyle w:val="6"/>
              <w:spacing w:before="32" w:line="274" w:lineRule="exact"/>
              <w:ind w:left="577"/>
            </w:pPr>
            <w:r>
              <w:rPr>
                <w:rFonts w:ascii="Times New Roman" w:hAnsi="Times New Roman" w:eastAsia="Times New Roman" w:cs="Times New Roman"/>
                <w:spacing w:val="3"/>
                <w:position w:val="2"/>
              </w:rPr>
              <w:t>1,2-</w:t>
            </w:r>
            <w:r>
              <w:rPr>
                <w:spacing w:val="3"/>
                <w:position w:val="2"/>
              </w:rPr>
              <w:t>二氯丙烷</w:t>
            </w:r>
          </w:p>
        </w:tc>
        <w:tc>
          <w:tcPr>
            <w:tcW w:w="1762" w:type="dxa"/>
            <w:vAlign w:val="top"/>
          </w:tcPr>
          <w:p w14:paraId="46226789">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78-87-5</w:t>
            </w:r>
          </w:p>
        </w:tc>
        <w:tc>
          <w:tcPr>
            <w:tcW w:w="2012" w:type="dxa"/>
            <w:vAlign w:val="top"/>
          </w:tcPr>
          <w:p w14:paraId="5F70775E">
            <w:pPr>
              <w:spacing w:before="101" w:line="192" w:lineRule="auto"/>
              <w:ind w:left="96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63" w:type="dxa"/>
            <w:vAlign w:val="top"/>
          </w:tcPr>
          <w:p w14:paraId="0766E60E">
            <w:pPr>
              <w:spacing w:before="32" w:line="274" w:lineRule="exact"/>
              <w:ind w:left="9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r>
      <w:tr w14:paraId="0BD23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34D58C2E">
            <w:pPr>
              <w:spacing w:before="32"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18</w:t>
            </w:r>
          </w:p>
        </w:tc>
        <w:tc>
          <w:tcPr>
            <w:tcW w:w="2285" w:type="dxa"/>
            <w:vAlign w:val="top"/>
          </w:tcPr>
          <w:p w14:paraId="104B2F0B">
            <w:pPr>
              <w:pStyle w:val="6"/>
              <w:spacing w:before="32" w:line="274" w:lineRule="exact"/>
              <w:ind w:left="419"/>
            </w:pPr>
            <w:r>
              <w:rPr>
                <w:rFonts w:ascii="Times New Roman" w:hAnsi="Times New Roman" w:eastAsia="Times New Roman" w:cs="Times New Roman"/>
                <w:spacing w:val="-1"/>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1"/>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1"/>
                <w:position w:val="2"/>
              </w:rPr>
              <w:t>1,2-</w:t>
            </w:r>
            <w:r>
              <w:rPr>
                <w:spacing w:val="-1"/>
                <w:position w:val="2"/>
              </w:rPr>
              <w:t>四氯乙烷</w:t>
            </w:r>
          </w:p>
        </w:tc>
        <w:tc>
          <w:tcPr>
            <w:tcW w:w="1762" w:type="dxa"/>
            <w:vAlign w:val="top"/>
          </w:tcPr>
          <w:p w14:paraId="6690FA1E">
            <w:pPr>
              <w:spacing w:before="32" w:line="274" w:lineRule="exact"/>
              <w:ind w:left="5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630-20-6</w:t>
            </w:r>
          </w:p>
        </w:tc>
        <w:tc>
          <w:tcPr>
            <w:tcW w:w="2012" w:type="dxa"/>
            <w:vAlign w:val="top"/>
          </w:tcPr>
          <w:p w14:paraId="0F4A6E44">
            <w:pPr>
              <w:spacing w:before="32" w:line="274" w:lineRule="exact"/>
              <w:ind w:left="92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063" w:type="dxa"/>
            <w:vAlign w:val="top"/>
          </w:tcPr>
          <w:p w14:paraId="3EC76784">
            <w:pPr>
              <w:spacing w:before="32"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r>
      <w:tr w14:paraId="3E2D8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1E9964E1">
            <w:pPr>
              <w:spacing w:before="32"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19</w:t>
            </w:r>
          </w:p>
        </w:tc>
        <w:tc>
          <w:tcPr>
            <w:tcW w:w="2285" w:type="dxa"/>
            <w:vAlign w:val="top"/>
          </w:tcPr>
          <w:p w14:paraId="638E4936">
            <w:pPr>
              <w:pStyle w:val="6"/>
              <w:spacing w:before="32" w:line="274" w:lineRule="exact"/>
              <w:ind w:left="419"/>
            </w:pPr>
            <w:r>
              <w:rPr>
                <w:rFonts w:ascii="Times New Roman" w:hAnsi="Times New Roman" w:eastAsia="Times New Roman" w:cs="Times New Roman"/>
                <w:spacing w:val="1"/>
                <w:position w:val="2"/>
              </w:rPr>
              <w:t>1,</w:t>
            </w:r>
            <w:r>
              <w:rPr>
                <w:rFonts w:ascii="Times New Roman" w:hAnsi="Times New Roman" w:eastAsia="Times New Roman" w:cs="Times New Roman"/>
                <w:spacing w:val="-19"/>
                <w:position w:val="2"/>
              </w:rPr>
              <w:t xml:space="preserve"> </w:t>
            </w:r>
            <w:r>
              <w:rPr>
                <w:rFonts w:ascii="Times New Roman" w:hAnsi="Times New Roman" w:eastAsia="Times New Roman" w:cs="Times New Roman"/>
                <w:spacing w:val="1"/>
                <w:position w:val="2"/>
              </w:rPr>
              <w:t>1,2,2-</w:t>
            </w:r>
            <w:r>
              <w:rPr>
                <w:spacing w:val="1"/>
                <w:position w:val="2"/>
              </w:rPr>
              <w:t>四氯乙烷</w:t>
            </w:r>
          </w:p>
        </w:tc>
        <w:tc>
          <w:tcPr>
            <w:tcW w:w="1762" w:type="dxa"/>
            <w:vAlign w:val="top"/>
          </w:tcPr>
          <w:p w14:paraId="71160A22">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79-34-5</w:t>
            </w:r>
          </w:p>
        </w:tc>
        <w:tc>
          <w:tcPr>
            <w:tcW w:w="2012" w:type="dxa"/>
            <w:vAlign w:val="top"/>
          </w:tcPr>
          <w:p w14:paraId="44FBBA63">
            <w:pPr>
              <w:spacing w:before="32" w:line="274" w:lineRule="exact"/>
              <w:ind w:left="88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6.8</w:t>
            </w:r>
          </w:p>
        </w:tc>
        <w:tc>
          <w:tcPr>
            <w:tcW w:w="2063" w:type="dxa"/>
            <w:vAlign w:val="top"/>
          </w:tcPr>
          <w:p w14:paraId="4D2A16FC">
            <w:pPr>
              <w:spacing w:before="32" w:line="274" w:lineRule="exact"/>
              <w:ind w:left="9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5784C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51D738D8">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2285" w:type="dxa"/>
            <w:vAlign w:val="top"/>
          </w:tcPr>
          <w:p w14:paraId="7991F87D">
            <w:pPr>
              <w:pStyle w:val="6"/>
              <w:spacing w:before="63" w:line="228" w:lineRule="auto"/>
              <w:ind w:left="746"/>
            </w:pPr>
            <w:r>
              <w:rPr>
                <w:spacing w:val="2"/>
              </w:rPr>
              <w:t>四氯乙烯</w:t>
            </w:r>
          </w:p>
        </w:tc>
        <w:tc>
          <w:tcPr>
            <w:tcW w:w="1762" w:type="dxa"/>
            <w:vAlign w:val="top"/>
          </w:tcPr>
          <w:p w14:paraId="18E1DA85">
            <w:pPr>
              <w:spacing w:before="32"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127-18-4</w:t>
            </w:r>
          </w:p>
        </w:tc>
        <w:tc>
          <w:tcPr>
            <w:tcW w:w="2012" w:type="dxa"/>
            <w:vAlign w:val="top"/>
          </w:tcPr>
          <w:p w14:paraId="3CACFC07">
            <w:pPr>
              <w:spacing w:before="32" w:line="274" w:lineRule="exact"/>
              <w:ind w:left="9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c>
          <w:tcPr>
            <w:tcW w:w="2063" w:type="dxa"/>
            <w:vAlign w:val="top"/>
          </w:tcPr>
          <w:p w14:paraId="667DF0C1">
            <w:pPr>
              <w:spacing w:before="32"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183</w:t>
            </w:r>
          </w:p>
        </w:tc>
      </w:tr>
      <w:tr w14:paraId="7E2A3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29A6DEC2">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21</w:t>
            </w:r>
          </w:p>
        </w:tc>
        <w:tc>
          <w:tcPr>
            <w:tcW w:w="2285" w:type="dxa"/>
            <w:vAlign w:val="top"/>
          </w:tcPr>
          <w:p w14:paraId="03D8DB4B">
            <w:pPr>
              <w:pStyle w:val="6"/>
              <w:spacing w:before="32" w:line="274" w:lineRule="exact"/>
              <w:ind w:left="498"/>
            </w:pPr>
            <w:r>
              <w:rPr>
                <w:rFonts w:ascii="Times New Roman" w:hAnsi="Times New Roman" w:eastAsia="Times New Roman" w:cs="Times New Roman"/>
                <w:spacing w:val="-2"/>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2"/>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2"/>
                <w:position w:val="2"/>
              </w:rPr>
              <w:t>1-</w:t>
            </w:r>
            <w:r>
              <w:rPr>
                <w:spacing w:val="-2"/>
                <w:position w:val="2"/>
              </w:rPr>
              <w:t>三氯乙烷</w:t>
            </w:r>
          </w:p>
        </w:tc>
        <w:tc>
          <w:tcPr>
            <w:tcW w:w="1762" w:type="dxa"/>
            <w:vAlign w:val="top"/>
          </w:tcPr>
          <w:p w14:paraId="24A92F2B">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71-55-6</w:t>
            </w:r>
          </w:p>
        </w:tc>
        <w:tc>
          <w:tcPr>
            <w:tcW w:w="2012" w:type="dxa"/>
            <w:vAlign w:val="top"/>
          </w:tcPr>
          <w:p w14:paraId="5A9892A4">
            <w:pPr>
              <w:spacing w:before="32" w:line="274" w:lineRule="exact"/>
              <w:ind w:left="86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840</w:t>
            </w:r>
          </w:p>
        </w:tc>
        <w:tc>
          <w:tcPr>
            <w:tcW w:w="2063" w:type="dxa"/>
            <w:vAlign w:val="top"/>
          </w:tcPr>
          <w:p w14:paraId="39F134AD">
            <w:pPr>
              <w:spacing w:before="32" w:line="274" w:lineRule="exact"/>
              <w:ind w:left="88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840</w:t>
            </w:r>
          </w:p>
        </w:tc>
      </w:tr>
      <w:tr w14:paraId="2F31B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39279D0">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22</w:t>
            </w:r>
          </w:p>
        </w:tc>
        <w:tc>
          <w:tcPr>
            <w:tcW w:w="2285" w:type="dxa"/>
            <w:vAlign w:val="top"/>
          </w:tcPr>
          <w:p w14:paraId="7439EEEA">
            <w:pPr>
              <w:pStyle w:val="6"/>
              <w:spacing w:before="32" w:line="274" w:lineRule="exact"/>
              <w:ind w:left="498"/>
            </w:pPr>
            <w:r>
              <w:rPr>
                <w:rFonts w:ascii="Times New Roman" w:hAnsi="Times New Roman" w:eastAsia="Times New Roman" w:cs="Times New Roman"/>
                <w:spacing w:val="1"/>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1"/>
                <w:position w:val="2"/>
              </w:rPr>
              <w:t>1,2-</w:t>
            </w:r>
            <w:r>
              <w:rPr>
                <w:spacing w:val="1"/>
                <w:position w:val="2"/>
              </w:rPr>
              <w:t>三氯乙烷</w:t>
            </w:r>
          </w:p>
        </w:tc>
        <w:tc>
          <w:tcPr>
            <w:tcW w:w="1762" w:type="dxa"/>
            <w:vAlign w:val="top"/>
          </w:tcPr>
          <w:p w14:paraId="0DD837BB">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79-00-5</w:t>
            </w:r>
          </w:p>
        </w:tc>
        <w:tc>
          <w:tcPr>
            <w:tcW w:w="2012" w:type="dxa"/>
            <w:vAlign w:val="top"/>
          </w:tcPr>
          <w:p w14:paraId="6B0BF593">
            <w:pPr>
              <w:spacing w:before="32" w:line="274" w:lineRule="exact"/>
              <w:ind w:left="8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2063" w:type="dxa"/>
            <w:vAlign w:val="top"/>
          </w:tcPr>
          <w:p w14:paraId="70BE84BE">
            <w:pPr>
              <w:spacing w:before="32" w:line="274" w:lineRule="exact"/>
              <w:ind w:left="94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3F9D3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AF0876F">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23</w:t>
            </w:r>
          </w:p>
        </w:tc>
        <w:tc>
          <w:tcPr>
            <w:tcW w:w="2285" w:type="dxa"/>
            <w:vAlign w:val="top"/>
          </w:tcPr>
          <w:p w14:paraId="37EE1186">
            <w:pPr>
              <w:pStyle w:val="6"/>
              <w:spacing w:before="63" w:line="228" w:lineRule="auto"/>
              <w:ind w:left="726"/>
            </w:pPr>
            <w:r>
              <w:rPr>
                <w:spacing w:val="7"/>
              </w:rPr>
              <w:t>三氯乙烯</w:t>
            </w:r>
          </w:p>
        </w:tc>
        <w:tc>
          <w:tcPr>
            <w:tcW w:w="1762" w:type="dxa"/>
            <w:vAlign w:val="top"/>
          </w:tcPr>
          <w:p w14:paraId="71681B2A">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79-01-6</w:t>
            </w:r>
          </w:p>
        </w:tc>
        <w:tc>
          <w:tcPr>
            <w:tcW w:w="2012" w:type="dxa"/>
            <w:vAlign w:val="top"/>
          </w:tcPr>
          <w:p w14:paraId="6773D6FE">
            <w:pPr>
              <w:spacing w:before="32" w:line="274" w:lineRule="exact"/>
              <w:ind w:left="8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2063" w:type="dxa"/>
            <w:vAlign w:val="top"/>
          </w:tcPr>
          <w:p w14:paraId="7C58BEBD">
            <w:pPr>
              <w:spacing w:before="32" w:line="274" w:lineRule="exact"/>
              <w:ind w:left="9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2323E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3084D7CA">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24</w:t>
            </w:r>
          </w:p>
        </w:tc>
        <w:tc>
          <w:tcPr>
            <w:tcW w:w="2285" w:type="dxa"/>
            <w:vAlign w:val="top"/>
          </w:tcPr>
          <w:p w14:paraId="007179F9">
            <w:pPr>
              <w:pStyle w:val="6"/>
              <w:spacing w:before="32" w:line="274" w:lineRule="exact"/>
              <w:ind w:left="498"/>
            </w:pPr>
            <w:r>
              <w:rPr>
                <w:rFonts w:ascii="Times New Roman" w:hAnsi="Times New Roman" w:eastAsia="Times New Roman" w:cs="Times New Roman"/>
                <w:spacing w:val="3"/>
                <w:position w:val="2"/>
              </w:rPr>
              <w:t>1,2,3-</w:t>
            </w:r>
            <w:r>
              <w:rPr>
                <w:spacing w:val="3"/>
                <w:position w:val="2"/>
              </w:rPr>
              <w:t>三氯丙烷</w:t>
            </w:r>
          </w:p>
        </w:tc>
        <w:tc>
          <w:tcPr>
            <w:tcW w:w="1762" w:type="dxa"/>
            <w:vAlign w:val="top"/>
          </w:tcPr>
          <w:p w14:paraId="1D03BB68">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96-18-4</w:t>
            </w:r>
          </w:p>
        </w:tc>
        <w:tc>
          <w:tcPr>
            <w:tcW w:w="2012" w:type="dxa"/>
            <w:vAlign w:val="top"/>
          </w:tcPr>
          <w:p w14:paraId="39523A94">
            <w:pPr>
              <w:spacing w:before="32" w:line="274" w:lineRule="exact"/>
              <w:ind w:left="87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2063" w:type="dxa"/>
            <w:vAlign w:val="top"/>
          </w:tcPr>
          <w:p w14:paraId="68A594CA">
            <w:pPr>
              <w:spacing w:before="101" w:line="192" w:lineRule="auto"/>
              <w:ind w:left="98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6DFB4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162D9AFB">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2285" w:type="dxa"/>
            <w:vAlign w:val="top"/>
          </w:tcPr>
          <w:p w14:paraId="7952FCF6">
            <w:pPr>
              <w:pStyle w:val="6"/>
              <w:spacing w:before="63" w:line="228" w:lineRule="auto"/>
              <w:ind w:left="835"/>
            </w:pPr>
            <w:r>
              <w:rPr>
                <w:spacing w:val="5"/>
              </w:rPr>
              <w:t>氯乙烯</w:t>
            </w:r>
          </w:p>
        </w:tc>
        <w:tc>
          <w:tcPr>
            <w:tcW w:w="1762" w:type="dxa"/>
            <w:vAlign w:val="top"/>
          </w:tcPr>
          <w:p w14:paraId="3B6E0973">
            <w:pPr>
              <w:spacing w:before="32" w:line="274" w:lineRule="exact"/>
              <w:ind w:left="64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75-01</w:t>
            </w:r>
          </w:p>
        </w:tc>
        <w:tc>
          <w:tcPr>
            <w:tcW w:w="2012" w:type="dxa"/>
            <w:vAlign w:val="top"/>
          </w:tcPr>
          <w:p w14:paraId="12157919">
            <w:pPr>
              <w:spacing w:before="32" w:line="274" w:lineRule="exact"/>
              <w:ind w:left="8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0.43</w:t>
            </w:r>
          </w:p>
        </w:tc>
        <w:tc>
          <w:tcPr>
            <w:tcW w:w="2063" w:type="dxa"/>
            <w:vAlign w:val="top"/>
          </w:tcPr>
          <w:p w14:paraId="0250D030">
            <w:pPr>
              <w:spacing w:before="32" w:line="274" w:lineRule="exact"/>
              <w:ind w:left="9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w:t>
            </w:r>
          </w:p>
        </w:tc>
      </w:tr>
      <w:tr w14:paraId="70AB2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1A89AF37">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26</w:t>
            </w:r>
          </w:p>
        </w:tc>
        <w:tc>
          <w:tcPr>
            <w:tcW w:w="2285" w:type="dxa"/>
            <w:vAlign w:val="top"/>
          </w:tcPr>
          <w:p w14:paraId="5AED5BA7">
            <w:pPr>
              <w:pStyle w:val="6"/>
              <w:spacing w:before="62" w:line="228" w:lineRule="auto"/>
              <w:ind w:left="1043"/>
            </w:pPr>
            <w:r>
              <w:t>苯</w:t>
            </w:r>
          </w:p>
        </w:tc>
        <w:tc>
          <w:tcPr>
            <w:tcW w:w="1762" w:type="dxa"/>
            <w:vAlign w:val="top"/>
          </w:tcPr>
          <w:p w14:paraId="60B1472C">
            <w:pPr>
              <w:spacing w:before="32" w:line="274" w:lineRule="exact"/>
              <w:ind w:left="6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7-43-2</w:t>
            </w:r>
          </w:p>
        </w:tc>
        <w:tc>
          <w:tcPr>
            <w:tcW w:w="2012" w:type="dxa"/>
            <w:vAlign w:val="top"/>
          </w:tcPr>
          <w:p w14:paraId="02D818EC">
            <w:pPr>
              <w:spacing w:before="32" w:line="274" w:lineRule="exact"/>
              <w:ind w:left="95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063" w:type="dxa"/>
            <w:vAlign w:val="top"/>
          </w:tcPr>
          <w:p w14:paraId="1F11969B">
            <w:pPr>
              <w:spacing w:before="32" w:line="274" w:lineRule="exact"/>
              <w:ind w:left="9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r>
      <w:tr w14:paraId="3FB01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3033B44">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27</w:t>
            </w:r>
          </w:p>
        </w:tc>
        <w:tc>
          <w:tcPr>
            <w:tcW w:w="2285" w:type="dxa"/>
            <w:vAlign w:val="top"/>
          </w:tcPr>
          <w:p w14:paraId="718417B6">
            <w:pPr>
              <w:pStyle w:val="6"/>
              <w:spacing w:before="62" w:line="228" w:lineRule="auto"/>
              <w:ind w:left="941"/>
            </w:pPr>
            <w:r>
              <w:rPr>
                <w:spacing w:val="3"/>
              </w:rPr>
              <w:t>氯苯</w:t>
            </w:r>
          </w:p>
        </w:tc>
        <w:tc>
          <w:tcPr>
            <w:tcW w:w="1762" w:type="dxa"/>
            <w:vAlign w:val="top"/>
          </w:tcPr>
          <w:p w14:paraId="27E64F89">
            <w:pPr>
              <w:spacing w:before="32"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108-90-7</w:t>
            </w:r>
          </w:p>
        </w:tc>
        <w:tc>
          <w:tcPr>
            <w:tcW w:w="2012" w:type="dxa"/>
            <w:vAlign w:val="top"/>
          </w:tcPr>
          <w:p w14:paraId="7EAB72CB">
            <w:pPr>
              <w:spacing w:before="32"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270</w:t>
            </w:r>
          </w:p>
        </w:tc>
        <w:tc>
          <w:tcPr>
            <w:tcW w:w="2063" w:type="dxa"/>
            <w:vAlign w:val="top"/>
          </w:tcPr>
          <w:p w14:paraId="3C9012DB">
            <w:pPr>
              <w:spacing w:before="32" w:line="274" w:lineRule="exact"/>
              <w:ind w:left="84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r>
      <w:tr w14:paraId="0ACFD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3CBCCDE1">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2285" w:type="dxa"/>
            <w:vAlign w:val="top"/>
          </w:tcPr>
          <w:p w14:paraId="535925FD">
            <w:pPr>
              <w:pStyle w:val="6"/>
              <w:spacing w:before="32" w:line="274" w:lineRule="exact"/>
              <w:ind w:left="683"/>
            </w:pPr>
            <w:r>
              <w:rPr>
                <w:rFonts w:ascii="Times New Roman" w:hAnsi="Times New Roman" w:eastAsia="Times New Roman" w:cs="Times New Roman"/>
                <w:spacing w:val="2"/>
                <w:position w:val="2"/>
              </w:rPr>
              <w:t>1,2-</w:t>
            </w:r>
            <w:r>
              <w:rPr>
                <w:spacing w:val="2"/>
                <w:position w:val="2"/>
              </w:rPr>
              <w:t>二氯苯</w:t>
            </w:r>
          </w:p>
        </w:tc>
        <w:tc>
          <w:tcPr>
            <w:tcW w:w="1762" w:type="dxa"/>
            <w:vAlign w:val="top"/>
          </w:tcPr>
          <w:p w14:paraId="1FAA7E5B">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95-50-1</w:t>
            </w:r>
          </w:p>
        </w:tc>
        <w:tc>
          <w:tcPr>
            <w:tcW w:w="2012" w:type="dxa"/>
            <w:vAlign w:val="top"/>
          </w:tcPr>
          <w:p w14:paraId="71E16E94">
            <w:pPr>
              <w:spacing w:before="32" w:line="274" w:lineRule="exact"/>
              <w:ind w:left="8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560</w:t>
            </w:r>
          </w:p>
        </w:tc>
        <w:tc>
          <w:tcPr>
            <w:tcW w:w="2063" w:type="dxa"/>
            <w:vAlign w:val="top"/>
          </w:tcPr>
          <w:p w14:paraId="0F04B7E9">
            <w:pPr>
              <w:spacing w:before="32" w:line="274" w:lineRule="exact"/>
              <w:ind w:left="88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560</w:t>
            </w:r>
          </w:p>
        </w:tc>
      </w:tr>
      <w:tr w14:paraId="2E0D2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441C4F68">
            <w:pPr>
              <w:spacing w:before="32"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29</w:t>
            </w:r>
          </w:p>
        </w:tc>
        <w:tc>
          <w:tcPr>
            <w:tcW w:w="2285" w:type="dxa"/>
            <w:vAlign w:val="top"/>
          </w:tcPr>
          <w:p w14:paraId="6E5BE003">
            <w:pPr>
              <w:pStyle w:val="6"/>
              <w:spacing w:before="32" w:line="274" w:lineRule="exact"/>
              <w:ind w:left="683"/>
            </w:pPr>
            <w:r>
              <w:rPr>
                <w:rFonts w:ascii="Times New Roman" w:hAnsi="Times New Roman" w:eastAsia="Times New Roman" w:cs="Times New Roman"/>
                <w:spacing w:val="2"/>
                <w:position w:val="2"/>
              </w:rPr>
              <w:t>1,4-</w:t>
            </w:r>
            <w:r>
              <w:rPr>
                <w:spacing w:val="2"/>
                <w:position w:val="2"/>
              </w:rPr>
              <w:t>二氯苯</w:t>
            </w:r>
          </w:p>
        </w:tc>
        <w:tc>
          <w:tcPr>
            <w:tcW w:w="1762" w:type="dxa"/>
            <w:vAlign w:val="top"/>
          </w:tcPr>
          <w:p w14:paraId="260F5E9E">
            <w:pPr>
              <w:spacing w:before="32"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106-46-7</w:t>
            </w:r>
          </w:p>
        </w:tc>
        <w:tc>
          <w:tcPr>
            <w:tcW w:w="2012" w:type="dxa"/>
            <w:vAlign w:val="top"/>
          </w:tcPr>
          <w:p w14:paraId="2DE9D9E4">
            <w:pPr>
              <w:spacing w:before="32" w:line="274" w:lineRule="exact"/>
              <w:ind w:left="9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2063" w:type="dxa"/>
            <w:vAlign w:val="top"/>
          </w:tcPr>
          <w:p w14:paraId="65FF92E9">
            <w:pPr>
              <w:spacing w:before="32" w:line="274" w:lineRule="exact"/>
              <w:ind w:left="8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r>
      <w:tr w14:paraId="7617B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39191D7A">
            <w:pPr>
              <w:spacing w:before="32"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2285" w:type="dxa"/>
            <w:vAlign w:val="top"/>
          </w:tcPr>
          <w:p w14:paraId="0550092C">
            <w:pPr>
              <w:pStyle w:val="6"/>
              <w:spacing w:before="62" w:line="228" w:lineRule="auto"/>
              <w:ind w:left="955"/>
            </w:pPr>
            <w:r>
              <w:rPr>
                <w:spacing w:val="-4"/>
              </w:rPr>
              <w:t>乙苯</w:t>
            </w:r>
          </w:p>
        </w:tc>
        <w:tc>
          <w:tcPr>
            <w:tcW w:w="1762" w:type="dxa"/>
            <w:vAlign w:val="top"/>
          </w:tcPr>
          <w:p w14:paraId="24C9A802">
            <w:pPr>
              <w:spacing w:before="32"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106-41-4</w:t>
            </w:r>
          </w:p>
        </w:tc>
        <w:tc>
          <w:tcPr>
            <w:tcW w:w="2012" w:type="dxa"/>
            <w:vAlign w:val="top"/>
          </w:tcPr>
          <w:p w14:paraId="7951E6C8">
            <w:pPr>
              <w:spacing w:before="32" w:line="274" w:lineRule="exact"/>
              <w:ind w:left="9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2063" w:type="dxa"/>
            <w:vAlign w:val="top"/>
          </w:tcPr>
          <w:p w14:paraId="031E622B">
            <w:pPr>
              <w:spacing w:before="32" w:line="274" w:lineRule="exact"/>
              <w:ind w:left="8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280</w:t>
            </w:r>
          </w:p>
        </w:tc>
      </w:tr>
      <w:tr w14:paraId="67F81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16364091">
            <w:pPr>
              <w:spacing w:before="32"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31</w:t>
            </w:r>
          </w:p>
        </w:tc>
        <w:tc>
          <w:tcPr>
            <w:tcW w:w="2285" w:type="dxa"/>
            <w:vAlign w:val="top"/>
          </w:tcPr>
          <w:p w14:paraId="3AD95503">
            <w:pPr>
              <w:pStyle w:val="6"/>
              <w:spacing w:before="62" w:line="228" w:lineRule="auto"/>
              <w:ind w:left="834"/>
            </w:pPr>
            <w:r>
              <w:rPr>
                <w:spacing w:val="6"/>
              </w:rPr>
              <w:t>苯乙烯</w:t>
            </w:r>
          </w:p>
        </w:tc>
        <w:tc>
          <w:tcPr>
            <w:tcW w:w="1762" w:type="dxa"/>
            <w:vAlign w:val="top"/>
          </w:tcPr>
          <w:p w14:paraId="378E8E9A">
            <w:pPr>
              <w:spacing w:before="32"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100-42-5</w:t>
            </w:r>
          </w:p>
        </w:tc>
        <w:tc>
          <w:tcPr>
            <w:tcW w:w="2012" w:type="dxa"/>
            <w:vAlign w:val="top"/>
          </w:tcPr>
          <w:p w14:paraId="40F7B790">
            <w:pPr>
              <w:spacing w:before="32" w:line="274" w:lineRule="exact"/>
              <w:ind w:left="8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1290</w:t>
            </w:r>
          </w:p>
        </w:tc>
        <w:tc>
          <w:tcPr>
            <w:tcW w:w="2063" w:type="dxa"/>
            <w:vAlign w:val="top"/>
          </w:tcPr>
          <w:p w14:paraId="4E707023">
            <w:pPr>
              <w:spacing w:before="32" w:line="274" w:lineRule="exact"/>
              <w:ind w:left="84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1290</w:t>
            </w:r>
          </w:p>
        </w:tc>
      </w:tr>
      <w:tr w14:paraId="130D4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EEDEBEB">
            <w:pPr>
              <w:spacing w:before="32"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32</w:t>
            </w:r>
          </w:p>
        </w:tc>
        <w:tc>
          <w:tcPr>
            <w:tcW w:w="2285" w:type="dxa"/>
            <w:vAlign w:val="top"/>
          </w:tcPr>
          <w:p w14:paraId="0F1D8C80">
            <w:pPr>
              <w:pStyle w:val="6"/>
              <w:spacing w:before="62" w:line="228" w:lineRule="auto"/>
              <w:ind w:left="964"/>
            </w:pPr>
            <w:r>
              <w:rPr>
                <w:spacing w:val="-9"/>
              </w:rPr>
              <w:t>甲苯</w:t>
            </w:r>
          </w:p>
        </w:tc>
        <w:tc>
          <w:tcPr>
            <w:tcW w:w="1762" w:type="dxa"/>
            <w:vAlign w:val="top"/>
          </w:tcPr>
          <w:p w14:paraId="7F81F566">
            <w:pPr>
              <w:spacing w:before="32"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108-88-3</w:t>
            </w:r>
          </w:p>
        </w:tc>
        <w:tc>
          <w:tcPr>
            <w:tcW w:w="2012" w:type="dxa"/>
            <w:vAlign w:val="top"/>
          </w:tcPr>
          <w:p w14:paraId="6E2CCD06">
            <w:pPr>
              <w:spacing w:before="32" w:line="274" w:lineRule="exact"/>
              <w:ind w:left="8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1200</w:t>
            </w:r>
          </w:p>
        </w:tc>
        <w:tc>
          <w:tcPr>
            <w:tcW w:w="2063" w:type="dxa"/>
            <w:vAlign w:val="top"/>
          </w:tcPr>
          <w:p w14:paraId="4C1DD6CA">
            <w:pPr>
              <w:spacing w:before="32" w:line="274" w:lineRule="exact"/>
              <w:ind w:left="84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1200</w:t>
            </w:r>
          </w:p>
        </w:tc>
      </w:tr>
      <w:tr w14:paraId="34E93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602" w:type="dxa"/>
            <w:vAlign w:val="top"/>
          </w:tcPr>
          <w:p w14:paraId="5196F3DB">
            <w:pPr>
              <w:spacing w:before="195"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33</w:t>
            </w:r>
          </w:p>
        </w:tc>
        <w:tc>
          <w:tcPr>
            <w:tcW w:w="2285" w:type="dxa"/>
            <w:vAlign w:val="top"/>
          </w:tcPr>
          <w:p w14:paraId="7C5F68D4">
            <w:pPr>
              <w:pStyle w:val="6"/>
              <w:spacing w:before="62" w:line="228" w:lineRule="auto"/>
              <w:ind w:left="263"/>
            </w:pPr>
            <w:r>
              <w:rPr>
                <w:spacing w:val="6"/>
              </w:rPr>
              <w:t>间二甲苯</w:t>
            </w:r>
            <w:r>
              <w:rPr>
                <w:rFonts w:ascii="Times New Roman" w:hAnsi="Times New Roman" w:eastAsia="Times New Roman" w:cs="Times New Roman"/>
                <w:spacing w:val="6"/>
              </w:rPr>
              <w:t>+</w:t>
            </w:r>
            <w:r>
              <w:rPr>
                <w:spacing w:val="6"/>
              </w:rPr>
              <w:t>对二甲苯</w:t>
            </w:r>
          </w:p>
        </w:tc>
        <w:tc>
          <w:tcPr>
            <w:tcW w:w="1762" w:type="dxa"/>
            <w:vAlign w:val="top"/>
          </w:tcPr>
          <w:p w14:paraId="2F5D6344">
            <w:pPr>
              <w:spacing w:before="32"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108-38-3,</w:t>
            </w:r>
            <w:r>
              <w:rPr>
                <w:rFonts w:ascii="Times New Roman" w:hAnsi="Times New Roman" w:eastAsia="Times New Roman" w:cs="Times New Roman"/>
                <w:spacing w:val="-23"/>
                <w:position w:val="3"/>
                <w:sz w:val="20"/>
                <w:szCs w:val="20"/>
              </w:rPr>
              <w:t xml:space="preserve"> </w:t>
            </w:r>
            <w:r>
              <w:rPr>
                <w:rFonts w:ascii="Times New Roman" w:hAnsi="Times New Roman" w:eastAsia="Times New Roman" w:cs="Times New Roman"/>
                <w:spacing w:val="1"/>
                <w:position w:val="3"/>
                <w:sz w:val="20"/>
                <w:szCs w:val="20"/>
              </w:rPr>
              <w:t>106-42-</w:t>
            </w:r>
          </w:p>
          <w:p w14:paraId="34C12999">
            <w:pPr>
              <w:spacing w:before="52"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012" w:type="dxa"/>
            <w:vAlign w:val="top"/>
          </w:tcPr>
          <w:p w14:paraId="51F93E90">
            <w:pPr>
              <w:spacing w:before="195" w:line="274" w:lineRule="exact"/>
              <w:ind w:left="8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570</w:t>
            </w:r>
          </w:p>
        </w:tc>
        <w:tc>
          <w:tcPr>
            <w:tcW w:w="2063" w:type="dxa"/>
            <w:vAlign w:val="top"/>
          </w:tcPr>
          <w:p w14:paraId="224F2BA8">
            <w:pPr>
              <w:spacing w:before="195" w:line="274" w:lineRule="exact"/>
              <w:ind w:left="88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570</w:t>
            </w:r>
          </w:p>
        </w:tc>
      </w:tr>
      <w:tr w14:paraId="27945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54173E29">
            <w:pPr>
              <w:spacing w:before="33"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34</w:t>
            </w:r>
          </w:p>
        </w:tc>
        <w:tc>
          <w:tcPr>
            <w:tcW w:w="2285" w:type="dxa"/>
            <w:vAlign w:val="top"/>
          </w:tcPr>
          <w:p w14:paraId="5D1C1859">
            <w:pPr>
              <w:pStyle w:val="6"/>
              <w:spacing w:before="64" w:line="228" w:lineRule="auto"/>
              <w:ind w:left="725"/>
            </w:pPr>
            <w:r>
              <w:rPr>
                <w:spacing w:val="7"/>
              </w:rPr>
              <w:t>邻二甲苯</w:t>
            </w:r>
          </w:p>
        </w:tc>
        <w:tc>
          <w:tcPr>
            <w:tcW w:w="1762" w:type="dxa"/>
            <w:vAlign w:val="top"/>
          </w:tcPr>
          <w:p w14:paraId="5C04F5A9">
            <w:pPr>
              <w:spacing w:before="33"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95-47-6</w:t>
            </w:r>
          </w:p>
        </w:tc>
        <w:tc>
          <w:tcPr>
            <w:tcW w:w="2012" w:type="dxa"/>
            <w:vAlign w:val="top"/>
          </w:tcPr>
          <w:p w14:paraId="43660825">
            <w:pPr>
              <w:spacing w:before="33" w:line="274" w:lineRule="exact"/>
              <w:ind w:left="8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640</w:t>
            </w:r>
          </w:p>
        </w:tc>
        <w:tc>
          <w:tcPr>
            <w:tcW w:w="2063" w:type="dxa"/>
            <w:vAlign w:val="top"/>
          </w:tcPr>
          <w:p w14:paraId="0DC58152">
            <w:pPr>
              <w:spacing w:before="33" w:line="274" w:lineRule="exact"/>
              <w:ind w:left="8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640</w:t>
            </w:r>
          </w:p>
        </w:tc>
      </w:tr>
      <w:tr w14:paraId="41F32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724" w:type="dxa"/>
            <w:gridSpan w:val="5"/>
            <w:vAlign w:val="top"/>
          </w:tcPr>
          <w:p w14:paraId="473EBCCD">
            <w:pPr>
              <w:pStyle w:val="6"/>
              <w:spacing w:before="64" w:line="228" w:lineRule="auto"/>
              <w:ind w:left="3636"/>
            </w:pPr>
            <w:r>
              <w:rPr>
                <w:spacing w:val="8"/>
              </w:rPr>
              <w:t>半挥发性有机物</w:t>
            </w:r>
          </w:p>
        </w:tc>
      </w:tr>
      <w:tr w14:paraId="4922E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6E5F9DF8">
            <w:pPr>
              <w:spacing w:before="33"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2285" w:type="dxa"/>
            <w:vAlign w:val="top"/>
          </w:tcPr>
          <w:p w14:paraId="5F8C77CF">
            <w:pPr>
              <w:pStyle w:val="6"/>
              <w:spacing w:before="64" w:line="228" w:lineRule="auto"/>
              <w:ind w:left="834"/>
            </w:pPr>
            <w:r>
              <w:rPr>
                <w:spacing w:val="6"/>
              </w:rPr>
              <w:t>硝基苯</w:t>
            </w:r>
          </w:p>
        </w:tc>
        <w:tc>
          <w:tcPr>
            <w:tcW w:w="1762" w:type="dxa"/>
            <w:vAlign w:val="top"/>
          </w:tcPr>
          <w:p w14:paraId="1A714C57">
            <w:pPr>
              <w:spacing w:before="33"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98-95-3</w:t>
            </w:r>
          </w:p>
        </w:tc>
        <w:tc>
          <w:tcPr>
            <w:tcW w:w="2012" w:type="dxa"/>
            <w:vAlign w:val="top"/>
          </w:tcPr>
          <w:p w14:paraId="1B7463E8">
            <w:pPr>
              <w:spacing w:before="33" w:line="274" w:lineRule="exact"/>
              <w:ind w:left="90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76</w:t>
            </w:r>
          </w:p>
        </w:tc>
        <w:tc>
          <w:tcPr>
            <w:tcW w:w="2063" w:type="dxa"/>
            <w:vAlign w:val="top"/>
          </w:tcPr>
          <w:p w14:paraId="4A75F909">
            <w:pPr>
              <w:spacing w:before="33" w:line="274" w:lineRule="exact"/>
              <w:ind w:left="8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760</w:t>
            </w:r>
          </w:p>
        </w:tc>
      </w:tr>
      <w:tr w14:paraId="160F9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2B47D0F4">
            <w:pPr>
              <w:spacing w:before="33"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36</w:t>
            </w:r>
          </w:p>
        </w:tc>
        <w:tc>
          <w:tcPr>
            <w:tcW w:w="2285" w:type="dxa"/>
            <w:vAlign w:val="top"/>
          </w:tcPr>
          <w:p w14:paraId="26F18148">
            <w:pPr>
              <w:pStyle w:val="6"/>
              <w:spacing w:before="64" w:line="228" w:lineRule="auto"/>
              <w:ind w:left="940"/>
            </w:pPr>
            <w:r>
              <w:rPr>
                <w:spacing w:val="3"/>
              </w:rPr>
              <w:t>苯胺</w:t>
            </w:r>
          </w:p>
        </w:tc>
        <w:tc>
          <w:tcPr>
            <w:tcW w:w="1762" w:type="dxa"/>
            <w:vAlign w:val="top"/>
          </w:tcPr>
          <w:p w14:paraId="47D711CE">
            <w:pPr>
              <w:spacing w:before="33" w:line="274" w:lineRule="exact"/>
              <w:ind w:left="5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62-53-3</w:t>
            </w:r>
          </w:p>
        </w:tc>
        <w:tc>
          <w:tcPr>
            <w:tcW w:w="2012" w:type="dxa"/>
            <w:vAlign w:val="top"/>
          </w:tcPr>
          <w:p w14:paraId="20EA6857">
            <w:pPr>
              <w:spacing w:before="33"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260</w:t>
            </w:r>
          </w:p>
        </w:tc>
        <w:tc>
          <w:tcPr>
            <w:tcW w:w="2063" w:type="dxa"/>
            <w:vAlign w:val="top"/>
          </w:tcPr>
          <w:p w14:paraId="07734CEC">
            <w:pPr>
              <w:spacing w:before="33" w:line="274" w:lineRule="exact"/>
              <w:ind w:left="8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663</w:t>
            </w:r>
          </w:p>
        </w:tc>
      </w:tr>
      <w:tr w14:paraId="670DD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33B4476C">
            <w:pPr>
              <w:spacing w:before="33"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37</w:t>
            </w:r>
          </w:p>
        </w:tc>
        <w:tc>
          <w:tcPr>
            <w:tcW w:w="2285" w:type="dxa"/>
            <w:vAlign w:val="top"/>
          </w:tcPr>
          <w:p w14:paraId="266C12AB">
            <w:pPr>
              <w:pStyle w:val="6"/>
              <w:spacing w:before="33" w:line="274" w:lineRule="exact"/>
              <w:ind w:left="845"/>
            </w:pPr>
            <w:r>
              <w:rPr>
                <w:rFonts w:ascii="Times New Roman" w:hAnsi="Times New Roman" w:eastAsia="Times New Roman" w:cs="Times New Roman"/>
                <w:spacing w:val="5"/>
                <w:position w:val="1"/>
              </w:rPr>
              <w:t>2-</w:t>
            </w:r>
            <w:r>
              <w:rPr>
                <w:spacing w:val="5"/>
                <w:position w:val="1"/>
              </w:rPr>
              <w:t>氯酚</w:t>
            </w:r>
          </w:p>
        </w:tc>
        <w:tc>
          <w:tcPr>
            <w:tcW w:w="1762" w:type="dxa"/>
            <w:vAlign w:val="top"/>
          </w:tcPr>
          <w:p w14:paraId="3558A45E">
            <w:pPr>
              <w:spacing w:before="33"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95-57-8</w:t>
            </w:r>
          </w:p>
        </w:tc>
        <w:tc>
          <w:tcPr>
            <w:tcW w:w="2012" w:type="dxa"/>
            <w:vAlign w:val="top"/>
          </w:tcPr>
          <w:p w14:paraId="0F39DD55">
            <w:pPr>
              <w:spacing w:before="33" w:line="274" w:lineRule="exact"/>
              <w:ind w:left="7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2256</w:t>
            </w:r>
          </w:p>
        </w:tc>
        <w:tc>
          <w:tcPr>
            <w:tcW w:w="2063" w:type="dxa"/>
            <w:vAlign w:val="top"/>
          </w:tcPr>
          <w:p w14:paraId="47C7658B">
            <w:pPr>
              <w:spacing w:before="33" w:line="274" w:lineRule="exact"/>
              <w:ind w:left="82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4500</w:t>
            </w:r>
          </w:p>
        </w:tc>
      </w:tr>
      <w:tr w14:paraId="18FE2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3F20A3F">
            <w:pPr>
              <w:spacing w:before="33"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38</w:t>
            </w:r>
          </w:p>
        </w:tc>
        <w:tc>
          <w:tcPr>
            <w:tcW w:w="2285" w:type="dxa"/>
            <w:vAlign w:val="top"/>
          </w:tcPr>
          <w:p w14:paraId="37BA6F0B">
            <w:pPr>
              <w:pStyle w:val="6"/>
              <w:spacing w:before="33" w:line="274" w:lineRule="exact"/>
              <w:ind w:left="717"/>
            </w:pPr>
            <w:r>
              <w:rPr>
                <w:spacing w:val="5"/>
                <w:position w:val="2"/>
              </w:rPr>
              <w:t>苯并</w:t>
            </w:r>
            <w:r>
              <w:rPr>
                <w:rFonts w:ascii="Times New Roman" w:hAnsi="Times New Roman" w:eastAsia="Times New Roman" w:cs="Times New Roman"/>
                <w:spacing w:val="5"/>
                <w:position w:val="2"/>
              </w:rPr>
              <w:t>(a)</w:t>
            </w:r>
            <w:r>
              <w:rPr>
                <w:spacing w:val="5"/>
                <w:position w:val="2"/>
              </w:rPr>
              <w:t>蒽</w:t>
            </w:r>
          </w:p>
        </w:tc>
        <w:tc>
          <w:tcPr>
            <w:tcW w:w="1762" w:type="dxa"/>
            <w:vAlign w:val="top"/>
          </w:tcPr>
          <w:p w14:paraId="7A822383">
            <w:pPr>
              <w:spacing w:before="33" w:line="274" w:lineRule="exact"/>
              <w:ind w:left="5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56-55-3</w:t>
            </w:r>
          </w:p>
        </w:tc>
        <w:tc>
          <w:tcPr>
            <w:tcW w:w="2012" w:type="dxa"/>
            <w:vAlign w:val="top"/>
          </w:tcPr>
          <w:p w14:paraId="69188431">
            <w:pPr>
              <w:spacing w:before="33" w:line="274" w:lineRule="exact"/>
              <w:ind w:left="92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063" w:type="dxa"/>
            <w:vAlign w:val="top"/>
          </w:tcPr>
          <w:p w14:paraId="4BAF00D9">
            <w:pPr>
              <w:spacing w:before="33"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151</w:t>
            </w:r>
          </w:p>
        </w:tc>
      </w:tr>
      <w:tr w14:paraId="50DF2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19D121E5">
            <w:pPr>
              <w:spacing w:before="33" w:line="274" w:lineRule="exact"/>
              <w:ind w:left="2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39</w:t>
            </w:r>
          </w:p>
        </w:tc>
        <w:tc>
          <w:tcPr>
            <w:tcW w:w="2285" w:type="dxa"/>
            <w:vAlign w:val="top"/>
          </w:tcPr>
          <w:p w14:paraId="625B773B">
            <w:pPr>
              <w:pStyle w:val="6"/>
              <w:spacing w:before="33" w:line="274" w:lineRule="exact"/>
              <w:ind w:left="717"/>
            </w:pPr>
            <w:r>
              <w:rPr>
                <w:spacing w:val="5"/>
                <w:position w:val="2"/>
              </w:rPr>
              <w:t>苯并</w:t>
            </w:r>
            <w:r>
              <w:rPr>
                <w:rFonts w:ascii="Times New Roman" w:hAnsi="Times New Roman" w:eastAsia="Times New Roman" w:cs="Times New Roman"/>
                <w:spacing w:val="5"/>
                <w:position w:val="2"/>
              </w:rPr>
              <w:t>(a)</w:t>
            </w:r>
            <w:r>
              <w:rPr>
                <w:spacing w:val="5"/>
                <w:position w:val="2"/>
              </w:rPr>
              <w:t>芘</w:t>
            </w:r>
          </w:p>
        </w:tc>
        <w:tc>
          <w:tcPr>
            <w:tcW w:w="1762" w:type="dxa"/>
            <w:vAlign w:val="top"/>
          </w:tcPr>
          <w:p w14:paraId="03CB6ED1">
            <w:pPr>
              <w:spacing w:before="33" w:line="274" w:lineRule="exact"/>
              <w:ind w:left="5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50-32-8</w:t>
            </w:r>
          </w:p>
        </w:tc>
        <w:tc>
          <w:tcPr>
            <w:tcW w:w="2012" w:type="dxa"/>
            <w:vAlign w:val="top"/>
          </w:tcPr>
          <w:p w14:paraId="39991FA2">
            <w:pPr>
              <w:spacing w:before="33" w:line="274" w:lineRule="exact"/>
              <w:ind w:left="89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2063" w:type="dxa"/>
            <w:vAlign w:val="top"/>
          </w:tcPr>
          <w:p w14:paraId="33ED89B5">
            <w:pPr>
              <w:spacing w:before="33" w:line="274" w:lineRule="exact"/>
              <w:ind w:left="94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19AF4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098D5D10">
            <w:pPr>
              <w:spacing w:before="33"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2285" w:type="dxa"/>
            <w:vAlign w:val="top"/>
          </w:tcPr>
          <w:p w14:paraId="3CDC7FA1">
            <w:pPr>
              <w:pStyle w:val="6"/>
              <w:spacing w:before="33" w:line="274" w:lineRule="exact"/>
              <w:ind w:left="606"/>
            </w:pPr>
            <w:r>
              <w:rPr>
                <w:spacing w:val="5"/>
                <w:position w:val="2"/>
              </w:rPr>
              <w:t>苯并</w:t>
            </w:r>
            <w:r>
              <w:rPr>
                <w:rFonts w:ascii="Times New Roman" w:hAnsi="Times New Roman" w:eastAsia="Times New Roman" w:cs="Times New Roman"/>
                <w:spacing w:val="5"/>
                <w:position w:val="2"/>
              </w:rPr>
              <w:t>(b)</w:t>
            </w:r>
            <w:r>
              <w:rPr>
                <w:spacing w:val="5"/>
                <w:position w:val="2"/>
              </w:rPr>
              <w:t>荧蒽</w:t>
            </w:r>
          </w:p>
        </w:tc>
        <w:tc>
          <w:tcPr>
            <w:tcW w:w="1762" w:type="dxa"/>
            <w:vAlign w:val="top"/>
          </w:tcPr>
          <w:p w14:paraId="615E6C69">
            <w:pPr>
              <w:spacing w:before="33"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205-99-2</w:t>
            </w:r>
          </w:p>
        </w:tc>
        <w:tc>
          <w:tcPr>
            <w:tcW w:w="2012" w:type="dxa"/>
            <w:vAlign w:val="top"/>
          </w:tcPr>
          <w:p w14:paraId="74ABEB13">
            <w:pPr>
              <w:spacing w:before="33" w:line="274" w:lineRule="exact"/>
              <w:ind w:left="92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063" w:type="dxa"/>
            <w:vAlign w:val="top"/>
          </w:tcPr>
          <w:p w14:paraId="24A93528">
            <w:pPr>
              <w:spacing w:before="33"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151</w:t>
            </w:r>
          </w:p>
        </w:tc>
      </w:tr>
      <w:tr w14:paraId="4260F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02" w:type="dxa"/>
            <w:vAlign w:val="top"/>
          </w:tcPr>
          <w:p w14:paraId="10833739">
            <w:pPr>
              <w:spacing w:before="33"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41</w:t>
            </w:r>
          </w:p>
        </w:tc>
        <w:tc>
          <w:tcPr>
            <w:tcW w:w="2285" w:type="dxa"/>
            <w:vAlign w:val="top"/>
          </w:tcPr>
          <w:p w14:paraId="73AD2A19">
            <w:pPr>
              <w:pStyle w:val="6"/>
              <w:spacing w:before="33" w:line="274" w:lineRule="exact"/>
              <w:ind w:left="606"/>
            </w:pPr>
            <w:r>
              <w:rPr>
                <w:spacing w:val="5"/>
                <w:position w:val="2"/>
              </w:rPr>
              <w:t>苯并</w:t>
            </w:r>
            <w:r>
              <w:rPr>
                <w:rFonts w:ascii="Times New Roman" w:hAnsi="Times New Roman" w:eastAsia="Times New Roman" w:cs="Times New Roman"/>
                <w:spacing w:val="5"/>
                <w:position w:val="2"/>
              </w:rPr>
              <w:t>(k)</w:t>
            </w:r>
            <w:r>
              <w:rPr>
                <w:spacing w:val="5"/>
                <w:position w:val="2"/>
              </w:rPr>
              <w:t>荧蒽</w:t>
            </w:r>
          </w:p>
        </w:tc>
        <w:tc>
          <w:tcPr>
            <w:tcW w:w="1762" w:type="dxa"/>
            <w:vAlign w:val="top"/>
          </w:tcPr>
          <w:p w14:paraId="1912BCE4">
            <w:pPr>
              <w:spacing w:before="33"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207-08-9</w:t>
            </w:r>
          </w:p>
        </w:tc>
        <w:tc>
          <w:tcPr>
            <w:tcW w:w="2012" w:type="dxa"/>
            <w:vAlign w:val="top"/>
          </w:tcPr>
          <w:p w14:paraId="6D38216A">
            <w:pPr>
              <w:spacing w:before="33" w:line="274" w:lineRule="exact"/>
              <w:ind w:left="8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151</w:t>
            </w:r>
          </w:p>
        </w:tc>
        <w:tc>
          <w:tcPr>
            <w:tcW w:w="2063" w:type="dxa"/>
            <w:vAlign w:val="top"/>
          </w:tcPr>
          <w:p w14:paraId="5E8C7525">
            <w:pPr>
              <w:spacing w:before="33" w:line="274" w:lineRule="exact"/>
              <w:ind w:left="84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1500</w:t>
            </w:r>
          </w:p>
        </w:tc>
      </w:tr>
      <w:tr w14:paraId="12116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02" w:type="dxa"/>
            <w:vAlign w:val="top"/>
          </w:tcPr>
          <w:p w14:paraId="6B381ED3">
            <w:pPr>
              <w:spacing w:before="33"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42</w:t>
            </w:r>
          </w:p>
        </w:tc>
        <w:tc>
          <w:tcPr>
            <w:tcW w:w="2285" w:type="dxa"/>
            <w:vAlign w:val="top"/>
          </w:tcPr>
          <w:p w14:paraId="075C159A">
            <w:pPr>
              <w:pStyle w:val="6"/>
              <w:spacing w:before="64" w:line="230" w:lineRule="auto"/>
              <w:ind w:left="1039"/>
            </w:pPr>
            <w:r>
              <w:rPr>
                <w:spacing w:val="2"/>
              </w:rPr>
              <w:t>䓛</w:t>
            </w:r>
          </w:p>
        </w:tc>
        <w:tc>
          <w:tcPr>
            <w:tcW w:w="1762" w:type="dxa"/>
            <w:vAlign w:val="top"/>
          </w:tcPr>
          <w:p w14:paraId="53F7527E">
            <w:pPr>
              <w:spacing w:before="33"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218-01-9</w:t>
            </w:r>
          </w:p>
        </w:tc>
        <w:tc>
          <w:tcPr>
            <w:tcW w:w="2012" w:type="dxa"/>
            <w:vAlign w:val="top"/>
          </w:tcPr>
          <w:p w14:paraId="45079536">
            <w:pPr>
              <w:spacing w:before="33" w:line="274" w:lineRule="exact"/>
              <w:ind w:left="8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1293</w:t>
            </w:r>
          </w:p>
        </w:tc>
        <w:tc>
          <w:tcPr>
            <w:tcW w:w="2063" w:type="dxa"/>
            <w:vAlign w:val="top"/>
          </w:tcPr>
          <w:p w14:paraId="5141F13A">
            <w:pPr>
              <w:spacing w:before="33" w:line="274" w:lineRule="exact"/>
              <w:ind w:left="78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12900</w:t>
            </w:r>
          </w:p>
        </w:tc>
      </w:tr>
    </w:tbl>
    <w:p w14:paraId="179D4337">
      <w:pPr>
        <w:pStyle w:val="2"/>
        <w:spacing w:line="151" w:lineRule="exact"/>
        <w:rPr>
          <w:sz w:val="13"/>
        </w:rPr>
      </w:pPr>
    </w:p>
    <w:p w14:paraId="3FAAA04D">
      <w:pPr>
        <w:spacing w:line="151" w:lineRule="exact"/>
        <w:rPr>
          <w:sz w:val="13"/>
          <w:szCs w:val="13"/>
        </w:rPr>
        <w:sectPr>
          <w:footerReference r:id="rId49" w:type="default"/>
          <w:pgSz w:w="11906" w:h="16839"/>
          <w:pgMar w:top="1418" w:right="1701" w:bottom="1485" w:left="1475" w:header="0" w:footer="1249" w:gutter="0"/>
          <w:cols w:space="720" w:num="1"/>
        </w:sectPr>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2"/>
        <w:gridCol w:w="2285"/>
        <w:gridCol w:w="1762"/>
        <w:gridCol w:w="2012"/>
        <w:gridCol w:w="2063"/>
      </w:tblGrid>
      <w:tr w14:paraId="0F4AE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02" w:type="dxa"/>
            <w:vAlign w:val="top"/>
          </w:tcPr>
          <w:p w14:paraId="4FB5560D">
            <w:pPr>
              <w:spacing w:before="33"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w:t>
            </w:r>
          </w:p>
        </w:tc>
        <w:tc>
          <w:tcPr>
            <w:tcW w:w="2285" w:type="dxa"/>
            <w:vAlign w:val="top"/>
          </w:tcPr>
          <w:p w14:paraId="3493D164">
            <w:pPr>
              <w:pStyle w:val="6"/>
              <w:spacing w:before="33" w:line="274" w:lineRule="exact"/>
              <w:ind w:left="535"/>
            </w:pPr>
            <w:r>
              <w:rPr>
                <w:spacing w:val="5"/>
                <w:position w:val="2"/>
              </w:rPr>
              <w:t>二苯并</w:t>
            </w:r>
            <w:r>
              <w:rPr>
                <w:rFonts w:ascii="Times New Roman" w:hAnsi="Times New Roman" w:eastAsia="Times New Roman" w:cs="Times New Roman"/>
                <w:spacing w:val="5"/>
                <w:position w:val="2"/>
              </w:rPr>
              <w:t>[a,h]</w:t>
            </w:r>
            <w:r>
              <w:rPr>
                <w:spacing w:val="5"/>
                <w:position w:val="2"/>
              </w:rPr>
              <w:t>蒽</w:t>
            </w:r>
          </w:p>
        </w:tc>
        <w:tc>
          <w:tcPr>
            <w:tcW w:w="1762" w:type="dxa"/>
            <w:vAlign w:val="top"/>
          </w:tcPr>
          <w:p w14:paraId="469AE6F5">
            <w:pPr>
              <w:spacing w:before="33" w:line="274" w:lineRule="exact"/>
              <w:ind w:left="5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53-07-3</w:t>
            </w:r>
          </w:p>
        </w:tc>
        <w:tc>
          <w:tcPr>
            <w:tcW w:w="2012" w:type="dxa"/>
            <w:vAlign w:val="top"/>
          </w:tcPr>
          <w:p w14:paraId="353F2147">
            <w:pPr>
              <w:spacing w:before="33" w:line="274" w:lineRule="exact"/>
              <w:ind w:left="89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2063" w:type="dxa"/>
            <w:vAlign w:val="top"/>
          </w:tcPr>
          <w:p w14:paraId="659CD26F">
            <w:pPr>
              <w:spacing w:before="33" w:line="274" w:lineRule="exact"/>
              <w:ind w:left="94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252AD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602" w:type="dxa"/>
            <w:vAlign w:val="top"/>
          </w:tcPr>
          <w:p w14:paraId="0BCE185C">
            <w:pPr>
              <w:spacing w:before="30"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44</w:t>
            </w:r>
          </w:p>
        </w:tc>
        <w:tc>
          <w:tcPr>
            <w:tcW w:w="2285" w:type="dxa"/>
            <w:vAlign w:val="top"/>
          </w:tcPr>
          <w:p w14:paraId="6014DB6F">
            <w:pPr>
              <w:pStyle w:val="6"/>
              <w:spacing w:before="30" w:line="274" w:lineRule="exact"/>
              <w:ind w:left="423"/>
            </w:pPr>
            <w:r>
              <w:rPr>
                <w:spacing w:val="5"/>
                <w:position w:val="2"/>
              </w:rPr>
              <w:t>茚并</w:t>
            </w:r>
            <w:r>
              <w:rPr>
                <w:rFonts w:ascii="Times New Roman" w:hAnsi="Times New Roman" w:eastAsia="Times New Roman" w:cs="Times New Roman"/>
                <w:spacing w:val="5"/>
                <w:position w:val="2"/>
              </w:rPr>
              <w:t>[1,2,3-</w:t>
            </w:r>
            <w:r>
              <w:rPr>
                <w:rFonts w:ascii="Times New Roman" w:hAnsi="Times New Roman" w:eastAsia="Times New Roman" w:cs="Times New Roman"/>
                <w:position w:val="2"/>
              </w:rPr>
              <w:t>cd</w:t>
            </w:r>
            <w:r>
              <w:rPr>
                <w:rFonts w:ascii="Times New Roman" w:hAnsi="Times New Roman" w:eastAsia="Times New Roman" w:cs="Times New Roman"/>
                <w:spacing w:val="5"/>
                <w:position w:val="2"/>
              </w:rPr>
              <w:t>]</w:t>
            </w:r>
            <w:r>
              <w:rPr>
                <w:spacing w:val="5"/>
                <w:position w:val="2"/>
              </w:rPr>
              <w:t>芘</w:t>
            </w:r>
          </w:p>
        </w:tc>
        <w:tc>
          <w:tcPr>
            <w:tcW w:w="1762" w:type="dxa"/>
            <w:vAlign w:val="top"/>
          </w:tcPr>
          <w:p w14:paraId="15E7576B">
            <w:pPr>
              <w:spacing w:before="30" w:line="274" w:lineRule="exact"/>
              <w:ind w:left="5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193-39-5</w:t>
            </w:r>
          </w:p>
        </w:tc>
        <w:tc>
          <w:tcPr>
            <w:tcW w:w="2012" w:type="dxa"/>
            <w:vAlign w:val="top"/>
          </w:tcPr>
          <w:p w14:paraId="61CC0C0E">
            <w:pPr>
              <w:spacing w:before="30" w:line="274" w:lineRule="exact"/>
              <w:ind w:left="92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063" w:type="dxa"/>
            <w:vAlign w:val="top"/>
          </w:tcPr>
          <w:p w14:paraId="49FFA737">
            <w:pPr>
              <w:spacing w:before="30" w:line="274" w:lineRule="exact"/>
              <w:ind w:left="8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151</w:t>
            </w:r>
          </w:p>
        </w:tc>
      </w:tr>
      <w:tr w14:paraId="4F1C9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02" w:type="dxa"/>
            <w:vAlign w:val="top"/>
          </w:tcPr>
          <w:p w14:paraId="613C4EC6">
            <w:pPr>
              <w:spacing w:before="32"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2285" w:type="dxa"/>
            <w:vAlign w:val="top"/>
          </w:tcPr>
          <w:p w14:paraId="51B2B035">
            <w:pPr>
              <w:pStyle w:val="6"/>
              <w:spacing w:before="63" w:line="229" w:lineRule="auto"/>
              <w:ind w:left="1041"/>
            </w:pPr>
            <w:r>
              <w:t>萘</w:t>
            </w:r>
          </w:p>
        </w:tc>
        <w:tc>
          <w:tcPr>
            <w:tcW w:w="1762" w:type="dxa"/>
            <w:vAlign w:val="top"/>
          </w:tcPr>
          <w:p w14:paraId="367F9154">
            <w:pPr>
              <w:spacing w:before="3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91-20-3</w:t>
            </w:r>
          </w:p>
        </w:tc>
        <w:tc>
          <w:tcPr>
            <w:tcW w:w="2012" w:type="dxa"/>
            <w:vAlign w:val="top"/>
          </w:tcPr>
          <w:p w14:paraId="5C04DE3C">
            <w:pPr>
              <w:spacing w:before="32" w:line="274" w:lineRule="exact"/>
              <w:ind w:left="90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2063" w:type="dxa"/>
            <w:vAlign w:val="top"/>
          </w:tcPr>
          <w:p w14:paraId="54BA6F1A">
            <w:pPr>
              <w:spacing w:before="32" w:line="274" w:lineRule="exact"/>
              <w:ind w:left="8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700</w:t>
            </w:r>
          </w:p>
        </w:tc>
      </w:tr>
    </w:tbl>
    <w:p w14:paraId="38074CFD">
      <w:pPr>
        <w:spacing w:before="286" w:line="221"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2.5.2</w:t>
      </w:r>
      <w:r>
        <w:rPr>
          <w:rFonts w:ascii="宋体" w:hAnsi="宋体" w:eastAsia="宋体" w:cs="宋体"/>
          <w:b/>
          <w:bCs/>
          <w:spacing w:val="-2"/>
          <w:sz w:val="24"/>
          <w:szCs w:val="24"/>
        </w:rPr>
        <w:t>污染物排放标准</w:t>
      </w:r>
    </w:p>
    <w:p w14:paraId="226C0579">
      <w:pPr>
        <w:spacing w:before="167" w:line="360" w:lineRule="exact"/>
        <w:ind w:left="621"/>
        <w:rPr>
          <w:rFonts w:ascii="宋体" w:hAnsi="宋体" w:eastAsia="宋体" w:cs="宋体"/>
          <w:sz w:val="24"/>
          <w:szCs w:val="24"/>
        </w:rPr>
      </w:pPr>
      <w:r>
        <w:rPr>
          <w:rFonts w:ascii="Times New Roman" w:hAnsi="Times New Roman" w:eastAsia="Times New Roman" w:cs="Times New Roman"/>
          <w:spacing w:val="-6"/>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6"/>
          <w:position w:val="2"/>
          <w:sz w:val="24"/>
          <w:szCs w:val="24"/>
        </w:rPr>
        <w:t>、水污染物排放标准</w:t>
      </w:r>
    </w:p>
    <w:p w14:paraId="3A2A8963">
      <w:pPr>
        <w:spacing w:before="164" w:line="362" w:lineRule="auto"/>
        <w:ind w:left="127" w:right="122" w:firstLine="479"/>
        <w:rPr>
          <w:rFonts w:ascii="宋体" w:hAnsi="宋体" w:eastAsia="宋体" w:cs="宋体"/>
          <w:sz w:val="24"/>
          <w:szCs w:val="24"/>
        </w:rPr>
      </w:pPr>
      <w:r>
        <w:rPr>
          <w:rFonts w:ascii="宋体" w:hAnsi="宋体" w:eastAsia="宋体" w:cs="宋体"/>
          <w:spacing w:val="2"/>
          <w:sz w:val="24"/>
          <w:szCs w:val="24"/>
        </w:rPr>
        <w:t>项目养殖废水、生活污水与猪只粪便一起经异位发酵床发酵制成有机肥半成品</w:t>
      </w:r>
      <w:r>
        <w:rPr>
          <w:rFonts w:ascii="宋体" w:hAnsi="宋体" w:eastAsia="宋体" w:cs="宋体"/>
          <w:spacing w:val="6"/>
          <w:sz w:val="24"/>
          <w:szCs w:val="24"/>
        </w:rPr>
        <w:t xml:space="preserve"> </w:t>
      </w:r>
      <w:r>
        <w:rPr>
          <w:rFonts w:ascii="宋体" w:hAnsi="宋体" w:eastAsia="宋体" w:cs="宋体"/>
          <w:spacing w:val="-2"/>
          <w:sz w:val="24"/>
          <w:szCs w:val="24"/>
        </w:rPr>
        <w:t>外售，没有外排废水。</w:t>
      </w:r>
    </w:p>
    <w:p w14:paraId="21BE4602">
      <w:pPr>
        <w:spacing w:line="361" w:lineRule="exact"/>
        <w:ind w:left="598"/>
        <w:rPr>
          <w:rFonts w:ascii="宋体" w:hAnsi="宋体" w:eastAsia="宋体" w:cs="宋体"/>
          <w:sz w:val="24"/>
          <w:szCs w:val="24"/>
        </w:rPr>
      </w:pPr>
      <w:r>
        <w:rPr>
          <w:rFonts w:ascii="Times New Roman" w:hAnsi="Times New Roman" w:eastAsia="Times New Roman" w:cs="Times New Roman"/>
          <w:spacing w:val="-3"/>
          <w:position w:val="2"/>
          <w:sz w:val="24"/>
          <w:szCs w:val="24"/>
        </w:rPr>
        <w:t>2</w:t>
      </w:r>
      <w:r>
        <w:rPr>
          <w:rFonts w:ascii="Times New Roman" w:hAnsi="Times New Roman" w:eastAsia="Times New Roman" w:cs="Times New Roman"/>
          <w:spacing w:val="-34"/>
          <w:position w:val="2"/>
          <w:sz w:val="24"/>
          <w:szCs w:val="24"/>
        </w:rPr>
        <w:t xml:space="preserve"> </w:t>
      </w:r>
      <w:r>
        <w:rPr>
          <w:rFonts w:ascii="宋体" w:hAnsi="宋体" w:eastAsia="宋体" w:cs="宋体"/>
          <w:spacing w:val="-3"/>
          <w:position w:val="2"/>
          <w:sz w:val="24"/>
          <w:szCs w:val="24"/>
        </w:rPr>
        <w:t>、大气污染物排放标准</w:t>
      </w:r>
    </w:p>
    <w:p w14:paraId="7B5B60D4">
      <w:pPr>
        <w:spacing w:before="129" w:line="361" w:lineRule="exact"/>
        <w:ind w:left="588"/>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）施工期废气排放标准</w:t>
      </w:r>
    </w:p>
    <w:p w14:paraId="6F44B840">
      <w:pPr>
        <w:spacing w:before="126" w:line="368" w:lineRule="auto"/>
        <w:ind w:left="131" w:firstLine="443"/>
        <w:rPr>
          <w:rFonts w:ascii="宋体" w:hAnsi="宋体" w:eastAsia="宋体" w:cs="宋体"/>
          <w:sz w:val="24"/>
          <w:szCs w:val="24"/>
        </w:rPr>
      </w:pPr>
      <w:r>
        <w:rPr>
          <w:rFonts w:ascii="宋体" w:hAnsi="宋体" w:eastAsia="宋体" w:cs="宋体"/>
          <w:sz w:val="24"/>
          <w:szCs w:val="24"/>
        </w:rPr>
        <w:t>施工期施工扬尘排放执行广东省《大气污染物排放限值》（</w:t>
      </w:r>
      <w:r>
        <w:rPr>
          <w:rFonts w:ascii="Times New Roman" w:hAnsi="Times New Roman" w:eastAsia="Times New Roman" w:cs="Times New Roman"/>
          <w:sz w:val="24"/>
          <w:szCs w:val="24"/>
        </w:rPr>
        <w:t>DB4</w:t>
      </w:r>
      <w:r>
        <w:rPr>
          <w:rFonts w:ascii="Times New Roman" w:hAnsi="Times New Roman" w:eastAsia="Times New Roman" w:cs="Times New Roman"/>
          <w:spacing w:val="-1"/>
          <w:sz w:val="24"/>
          <w:szCs w:val="24"/>
        </w:rPr>
        <w:t>4/27-2001</w:t>
      </w:r>
      <w:r>
        <w:rPr>
          <w:rFonts w:ascii="宋体" w:hAnsi="宋体" w:eastAsia="宋体" w:cs="宋体"/>
          <w:spacing w:val="-1"/>
          <w:sz w:val="24"/>
          <w:szCs w:val="24"/>
        </w:rPr>
        <w:t>）第二</w:t>
      </w:r>
      <w:r>
        <w:rPr>
          <w:rFonts w:ascii="宋体" w:hAnsi="宋体" w:eastAsia="宋体" w:cs="宋体"/>
          <w:sz w:val="24"/>
          <w:szCs w:val="24"/>
        </w:rPr>
        <w:t xml:space="preserve"> </w:t>
      </w:r>
      <w:r>
        <w:rPr>
          <w:rFonts w:ascii="宋体" w:hAnsi="宋体" w:eastAsia="宋体" w:cs="宋体"/>
          <w:spacing w:val="-2"/>
          <w:sz w:val="24"/>
          <w:szCs w:val="24"/>
        </w:rPr>
        <w:t>时段无组织排放周界外浓度最高点监控限值。</w:t>
      </w:r>
    </w:p>
    <w:p w14:paraId="0E3FB355">
      <w:pPr>
        <w:spacing w:before="73" w:line="228" w:lineRule="auto"/>
        <w:ind w:left="1280"/>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3"/>
          <w:sz w:val="20"/>
          <w:szCs w:val="20"/>
        </w:rPr>
        <w:t xml:space="preserve"> </w:t>
      </w:r>
      <w:r>
        <w:rPr>
          <w:rFonts w:ascii="Times New Roman" w:hAnsi="Times New Roman" w:eastAsia="Times New Roman" w:cs="Times New Roman"/>
          <w:b/>
          <w:bCs/>
          <w:spacing w:val="7"/>
          <w:sz w:val="20"/>
          <w:szCs w:val="20"/>
        </w:rPr>
        <w:t xml:space="preserve">2.5-5  </w:t>
      </w:r>
      <w:r>
        <w:rPr>
          <w:rFonts w:ascii="宋体" w:hAnsi="宋体" w:eastAsia="宋体" w:cs="宋体"/>
          <w:b/>
          <w:bCs/>
          <w:spacing w:val="7"/>
          <w:sz w:val="20"/>
          <w:szCs w:val="20"/>
        </w:rPr>
        <w:t>（</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7"/>
          <w:sz w:val="20"/>
          <w:szCs w:val="20"/>
        </w:rPr>
        <w:t>44/27-2001</w:t>
      </w:r>
      <w:r>
        <w:rPr>
          <w:rFonts w:ascii="宋体" w:hAnsi="宋体" w:eastAsia="宋体" w:cs="宋体"/>
          <w:b/>
          <w:bCs/>
          <w:spacing w:val="7"/>
          <w:sz w:val="20"/>
          <w:szCs w:val="20"/>
        </w:rPr>
        <w:t>）第二时段无组织排放周界外浓</w:t>
      </w:r>
      <w:r>
        <w:rPr>
          <w:rFonts w:ascii="宋体" w:hAnsi="宋体" w:eastAsia="宋体" w:cs="宋体"/>
          <w:b/>
          <w:bCs/>
          <w:spacing w:val="6"/>
          <w:sz w:val="20"/>
          <w:szCs w:val="20"/>
        </w:rPr>
        <w:t>度最高点监控限值</w:t>
      </w:r>
    </w:p>
    <w:p w14:paraId="10913FD6">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9"/>
        <w:gridCol w:w="2110"/>
        <w:gridCol w:w="5571"/>
      </w:tblGrid>
      <w:tr w14:paraId="554A9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269" w:type="dxa"/>
            <w:vAlign w:val="top"/>
          </w:tcPr>
          <w:p w14:paraId="4BC0B31F">
            <w:pPr>
              <w:pStyle w:val="6"/>
              <w:spacing w:before="64" w:line="230" w:lineRule="auto"/>
              <w:ind w:left="427"/>
            </w:pPr>
            <w:r>
              <w:rPr>
                <w:spacing w:val="5"/>
              </w:rPr>
              <w:t>序号</w:t>
            </w:r>
          </w:p>
        </w:tc>
        <w:tc>
          <w:tcPr>
            <w:tcW w:w="2110" w:type="dxa"/>
            <w:vAlign w:val="top"/>
          </w:tcPr>
          <w:p w14:paraId="7E4D8A13">
            <w:pPr>
              <w:pStyle w:val="6"/>
              <w:spacing w:before="64" w:line="229" w:lineRule="auto"/>
              <w:ind w:left="745"/>
            </w:pPr>
            <w:r>
              <w:rPr>
                <w:spacing w:val="6"/>
              </w:rPr>
              <w:t>污染物</w:t>
            </w:r>
          </w:p>
        </w:tc>
        <w:tc>
          <w:tcPr>
            <w:tcW w:w="5571" w:type="dxa"/>
            <w:vAlign w:val="top"/>
          </w:tcPr>
          <w:p w14:paraId="4080E95F">
            <w:pPr>
              <w:pStyle w:val="6"/>
              <w:spacing w:before="33" w:line="274" w:lineRule="exact"/>
              <w:ind w:left="937"/>
            </w:pPr>
            <w:r>
              <w:rPr>
                <w:spacing w:val="8"/>
                <w:position w:val="2"/>
              </w:rPr>
              <w:t>无组织排放监控浓度限值标准（</w:t>
            </w:r>
            <w:r>
              <w:rPr>
                <w:rFonts w:ascii="Times New Roman" w:hAnsi="Times New Roman" w:eastAsia="Times New Roman" w:cs="Times New Roman"/>
                <w:position w:val="2"/>
              </w:rPr>
              <w:t>mg</w:t>
            </w:r>
            <w:r>
              <w:rPr>
                <w:rFonts w:ascii="Times New Roman" w:hAnsi="Times New Roman" w:eastAsia="Times New Roman" w:cs="Times New Roman"/>
                <w:spacing w:val="8"/>
                <w:position w:val="2"/>
              </w:rPr>
              <w:t>/m</w:t>
            </w:r>
            <w:r>
              <w:rPr>
                <w:rFonts w:ascii="Times New Roman" w:hAnsi="Times New Roman" w:eastAsia="Times New Roman" w:cs="Times New Roman"/>
                <w:spacing w:val="8"/>
                <w:position w:val="8"/>
                <w:sz w:val="13"/>
                <w:szCs w:val="13"/>
              </w:rPr>
              <w:t>3</w:t>
            </w:r>
            <w:r>
              <w:rPr>
                <w:spacing w:val="8"/>
                <w:position w:val="2"/>
              </w:rPr>
              <w:t>）</w:t>
            </w:r>
          </w:p>
        </w:tc>
      </w:tr>
      <w:tr w14:paraId="7CF24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69" w:type="dxa"/>
            <w:vAlign w:val="top"/>
          </w:tcPr>
          <w:p w14:paraId="5E49F02B">
            <w:pPr>
              <w:spacing w:before="30" w:line="274" w:lineRule="exact"/>
              <w:ind w:left="60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110" w:type="dxa"/>
            <w:vAlign w:val="top"/>
          </w:tcPr>
          <w:p w14:paraId="4DE09882">
            <w:pPr>
              <w:pStyle w:val="6"/>
              <w:spacing w:before="61" w:line="229" w:lineRule="auto"/>
              <w:ind w:left="742"/>
            </w:pPr>
            <w:r>
              <w:rPr>
                <w:spacing w:val="7"/>
              </w:rPr>
              <w:t>颗粒物</w:t>
            </w:r>
          </w:p>
        </w:tc>
        <w:tc>
          <w:tcPr>
            <w:tcW w:w="5571" w:type="dxa"/>
            <w:vAlign w:val="top"/>
          </w:tcPr>
          <w:p w14:paraId="1F16FEC1">
            <w:pPr>
              <w:spacing w:before="30" w:line="274" w:lineRule="exact"/>
              <w:ind w:left="267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r>
      <w:tr w14:paraId="3F8CE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69" w:type="dxa"/>
            <w:vAlign w:val="top"/>
          </w:tcPr>
          <w:p w14:paraId="623CB608">
            <w:pPr>
              <w:spacing w:before="31" w:line="274" w:lineRule="exact"/>
              <w:ind w:left="58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110" w:type="dxa"/>
            <w:vAlign w:val="top"/>
          </w:tcPr>
          <w:p w14:paraId="33663405">
            <w:pPr>
              <w:spacing w:before="98" w:line="231" w:lineRule="auto"/>
              <w:ind w:left="897"/>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sz w:val="13"/>
                <w:szCs w:val="13"/>
              </w:rPr>
              <w:t>2</w:t>
            </w:r>
          </w:p>
        </w:tc>
        <w:tc>
          <w:tcPr>
            <w:tcW w:w="5571" w:type="dxa"/>
            <w:vAlign w:val="top"/>
          </w:tcPr>
          <w:p w14:paraId="4384E8A7">
            <w:pPr>
              <w:spacing w:before="31" w:line="274" w:lineRule="exact"/>
              <w:ind w:left="26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0.40</w:t>
            </w:r>
          </w:p>
        </w:tc>
      </w:tr>
      <w:tr w14:paraId="381F3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269" w:type="dxa"/>
            <w:vAlign w:val="top"/>
          </w:tcPr>
          <w:p w14:paraId="4A132D9C">
            <w:pPr>
              <w:spacing w:before="32" w:line="274" w:lineRule="exact"/>
              <w:ind w:left="58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110" w:type="dxa"/>
            <w:vAlign w:val="top"/>
          </w:tcPr>
          <w:p w14:paraId="45E75595">
            <w:pPr>
              <w:spacing w:before="99" w:line="202" w:lineRule="auto"/>
              <w:ind w:left="848"/>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5571" w:type="dxa"/>
            <w:vAlign w:val="top"/>
          </w:tcPr>
          <w:p w14:paraId="65EC7492">
            <w:pPr>
              <w:spacing w:before="32" w:line="274" w:lineRule="exact"/>
              <w:ind w:left="26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w:t>
            </w:r>
          </w:p>
        </w:tc>
      </w:tr>
    </w:tbl>
    <w:p w14:paraId="00A66FB4">
      <w:pPr>
        <w:spacing w:before="252" w:line="360"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）臭气执行标准</w:t>
      </w:r>
    </w:p>
    <w:p w14:paraId="679092E8">
      <w:pPr>
        <w:spacing w:before="164" w:line="373" w:lineRule="auto"/>
        <w:ind w:left="122" w:right="14" w:firstLine="483"/>
        <w:rPr>
          <w:rFonts w:ascii="宋体" w:hAnsi="宋体" w:eastAsia="宋体" w:cs="宋体"/>
          <w:sz w:val="24"/>
          <w:szCs w:val="24"/>
        </w:rPr>
      </w:pPr>
      <w:r>
        <w:rPr>
          <w:rFonts w:ascii="宋体" w:hAnsi="宋体" w:eastAsia="宋体" w:cs="宋体"/>
          <w:spacing w:val="2"/>
          <w:sz w:val="24"/>
          <w:szCs w:val="24"/>
        </w:rPr>
        <w:t>项目废气污染源主要为猪舍、有机肥发酵车间产生的恶臭，无组织排放废气排</w:t>
      </w:r>
      <w:r>
        <w:rPr>
          <w:rFonts w:ascii="宋体" w:hAnsi="宋体" w:eastAsia="宋体" w:cs="宋体"/>
          <w:spacing w:val="3"/>
          <w:sz w:val="24"/>
          <w:szCs w:val="24"/>
        </w:rPr>
        <w:t xml:space="preserve">  </w:t>
      </w:r>
      <w:r>
        <w:rPr>
          <w:rFonts w:ascii="宋体" w:hAnsi="宋体" w:eastAsia="宋体" w:cs="宋体"/>
          <w:spacing w:val="-2"/>
          <w:sz w:val="24"/>
          <w:szCs w:val="24"/>
        </w:rPr>
        <w:t>放执行《恶臭污染物排放标准》（</w:t>
      </w:r>
      <w:r>
        <w:rPr>
          <w:rFonts w:ascii="Times New Roman" w:hAnsi="Times New Roman" w:eastAsia="Times New Roman" w:cs="Times New Roman"/>
          <w:spacing w:val="-2"/>
          <w:sz w:val="24"/>
          <w:szCs w:val="24"/>
        </w:rPr>
        <w:t>GB14</w:t>
      </w:r>
      <w:r>
        <w:rPr>
          <w:rFonts w:ascii="Times New Roman" w:hAnsi="Times New Roman" w:eastAsia="Times New Roman" w:cs="Times New Roman"/>
          <w:spacing w:val="-3"/>
          <w:sz w:val="24"/>
          <w:szCs w:val="24"/>
        </w:rPr>
        <w:t>554-93</w:t>
      </w:r>
      <w:r>
        <w:rPr>
          <w:rFonts w:ascii="宋体" w:hAnsi="宋体" w:eastAsia="宋体" w:cs="宋体"/>
          <w:spacing w:val="-3"/>
          <w:sz w:val="24"/>
          <w:szCs w:val="24"/>
        </w:rPr>
        <w:t>）以及《畜禽养殖业污染物排放标准》</w:t>
      </w:r>
      <w:r>
        <w:rPr>
          <w:rFonts w:ascii="宋体" w:hAnsi="宋体" w:eastAsia="宋体" w:cs="宋体"/>
          <w:sz w:val="24"/>
          <w:szCs w:val="24"/>
        </w:rPr>
        <w:t xml:space="preserve"> （</w:t>
      </w:r>
      <w:r>
        <w:rPr>
          <w:rFonts w:ascii="Times New Roman" w:hAnsi="Times New Roman" w:eastAsia="Times New Roman" w:cs="Times New Roman"/>
          <w:sz w:val="24"/>
          <w:szCs w:val="24"/>
        </w:rPr>
        <w:t>DB44/613-2009</w:t>
      </w:r>
      <w:r>
        <w:rPr>
          <w:rFonts w:ascii="宋体" w:hAnsi="宋体" w:eastAsia="宋体" w:cs="宋体"/>
          <w:sz w:val="24"/>
          <w:szCs w:val="24"/>
        </w:rPr>
        <w:t>）的集约化畜禽养殖业恶臭污染</w:t>
      </w:r>
      <w:r>
        <w:rPr>
          <w:rFonts w:ascii="宋体" w:hAnsi="宋体" w:eastAsia="宋体" w:cs="宋体"/>
          <w:spacing w:val="-1"/>
          <w:sz w:val="24"/>
          <w:szCs w:val="24"/>
        </w:rPr>
        <w:t>物排放标准，详见下表。</w:t>
      </w:r>
    </w:p>
    <w:p w14:paraId="6DB9D939">
      <w:pPr>
        <w:spacing w:before="28" w:line="228" w:lineRule="auto"/>
        <w:ind w:left="3190"/>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b/>
          <w:bCs/>
          <w:spacing w:val="5"/>
          <w:sz w:val="20"/>
          <w:szCs w:val="20"/>
        </w:rPr>
        <w:t xml:space="preserve">2.5-6    </w:t>
      </w:r>
      <w:r>
        <w:rPr>
          <w:rFonts w:ascii="宋体" w:hAnsi="宋体" w:eastAsia="宋体" w:cs="宋体"/>
          <w:b/>
          <w:bCs/>
          <w:spacing w:val="5"/>
          <w:sz w:val="20"/>
          <w:szCs w:val="20"/>
        </w:rPr>
        <w:t>恶臭污染物标准值</w:t>
      </w:r>
    </w:p>
    <w:p w14:paraId="4167A899">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47"/>
        <w:gridCol w:w="2669"/>
        <w:gridCol w:w="3934"/>
      </w:tblGrid>
      <w:tr w14:paraId="3CB98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347" w:type="dxa"/>
            <w:vAlign w:val="top"/>
          </w:tcPr>
          <w:p w14:paraId="12BF4282">
            <w:pPr>
              <w:pStyle w:val="6"/>
              <w:spacing w:before="62" w:line="229" w:lineRule="auto"/>
              <w:ind w:left="759"/>
            </w:pPr>
            <w:r>
              <w:rPr>
                <w:b/>
                <w:bCs/>
                <w:spacing w:val="6"/>
              </w:rPr>
              <w:t>控制项目</w:t>
            </w:r>
          </w:p>
        </w:tc>
        <w:tc>
          <w:tcPr>
            <w:tcW w:w="2669" w:type="dxa"/>
            <w:vAlign w:val="top"/>
          </w:tcPr>
          <w:p w14:paraId="29C88152">
            <w:pPr>
              <w:pStyle w:val="6"/>
              <w:spacing w:before="62" w:line="228" w:lineRule="auto"/>
              <w:ind w:left="1024"/>
            </w:pPr>
            <w:r>
              <w:rPr>
                <w:b/>
                <w:bCs/>
                <w:spacing w:val="5"/>
              </w:rPr>
              <w:t>标准值</w:t>
            </w:r>
          </w:p>
        </w:tc>
        <w:tc>
          <w:tcPr>
            <w:tcW w:w="3934" w:type="dxa"/>
            <w:vAlign w:val="top"/>
          </w:tcPr>
          <w:p w14:paraId="4114FED1">
            <w:pPr>
              <w:pStyle w:val="6"/>
              <w:spacing w:before="62" w:line="229" w:lineRule="auto"/>
              <w:ind w:left="1551"/>
            </w:pPr>
            <w:r>
              <w:rPr>
                <w:b/>
                <w:bCs/>
                <w:spacing w:val="6"/>
              </w:rPr>
              <w:t>排放标准</w:t>
            </w:r>
          </w:p>
        </w:tc>
      </w:tr>
      <w:tr w14:paraId="1DD13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347" w:type="dxa"/>
            <w:vAlign w:val="top"/>
          </w:tcPr>
          <w:p w14:paraId="79EF7B51">
            <w:pPr>
              <w:pStyle w:val="6"/>
              <w:spacing w:before="223" w:line="228" w:lineRule="auto"/>
              <w:ind w:left="759"/>
            </w:pPr>
            <w:r>
              <w:rPr>
                <w:spacing w:val="7"/>
              </w:rPr>
              <w:t>臭气浓度</w:t>
            </w:r>
          </w:p>
        </w:tc>
        <w:tc>
          <w:tcPr>
            <w:tcW w:w="2669" w:type="dxa"/>
            <w:vAlign w:val="top"/>
          </w:tcPr>
          <w:p w14:paraId="7B3EB962">
            <w:pPr>
              <w:pStyle w:val="6"/>
              <w:spacing w:before="191" w:line="275" w:lineRule="exact"/>
              <w:ind w:left="646"/>
            </w:pPr>
            <w:r>
              <w:rPr>
                <w:rFonts w:ascii="Times New Roman" w:hAnsi="Times New Roman" w:eastAsia="Times New Roman" w:cs="Times New Roman"/>
                <w:spacing w:val="6"/>
                <w:position w:val="1"/>
              </w:rPr>
              <w:t>≤60</w:t>
            </w:r>
            <w:r>
              <w:rPr>
                <w:spacing w:val="6"/>
                <w:position w:val="1"/>
              </w:rPr>
              <w:t>（无量纲）</w:t>
            </w:r>
          </w:p>
        </w:tc>
        <w:tc>
          <w:tcPr>
            <w:tcW w:w="3934" w:type="dxa"/>
            <w:vAlign w:val="top"/>
          </w:tcPr>
          <w:p w14:paraId="08C13359">
            <w:pPr>
              <w:pStyle w:val="6"/>
              <w:spacing w:before="59" w:line="228" w:lineRule="auto"/>
              <w:ind w:left="506"/>
            </w:pPr>
            <w:r>
              <w:rPr>
                <w:spacing w:val="8"/>
              </w:rPr>
              <w:t>《畜禽养殖业污染物排放标准》</w:t>
            </w:r>
          </w:p>
          <w:p w14:paraId="34A15DDA">
            <w:pPr>
              <w:pStyle w:val="6"/>
              <w:spacing w:before="24" w:line="314" w:lineRule="exact"/>
              <w:ind w:left="993"/>
            </w:pPr>
            <w:r>
              <w:rPr>
                <w:spacing w:val="-1"/>
                <w:position w:val="1"/>
              </w:rPr>
              <w:t>（</w:t>
            </w:r>
            <w:r>
              <w:rPr>
                <w:rFonts w:ascii="Times New Roman" w:hAnsi="Times New Roman" w:eastAsia="Times New Roman" w:cs="Times New Roman"/>
                <w:spacing w:val="-1"/>
                <w:position w:val="1"/>
                <w:sz w:val="24"/>
                <w:szCs w:val="24"/>
              </w:rPr>
              <w:t>DB44/613-2009</w:t>
            </w:r>
            <w:r>
              <w:rPr>
                <w:spacing w:val="-1"/>
                <w:position w:val="1"/>
              </w:rPr>
              <w:t>）</w:t>
            </w:r>
          </w:p>
        </w:tc>
      </w:tr>
      <w:tr w14:paraId="7F444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347" w:type="dxa"/>
            <w:vAlign w:val="top"/>
          </w:tcPr>
          <w:p w14:paraId="1340B052">
            <w:pPr>
              <w:pStyle w:val="6"/>
              <w:spacing w:before="62" w:line="229" w:lineRule="auto"/>
              <w:ind w:left="1074"/>
            </w:pPr>
            <w:r>
              <w:t>氨</w:t>
            </w:r>
          </w:p>
        </w:tc>
        <w:tc>
          <w:tcPr>
            <w:tcW w:w="2669" w:type="dxa"/>
            <w:vAlign w:val="top"/>
          </w:tcPr>
          <w:p w14:paraId="6CB3E4FC">
            <w:pPr>
              <w:spacing w:before="31" w:line="274" w:lineRule="exact"/>
              <w:ind w:left="867"/>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w:t>
            </w:r>
            <w:r>
              <w:rPr>
                <w:rFonts w:ascii="Times New Roman" w:hAnsi="Times New Roman" w:eastAsia="Times New Roman" w:cs="Times New Roman"/>
                <w:spacing w:val="-25"/>
                <w:position w:val="3"/>
                <w:sz w:val="20"/>
                <w:szCs w:val="20"/>
              </w:rPr>
              <w:t xml:space="preserve"> </w:t>
            </w:r>
            <w:r>
              <w:rPr>
                <w:rFonts w:ascii="Times New Roman" w:hAnsi="Times New Roman" w:eastAsia="Times New Roman" w:cs="Times New Roman"/>
                <w:spacing w:val="2"/>
                <w:position w:val="3"/>
                <w:sz w:val="20"/>
                <w:szCs w:val="20"/>
              </w:rPr>
              <w:t>1.5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c>
          <w:tcPr>
            <w:tcW w:w="3934" w:type="dxa"/>
            <w:vMerge w:val="restart"/>
            <w:tcBorders>
              <w:bottom w:val="nil"/>
            </w:tcBorders>
            <w:vAlign w:val="top"/>
          </w:tcPr>
          <w:p w14:paraId="4E9A0EDD">
            <w:pPr>
              <w:pStyle w:val="6"/>
              <w:spacing w:before="35" w:line="275" w:lineRule="exact"/>
              <w:ind w:right="11"/>
              <w:jc w:val="right"/>
            </w:pPr>
            <w:r>
              <w:rPr>
                <w:spacing w:val="7"/>
                <w:position w:val="1"/>
              </w:rPr>
              <w:t>《恶臭污染物排放标准》（</w:t>
            </w:r>
            <w:r>
              <w:rPr>
                <w:rFonts w:ascii="Times New Roman" w:hAnsi="Times New Roman" w:eastAsia="Times New Roman" w:cs="Times New Roman"/>
                <w:position w:val="1"/>
              </w:rPr>
              <w:t>GB</w:t>
            </w:r>
            <w:r>
              <w:rPr>
                <w:rFonts w:ascii="Times New Roman" w:hAnsi="Times New Roman" w:eastAsia="Times New Roman" w:cs="Times New Roman"/>
                <w:spacing w:val="7"/>
                <w:position w:val="1"/>
              </w:rPr>
              <w:t>14554-93</w:t>
            </w:r>
            <w:r>
              <w:rPr>
                <w:spacing w:val="7"/>
                <w:position w:val="1"/>
              </w:rPr>
              <w:t>）</w:t>
            </w:r>
          </w:p>
          <w:p w14:paraId="06415C5A">
            <w:pPr>
              <w:pStyle w:val="6"/>
              <w:spacing w:before="83" w:line="229" w:lineRule="auto"/>
              <w:ind w:left="1151"/>
            </w:pPr>
            <w:r>
              <w:rPr>
                <w:spacing w:val="6"/>
              </w:rPr>
              <w:t>中的厂界二级标准</w:t>
            </w:r>
          </w:p>
        </w:tc>
      </w:tr>
      <w:tr w14:paraId="67BC8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347" w:type="dxa"/>
            <w:vAlign w:val="top"/>
          </w:tcPr>
          <w:p w14:paraId="7509238C">
            <w:pPr>
              <w:pStyle w:val="6"/>
              <w:spacing w:before="62" w:line="230" w:lineRule="auto"/>
              <w:ind w:left="864"/>
            </w:pPr>
            <w:r>
              <w:rPr>
                <w:spacing w:val="7"/>
              </w:rPr>
              <w:t>硫化氢</w:t>
            </w:r>
          </w:p>
        </w:tc>
        <w:tc>
          <w:tcPr>
            <w:tcW w:w="2669" w:type="dxa"/>
            <w:vAlign w:val="top"/>
          </w:tcPr>
          <w:p w14:paraId="32767C01">
            <w:pPr>
              <w:spacing w:before="32" w:line="274" w:lineRule="exact"/>
              <w:ind w:left="814"/>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≤0.06</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3934" w:type="dxa"/>
            <w:vMerge w:val="continue"/>
            <w:tcBorders>
              <w:top w:val="nil"/>
            </w:tcBorders>
            <w:vAlign w:val="top"/>
          </w:tcPr>
          <w:p w14:paraId="7603C64B">
            <w:pPr>
              <w:rPr>
                <w:rFonts w:ascii="Arial"/>
                <w:sz w:val="21"/>
              </w:rPr>
            </w:pPr>
          </w:p>
        </w:tc>
      </w:tr>
    </w:tbl>
    <w:p w14:paraId="51BA10E4">
      <w:pPr>
        <w:spacing w:before="251" w:line="360"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）饲料加工车间粉尘</w:t>
      </w:r>
    </w:p>
    <w:p w14:paraId="6DBD7349">
      <w:pPr>
        <w:spacing w:before="129" w:line="367" w:lineRule="auto"/>
        <w:ind w:left="121" w:right="120" w:firstLine="454"/>
        <w:rPr>
          <w:rFonts w:ascii="宋体" w:hAnsi="宋体" w:eastAsia="宋体" w:cs="宋体"/>
          <w:sz w:val="24"/>
          <w:szCs w:val="24"/>
        </w:rPr>
      </w:pPr>
      <w:r>
        <w:rPr>
          <w:rFonts w:ascii="宋体" w:hAnsi="宋体" w:eastAsia="宋体" w:cs="宋体"/>
          <w:spacing w:val="3"/>
          <w:sz w:val="24"/>
          <w:szCs w:val="24"/>
        </w:rPr>
        <w:t>饲料加工房粉尘执行广东省《大气污染物排放限值》（</w:t>
      </w:r>
      <w:r>
        <w:rPr>
          <w:rFonts w:ascii="Times New Roman" w:hAnsi="Times New Roman" w:eastAsia="Times New Roman" w:cs="Times New Roman"/>
          <w:sz w:val="24"/>
          <w:szCs w:val="24"/>
        </w:rPr>
        <w:t>DB</w:t>
      </w:r>
      <w:r>
        <w:rPr>
          <w:rFonts w:ascii="Times New Roman" w:hAnsi="Times New Roman" w:eastAsia="Times New Roman" w:cs="Times New Roman"/>
          <w:spacing w:val="3"/>
          <w:sz w:val="24"/>
          <w:szCs w:val="24"/>
        </w:rPr>
        <w:t>44/27-20</w:t>
      </w:r>
      <w:r>
        <w:rPr>
          <w:rFonts w:ascii="Times New Roman" w:hAnsi="Times New Roman" w:eastAsia="Times New Roman" w:cs="Times New Roman"/>
          <w:spacing w:val="2"/>
          <w:sz w:val="24"/>
          <w:szCs w:val="24"/>
        </w:rPr>
        <w:t>01</w:t>
      </w:r>
      <w:r>
        <w:rPr>
          <w:rFonts w:ascii="宋体" w:hAnsi="宋体" w:eastAsia="宋体" w:cs="宋体"/>
          <w:spacing w:val="2"/>
          <w:sz w:val="24"/>
          <w:szCs w:val="24"/>
        </w:rPr>
        <w:t>）第二时</w:t>
      </w:r>
      <w:r>
        <w:rPr>
          <w:rFonts w:ascii="宋体" w:hAnsi="宋体" w:eastAsia="宋体" w:cs="宋体"/>
          <w:sz w:val="24"/>
          <w:szCs w:val="24"/>
        </w:rPr>
        <w:t xml:space="preserve"> </w:t>
      </w:r>
      <w:r>
        <w:rPr>
          <w:rFonts w:ascii="宋体" w:hAnsi="宋体" w:eastAsia="宋体" w:cs="宋体"/>
          <w:spacing w:val="-1"/>
          <w:sz w:val="24"/>
          <w:szCs w:val="24"/>
        </w:rPr>
        <w:t>段无组织排放周界外浓度最高点监控限值。</w:t>
      </w:r>
    </w:p>
    <w:p w14:paraId="6DF93DD7">
      <w:pPr>
        <w:spacing w:line="367" w:lineRule="auto"/>
        <w:rPr>
          <w:rFonts w:ascii="宋体" w:hAnsi="宋体" w:eastAsia="宋体" w:cs="宋体"/>
          <w:sz w:val="24"/>
          <w:szCs w:val="24"/>
        </w:rPr>
        <w:sectPr>
          <w:footerReference r:id="rId50" w:type="default"/>
          <w:pgSz w:w="11906" w:h="16839"/>
          <w:pgMar w:top="1418" w:right="1465" w:bottom="1485" w:left="1475" w:header="0" w:footer="1249" w:gutter="0"/>
          <w:cols w:space="720" w:num="1"/>
        </w:sectPr>
      </w:pPr>
    </w:p>
    <w:p w14:paraId="5612ECAE">
      <w:pPr>
        <w:spacing w:before="125" w:line="228" w:lineRule="auto"/>
        <w:ind w:left="1040"/>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3"/>
          <w:sz w:val="20"/>
          <w:szCs w:val="20"/>
        </w:rPr>
        <w:t xml:space="preserve"> </w:t>
      </w:r>
      <w:r>
        <w:rPr>
          <w:rFonts w:ascii="Times New Roman" w:hAnsi="Times New Roman" w:eastAsia="Times New Roman" w:cs="Times New Roman"/>
          <w:b/>
          <w:bCs/>
          <w:spacing w:val="7"/>
          <w:sz w:val="20"/>
          <w:szCs w:val="20"/>
        </w:rPr>
        <w:t xml:space="preserve">2.5-7  </w:t>
      </w:r>
      <w:r>
        <w:rPr>
          <w:rFonts w:ascii="宋体" w:hAnsi="宋体" w:eastAsia="宋体" w:cs="宋体"/>
          <w:b/>
          <w:bCs/>
          <w:spacing w:val="7"/>
          <w:sz w:val="20"/>
          <w:szCs w:val="20"/>
        </w:rPr>
        <w:t>（</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7"/>
          <w:sz w:val="20"/>
          <w:szCs w:val="20"/>
        </w:rPr>
        <w:t>44/27-2001</w:t>
      </w:r>
      <w:r>
        <w:rPr>
          <w:rFonts w:ascii="宋体" w:hAnsi="宋体" w:eastAsia="宋体" w:cs="宋体"/>
          <w:b/>
          <w:bCs/>
          <w:spacing w:val="7"/>
          <w:sz w:val="20"/>
          <w:szCs w:val="20"/>
        </w:rPr>
        <w:t>）第二时段无组织排放周界外浓</w:t>
      </w:r>
      <w:r>
        <w:rPr>
          <w:rFonts w:ascii="宋体" w:hAnsi="宋体" w:eastAsia="宋体" w:cs="宋体"/>
          <w:b/>
          <w:bCs/>
          <w:spacing w:val="6"/>
          <w:sz w:val="20"/>
          <w:szCs w:val="20"/>
        </w:rPr>
        <w:t>度最高点监控限值</w:t>
      </w:r>
    </w:p>
    <w:p w14:paraId="292FB4D5">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9"/>
        <w:gridCol w:w="2110"/>
        <w:gridCol w:w="5571"/>
      </w:tblGrid>
      <w:tr w14:paraId="4B305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269" w:type="dxa"/>
            <w:vAlign w:val="top"/>
          </w:tcPr>
          <w:p w14:paraId="3FBD56A2">
            <w:pPr>
              <w:pStyle w:val="6"/>
              <w:spacing w:before="62" w:line="230" w:lineRule="auto"/>
              <w:ind w:left="427"/>
            </w:pPr>
            <w:r>
              <w:rPr>
                <w:b/>
                <w:bCs/>
                <w:spacing w:val="4"/>
              </w:rPr>
              <w:t>序号</w:t>
            </w:r>
          </w:p>
        </w:tc>
        <w:tc>
          <w:tcPr>
            <w:tcW w:w="2110" w:type="dxa"/>
            <w:vAlign w:val="top"/>
          </w:tcPr>
          <w:p w14:paraId="2EC1262B">
            <w:pPr>
              <w:pStyle w:val="6"/>
              <w:spacing w:before="62" w:line="229" w:lineRule="auto"/>
              <w:ind w:left="745"/>
            </w:pPr>
            <w:r>
              <w:rPr>
                <w:b/>
                <w:bCs/>
                <w:spacing w:val="5"/>
              </w:rPr>
              <w:t>污染物</w:t>
            </w:r>
          </w:p>
        </w:tc>
        <w:tc>
          <w:tcPr>
            <w:tcW w:w="5571" w:type="dxa"/>
            <w:vAlign w:val="top"/>
          </w:tcPr>
          <w:p w14:paraId="091376F7">
            <w:pPr>
              <w:pStyle w:val="6"/>
              <w:spacing w:before="62" w:line="221" w:lineRule="auto"/>
              <w:ind w:left="927"/>
            </w:pPr>
            <w:r>
              <w:rPr>
                <w:b/>
                <w:bCs/>
                <w:spacing w:val="7"/>
              </w:rPr>
              <w:t>无组织排放监控浓度限值标准（</w:t>
            </w:r>
            <w:r>
              <w:rPr>
                <w:rFonts w:ascii="Times New Roman" w:hAnsi="Times New Roman" w:eastAsia="Times New Roman" w:cs="Times New Roman"/>
                <w:b/>
                <w:bCs/>
              </w:rPr>
              <w:t>mg</w:t>
            </w:r>
            <w:r>
              <w:rPr>
                <w:rFonts w:ascii="Times New Roman" w:hAnsi="Times New Roman" w:eastAsia="Times New Roman" w:cs="Times New Roman"/>
                <w:b/>
                <w:bCs/>
                <w:spacing w:val="7"/>
              </w:rPr>
              <w:t>/m</w:t>
            </w:r>
            <w:r>
              <w:rPr>
                <w:rFonts w:ascii="Times New Roman" w:hAnsi="Times New Roman" w:eastAsia="Times New Roman" w:cs="Times New Roman"/>
                <w:b/>
                <w:bCs/>
                <w:spacing w:val="7"/>
                <w:position w:val="6"/>
                <w:sz w:val="13"/>
                <w:szCs w:val="13"/>
              </w:rPr>
              <w:t>3</w:t>
            </w:r>
            <w:r>
              <w:rPr>
                <w:b/>
                <w:bCs/>
                <w:spacing w:val="7"/>
              </w:rPr>
              <w:t>）</w:t>
            </w:r>
          </w:p>
        </w:tc>
      </w:tr>
      <w:tr w14:paraId="0FC70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269" w:type="dxa"/>
            <w:vAlign w:val="top"/>
          </w:tcPr>
          <w:p w14:paraId="622BDF2D">
            <w:pPr>
              <w:spacing w:before="29" w:line="274" w:lineRule="exact"/>
              <w:ind w:left="60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110" w:type="dxa"/>
            <w:vAlign w:val="top"/>
          </w:tcPr>
          <w:p w14:paraId="2DC34083">
            <w:pPr>
              <w:pStyle w:val="6"/>
              <w:spacing w:before="60" w:line="229" w:lineRule="auto"/>
              <w:ind w:left="742"/>
            </w:pPr>
            <w:r>
              <w:rPr>
                <w:spacing w:val="7"/>
              </w:rPr>
              <w:t>颗粒物</w:t>
            </w:r>
          </w:p>
        </w:tc>
        <w:tc>
          <w:tcPr>
            <w:tcW w:w="5571" w:type="dxa"/>
            <w:vAlign w:val="top"/>
          </w:tcPr>
          <w:p w14:paraId="69F5A9C5">
            <w:pPr>
              <w:spacing w:before="29" w:line="274" w:lineRule="exact"/>
              <w:ind w:left="267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r>
    </w:tbl>
    <w:p w14:paraId="0D37DA0F">
      <w:pPr>
        <w:spacing w:before="89"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4</w:t>
      </w:r>
      <w:r>
        <w:rPr>
          <w:rFonts w:ascii="宋体" w:hAnsi="宋体" w:eastAsia="宋体" w:cs="宋体"/>
          <w:spacing w:val="-3"/>
          <w:position w:val="2"/>
          <w:sz w:val="24"/>
          <w:szCs w:val="24"/>
        </w:rPr>
        <w:t>）备用发电机尾气</w:t>
      </w:r>
    </w:p>
    <w:p w14:paraId="075C541E">
      <w:pPr>
        <w:spacing w:before="166" w:line="381" w:lineRule="auto"/>
        <w:ind w:left="134" w:right="125" w:firstLine="471"/>
        <w:rPr>
          <w:rFonts w:ascii="宋体" w:hAnsi="宋体" w:eastAsia="宋体" w:cs="宋体"/>
          <w:sz w:val="24"/>
          <w:szCs w:val="24"/>
        </w:rPr>
      </w:pPr>
      <w:r>
        <w:rPr>
          <w:rFonts w:ascii="宋体" w:hAnsi="宋体" w:eastAsia="宋体" w:cs="宋体"/>
          <w:spacing w:val="32"/>
          <w:sz w:val="24"/>
          <w:szCs w:val="24"/>
        </w:rPr>
        <w:t>备用发电机废气污染物排放浓度执行广东省《</w:t>
      </w:r>
      <w:r>
        <w:rPr>
          <w:rFonts w:ascii="宋体" w:hAnsi="宋体" w:eastAsia="宋体" w:cs="宋体"/>
          <w:spacing w:val="-48"/>
          <w:sz w:val="24"/>
          <w:szCs w:val="24"/>
        </w:rPr>
        <w:t xml:space="preserve"> </w:t>
      </w:r>
      <w:r>
        <w:rPr>
          <w:rFonts w:ascii="宋体" w:hAnsi="宋体" w:eastAsia="宋体" w:cs="宋体"/>
          <w:spacing w:val="32"/>
          <w:sz w:val="24"/>
          <w:szCs w:val="24"/>
        </w:rPr>
        <w:t>大</w:t>
      </w:r>
      <w:r>
        <w:rPr>
          <w:rFonts w:ascii="宋体" w:hAnsi="宋体" w:eastAsia="宋体" w:cs="宋体"/>
          <w:spacing w:val="31"/>
          <w:sz w:val="24"/>
          <w:szCs w:val="24"/>
        </w:rPr>
        <w:t>气污染物排放限值》</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DB44/27-2001</w:t>
      </w:r>
      <w:r>
        <w:rPr>
          <w:rFonts w:ascii="宋体" w:hAnsi="宋体" w:eastAsia="宋体" w:cs="宋体"/>
          <w:spacing w:val="-1"/>
          <w:sz w:val="24"/>
          <w:szCs w:val="24"/>
        </w:rPr>
        <w:t>）第二时段二级标准限值。</w:t>
      </w:r>
    </w:p>
    <w:p w14:paraId="6CA01164">
      <w:pPr>
        <w:spacing w:before="1" w:line="228" w:lineRule="auto"/>
        <w:ind w:left="2456"/>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6"/>
          <w:sz w:val="20"/>
          <w:szCs w:val="20"/>
        </w:rPr>
        <w:t xml:space="preserve"> </w:t>
      </w:r>
      <w:r>
        <w:rPr>
          <w:rFonts w:ascii="Times New Roman" w:hAnsi="Times New Roman" w:eastAsia="Times New Roman" w:cs="Times New Roman"/>
          <w:b/>
          <w:bCs/>
          <w:spacing w:val="6"/>
          <w:sz w:val="20"/>
          <w:szCs w:val="20"/>
        </w:rPr>
        <w:t>2.5-8</w:t>
      </w:r>
      <w:r>
        <w:rPr>
          <w:rFonts w:ascii="宋体" w:hAnsi="宋体" w:eastAsia="宋体" w:cs="宋体"/>
          <w:b/>
          <w:bCs/>
          <w:spacing w:val="6"/>
          <w:sz w:val="20"/>
          <w:szCs w:val="20"/>
        </w:rPr>
        <w:t>（</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44/27-2001</w:t>
      </w:r>
      <w:r>
        <w:rPr>
          <w:rFonts w:ascii="宋体" w:hAnsi="宋体" w:eastAsia="宋体" w:cs="宋体"/>
          <w:b/>
          <w:bCs/>
          <w:spacing w:val="6"/>
          <w:sz w:val="20"/>
          <w:szCs w:val="20"/>
        </w:rPr>
        <w:t>）第二时段排放标准</w:t>
      </w:r>
    </w:p>
    <w:p w14:paraId="1395F86C">
      <w:pPr>
        <w:spacing w:line="103" w:lineRule="exact"/>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1"/>
        <w:gridCol w:w="871"/>
        <w:gridCol w:w="2203"/>
        <w:gridCol w:w="2203"/>
        <w:gridCol w:w="2206"/>
      </w:tblGrid>
      <w:tr w14:paraId="1CE99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241" w:type="dxa"/>
            <w:vMerge w:val="restart"/>
            <w:tcBorders>
              <w:bottom w:val="nil"/>
            </w:tcBorders>
            <w:vAlign w:val="top"/>
          </w:tcPr>
          <w:p w14:paraId="728E4761">
            <w:pPr>
              <w:pStyle w:val="6"/>
              <w:spacing w:before="69" w:line="229" w:lineRule="auto"/>
              <w:ind w:left="204"/>
            </w:pPr>
            <w:r>
              <w:rPr>
                <w:b/>
                <w:bCs/>
                <w:spacing w:val="6"/>
              </w:rPr>
              <w:t>废气污染</w:t>
            </w:r>
          </w:p>
          <w:p w14:paraId="2ED1E36B">
            <w:pPr>
              <w:pStyle w:val="6"/>
              <w:spacing w:before="78" w:line="231" w:lineRule="auto"/>
              <w:ind w:left="519"/>
            </w:pPr>
            <w:r>
              <w:rPr>
                <w:b/>
                <w:bCs/>
                <w:spacing w:val="-1"/>
              </w:rPr>
              <w:t>源</w:t>
            </w:r>
          </w:p>
        </w:tc>
        <w:tc>
          <w:tcPr>
            <w:tcW w:w="871" w:type="dxa"/>
            <w:vMerge w:val="restart"/>
            <w:tcBorders>
              <w:bottom w:val="nil"/>
            </w:tcBorders>
            <w:vAlign w:val="top"/>
          </w:tcPr>
          <w:p w14:paraId="2EAA5C79">
            <w:pPr>
              <w:pStyle w:val="6"/>
              <w:spacing w:before="232" w:line="229" w:lineRule="auto"/>
              <w:ind w:left="125"/>
            </w:pPr>
            <w:r>
              <w:rPr>
                <w:b/>
                <w:bCs/>
                <w:spacing w:val="5"/>
              </w:rPr>
              <w:t>污染物</w:t>
            </w:r>
          </w:p>
        </w:tc>
        <w:tc>
          <w:tcPr>
            <w:tcW w:w="2203" w:type="dxa"/>
            <w:vMerge w:val="restart"/>
            <w:tcBorders>
              <w:bottom w:val="nil"/>
            </w:tcBorders>
            <w:vAlign w:val="top"/>
          </w:tcPr>
          <w:p w14:paraId="4B4CDDCE">
            <w:pPr>
              <w:pStyle w:val="6"/>
              <w:spacing w:before="69" w:line="228" w:lineRule="auto"/>
              <w:ind w:left="476"/>
            </w:pPr>
            <w:r>
              <w:rPr>
                <w:b/>
                <w:bCs/>
                <w:spacing w:val="6"/>
              </w:rPr>
              <w:t>排放浓度限值</w:t>
            </w:r>
          </w:p>
          <w:p w14:paraId="2AFA370A">
            <w:pPr>
              <w:pStyle w:val="6"/>
              <w:spacing w:before="78" w:line="221" w:lineRule="auto"/>
              <w:ind w:left="616"/>
            </w:pPr>
            <w:r>
              <w:rPr>
                <w:b/>
                <w:bCs/>
                <w:spacing w:val="3"/>
              </w:rPr>
              <w:t>（</w:t>
            </w:r>
            <w:r>
              <w:rPr>
                <w:rFonts w:ascii="Times New Roman" w:hAnsi="Times New Roman" w:eastAsia="Times New Roman" w:cs="Times New Roman"/>
                <w:b/>
                <w:bCs/>
              </w:rPr>
              <w:t>mg</w:t>
            </w:r>
            <w:r>
              <w:rPr>
                <w:rFonts w:ascii="Times New Roman" w:hAnsi="Times New Roman" w:eastAsia="Times New Roman" w:cs="Times New Roman"/>
                <w:b/>
                <w:bCs/>
                <w:spacing w:val="3"/>
              </w:rPr>
              <w:t>/m</w:t>
            </w:r>
            <w:r>
              <w:rPr>
                <w:rFonts w:ascii="Times New Roman" w:hAnsi="Times New Roman" w:eastAsia="Times New Roman" w:cs="Times New Roman"/>
                <w:b/>
                <w:bCs/>
                <w:spacing w:val="3"/>
                <w:position w:val="6"/>
                <w:sz w:val="13"/>
                <w:szCs w:val="13"/>
              </w:rPr>
              <w:t>3</w:t>
            </w:r>
            <w:r>
              <w:rPr>
                <w:b/>
                <w:bCs/>
                <w:spacing w:val="3"/>
              </w:rPr>
              <w:t>）</w:t>
            </w:r>
          </w:p>
        </w:tc>
        <w:tc>
          <w:tcPr>
            <w:tcW w:w="4409" w:type="dxa"/>
            <w:gridSpan w:val="2"/>
            <w:vAlign w:val="top"/>
          </w:tcPr>
          <w:p w14:paraId="7FA11253">
            <w:pPr>
              <w:pStyle w:val="6"/>
              <w:spacing w:before="64" w:line="221" w:lineRule="auto"/>
              <w:ind w:left="964"/>
            </w:pPr>
            <w:r>
              <w:rPr>
                <w:b/>
                <w:bCs/>
                <w:spacing w:val="6"/>
              </w:rPr>
              <w:t>最高允许排放速率（</w:t>
            </w:r>
            <w:r>
              <w:rPr>
                <w:rFonts w:ascii="Times New Roman" w:hAnsi="Times New Roman" w:eastAsia="Times New Roman" w:cs="Times New Roman"/>
                <w:b/>
                <w:bCs/>
              </w:rPr>
              <w:t>kg</w:t>
            </w:r>
            <w:r>
              <w:rPr>
                <w:rFonts w:ascii="Times New Roman" w:hAnsi="Times New Roman" w:eastAsia="Times New Roman" w:cs="Times New Roman"/>
                <w:b/>
                <w:bCs/>
                <w:spacing w:val="6"/>
              </w:rPr>
              <w:t>/h</w:t>
            </w:r>
            <w:r>
              <w:rPr>
                <w:b/>
                <w:bCs/>
                <w:spacing w:val="6"/>
              </w:rPr>
              <w:t>）</w:t>
            </w:r>
          </w:p>
        </w:tc>
      </w:tr>
      <w:tr w14:paraId="63F2B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41" w:type="dxa"/>
            <w:vMerge w:val="continue"/>
            <w:tcBorders>
              <w:top w:val="nil"/>
            </w:tcBorders>
            <w:vAlign w:val="top"/>
          </w:tcPr>
          <w:p w14:paraId="2E9D8CCA">
            <w:pPr>
              <w:rPr>
                <w:rFonts w:ascii="Arial"/>
                <w:sz w:val="21"/>
              </w:rPr>
            </w:pPr>
          </w:p>
        </w:tc>
        <w:tc>
          <w:tcPr>
            <w:tcW w:w="871" w:type="dxa"/>
            <w:vMerge w:val="continue"/>
            <w:tcBorders>
              <w:top w:val="nil"/>
            </w:tcBorders>
            <w:vAlign w:val="top"/>
          </w:tcPr>
          <w:p w14:paraId="6AD6B541">
            <w:pPr>
              <w:rPr>
                <w:rFonts w:ascii="Arial"/>
                <w:sz w:val="21"/>
              </w:rPr>
            </w:pPr>
          </w:p>
        </w:tc>
        <w:tc>
          <w:tcPr>
            <w:tcW w:w="2203" w:type="dxa"/>
            <w:vMerge w:val="continue"/>
            <w:tcBorders>
              <w:top w:val="nil"/>
            </w:tcBorders>
            <w:vAlign w:val="top"/>
          </w:tcPr>
          <w:p w14:paraId="13CFCB19">
            <w:pPr>
              <w:rPr>
                <w:rFonts w:ascii="Arial"/>
                <w:sz w:val="21"/>
              </w:rPr>
            </w:pPr>
          </w:p>
        </w:tc>
        <w:tc>
          <w:tcPr>
            <w:tcW w:w="2203" w:type="dxa"/>
            <w:vAlign w:val="top"/>
          </w:tcPr>
          <w:p w14:paraId="44728C70">
            <w:pPr>
              <w:pStyle w:val="6"/>
              <w:spacing w:before="60" w:line="228" w:lineRule="auto"/>
              <w:ind w:left="496"/>
            </w:pPr>
            <w:r>
              <w:rPr>
                <w:b/>
                <w:bCs/>
                <w:spacing w:val="5"/>
              </w:rPr>
              <w:t>排气筒（</w:t>
            </w:r>
            <w:r>
              <w:rPr>
                <w:rFonts w:ascii="Times New Roman" w:hAnsi="Times New Roman" w:eastAsia="Times New Roman" w:cs="Times New Roman"/>
                <w:b/>
                <w:bCs/>
                <w:spacing w:val="5"/>
              </w:rPr>
              <w:t>m</w:t>
            </w:r>
            <w:r>
              <w:rPr>
                <w:b/>
                <w:bCs/>
                <w:spacing w:val="5"/>
              </w:rPr>
              <w:t>）</w:t>
            </w:r>
          </w:p>
        </w:tc>
        <w:tc>
          <w:tcPr>
            <w:tcW w:w="2206" w:type="dxa"/>
            <w:vAlign w:val="top"/>
          </w:tcPr>
          <w:p w14:paraId="06B0F9D2">
            <w:pPr>
              <w:pStyle w:val="6"/>
              <w:spacing w:before="59" w:line="231" w:lineRule="auto"/>
              <w:ind w:left="900"/>
            </w:pPr>
            <w:r>
              <w:rPr>
                <w:b/>
                <w:bCs/>
                <w:spacing w:val="2"/>
              </w:rPr>
              <w:t>二级</w:t>
            </w:r>
          </w:p>
        </w:tc>
      </w:tr>
      <w:tr w14:paraId="6F3F9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41" w:type="dxa"/>
            <w:vMerge w:val="restart"/>
            <w:tcBorders>
              <w:bottom w:val="nil"/>
            </w:tcBorders>
            <w:vAlign w:val="top"/>
          </w:tcPr>
          <w:p w14:paraId="7BA57ACF">
            <w:pPr>
              <w:pStyle w:val="6"/>
              <w:spacing w:before="233" w:line="228" w:lineRule="auto"/>
              <w:ind w:left="208"/>
            </w:pPr>
            <w:r>
              <w:rPr>
                <w:spacing w:val="6"/>
              </w:rPr>
              <w:t>发电机尾</w:t>
            </w:r>
          </w:p>
          <w:p w14:paraId="0B7E5FCB">
            <w:pPr>
              <w:pStyle w:val="6"/>
              <w:spacing w:before="79" w:line="230" w:lineRule="auto"/>
              <w:ind w:left="520"/>
            </w:pPr>
            <w:r>
              <w:t>气</w:t>
            </w:r>
          </w:p>
        </w:tc>
        <w:tc>
          <w:tcPr>
            <w:tcW w:w="871" w:type="dxa"/>
            <w:vAlign w:val="top"/>
          </w:tcPr>
          <w:p w14:paraId="037BEC9A">
            <w:pPr>
              <w:spacing w:before="97" w:line="232" w:lineRule="auto"/>
              <w:ind w:left="277"/>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sz w:val="13"/>
                <w:szCs w:val="13"/>
              </w:rPr>
              <w:t>2</w:t>
            </w:r>
          </w:p>
        </w:tc>
        <w:tc>
          <w:tcPr>
            <w:tcW w:w="2203" w:type="dxa"/>
            <w:vAlign w:val="top"/>
          </w:tcPr>
          <w:p w14:paraId="36429FD5">
            <w:pPr>
              <w:spacing w:before="30" w:line="274" w:lineRule="exact"/>
              <w:ind w:left="9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2203" w:type="dxa"/>
            <w:vMerge w:val="restart"/>
            <w:tcBorders>
              <w:bottom w:val="nil"/>
            </w:tcBorders>
            <w:vAlign w:val="top"/>
          </w:tcPr>
          <w:p w14:paraId="1AEDF006">
            <w:pPr>
              <w:spacing w:line="307" w:lineRule="auto"/>
              <w:rPr>
                <w:rFonts w:ascii="Arial"/>
                <w:sz w:val="21"/>
              </w:rPr>
            </w:pPr>
          </w:p>
          <w:p w14:paraId="1EFA4B4D">
            <w:pPr>
              <w:spacing w:before="57" w:line="274" w:lineRule="exact"/>
              <w:ind w:left="101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206" w:type="dxa"/>
            <w:vAlign w:val="top"/>
          </w:tcPr>
          <w:p w14:paraId="0F38A43A">
            <w:pPr>
              <w:spacing w:before="30" w:line="274" w:lineRule="exact"/>
              <w:ind w:left="9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1.05</w:t>
            </w:r>
          </w:p>
        </w:tc>
      </w:tr>
      <w:tr w14:paraId="583C0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41" w:type="dxa"/>
            <w:vMerge w:val="continue"/>
            <w:tcBorders>
              <w:top w:val="nil"/>
              <w:bottom w:val="nil"/>
            </w:tcBorders>
            <w:vAlign w:val="top"/>
          </w:tcPr>
          <w:p w14:paraId="12C2766D">
            <w:pPr>
              <w:rPr>
                <w:rFonts w:ascii="Arial"/>
                <w:sz w:val="21"/>
              </w:rPr>
            </w:pPr>
          </w:p>
        </w:tc>
        <w:tc>
          <w:tcPr>
            <w:tcW w:w="871" w:type="dxa"/>
            <w:vAlign w:val="top"/>
          </w:tcPr>
          <w:p w14:paraId="22B5C785">
            <w:pPr>
              <w:spacing w:before="98" w:line="202" w:lineRule="auto"/>
              <w:ind w:left="228"/>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2203" w:type="dxa"/>
            <w:vAlign w:val="top"/>
          </w:tcPr>
          <w:p w14:paraId="6552BA43">
            <w:pPr>
              <w:spacing w:before="31" w:line="274" w:lineRule="exact"/>
              <w:ind w:left="96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120</w:t>
            </w:r>
          </w:p>
        </w:tc>
        <w:tc>
          <w:tcPr>
            <w:tcW w:w="2203" w:type="dxa"/>
            <w:vMerge w:val="continue"/>
            <w:tcBorders>
              <w:top w:val="nil"/>
              <w:bottom w:val="nil"/>
            </w:tcBorders>
            <w:vAlign w:val="top"/>
          </w:tcPr>
          <w:p w14:paraId="73DAEE8F">
            <w:pPr>
              <w:rPr>
                <w:rFonts w:ascii="Arial"/>
                <w:sz w:val="21"/>
              </w:rPr>
            </w:pPr>
          </w:p>
        </w:tc>
        <w:tc>
          <w:tcPr>
            <w:tcW w:w="2206" w:type="dxa"/>
            <w:vAlign w:val="top"/>
          </w:tcPr>
          <w:p w14:paraId="27FFC9D4">
            <w:pPr>
              <w:spacing w:before="31" w:line="274" w:lineRule="exact"/>
              <w:ind w:left="92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0.32</w:t>
            </w:r>
          </w:p>
        </w:tc>
      </w:tr>
      <w:tr w14:paraId="5584A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241" w:type="dxa"/>
            <w:vMerge w:val="continue"/>
            <w:tcBorders>
              <w:top w:val="nil"/>
            </w:tcBorders>
            <w:vAlign w:val="top"/>
          </w:tcPr>
          <w:p w14:paraId="77C0F203">
            <w:pPr>
              <w:rPr>
                <w:rFonts w:ascii="Arial"/>
                <w:sz w:val="21"/>
              </w:rPr>
            </w:pPr>
          </w:p>
        </w:tc>
        <w:tc>
          <w:tcPr>
            <w:tcW w:w="871" w:type="dxa"/>
            <w:vAlign w:val="top"/>
          </w:tcPr>
          <w:p w14:paraId="0ABD5102">
            <w:pPr>
              <w:pStyle w:val="6"/>
              <w:spacing w:before="63" w:line="230" w:lineRule="auto"/>
              <w:ind w:left="230"/>
            </w:pPr>
            <w:r>
              <w:rPr>
                <w:spacing w:val="4"/>
              </w:rPr>
              <w:t>烟尘</w:t>
            </w:r>
          </w:p>
        </w:tc>
        <w:tc>
          <w:tcPr>
            <w:tcW w:w="2203" w:type="dxa"/>
            <w:vAlign w:val="top"/>
          </w:tcPr>
          <w:p w14:paraId="0BBD5476">
            <w:pPr>
              <w:spacing w:before="32" w:line="274" w:lineRule="exact"/>
              <w:ind w:left="96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120</w:t>
            </w:r>
          </w:p>
        </w:tc>
        <w:tc>
          <w:tcPr>
            <w:tcW w:w="2203" w:type="dxa"/>
            <w:vMerge w:val="continue"/>
            <w:tcBorders>
              <w:top w:val="nil"/>
            </w:tcBorders>
            <w:vAlign w:val="top"/>
          </w:tcPr>
          <w:p w14:paraId="7442671E">
            <w:pPr>
              <w:rPr>
                <w:rFonts w:ascii="Arial"/>
                <w:sz w:val="21"/>
              </w:rPr>
            </w:pPr>
          </w:p>
        </w:tc>
        <w:tc>
          <w:tcPr>
            <w:tcW w:w="2206" w:type="dxa"/>
            <w:vAlign w:val="top"/>
          </w:tcPr>
          <w:p w14:paraId="7CDAC084">
            <w:pPr>
              <w:spacing w:before="32" w:line="274" w:lineRule="exact"/>
              <w:ind w:left="9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1.45</w:t>
            </w:r>
          </w:p>
        </w:tc>
      </w:tr>
    </w:tbl>
    <w:p w14:paraId="48A01429">
      <w:pPr>
        <w:spacing w:before="89" w:line="361" w:lineRule="exact"/>
        <w:ind w:left="603"/>
        <w:rPr>
          <w:rFonts w:ascii="宋体" w:hAnsi="宋体" w:eastAsia="宋体" w:cs="宋体"/>
          <w:sz w:val="24"/>
          <w:szCs w:val="24"/>
        </w:rPr>
      </w:pPr>
      <w:r>
        <w:rPr>
          <w:rFonts w:ascii="Times New Roman" w:hAnsi="Times New Roman" w:eastAsia="Times New Roman" w:cs="Times New Roman"/>
          <w:spacing w:val="-4"/>
          <w:position w:val="2"/>
          <w:sz w:val="24"/>
          <w:szCs w:val="24"/>
        </w:rPr>
        <w:t>3</w:t>
      </w:r>
      <w:r>
        <w:rPr>
          <w:rFonts w:ascii="Times New Roman" w:hAnsi="Times New Roman" w:eastAsia="Times New Roman" w:cs="Times New Roman"/>
          <w:spacing w:val="-31"/>
          <w:position w:val="2"/>
          <w:sz w:val="24"/>
          <w:szCs w:val="24"/>
        </w:rPr>
        <w:t xml:space="preserve"> </w:t>
      </w:r>
      <w:r>
        <w:rPr>
          <w:rFonts w:ascii="宋体" w:hAnsi="宋体" w:eastAsia="宋体" w:cs="宋体"/>
          <w:spacing w:val="-4"/>
          <w:position w:val="2"/>
          <w:sz w:val="24"/>
          <w:szCs w:val="24"/>
        </w:rPr>
        <w:t>、噪声污染控制标准</w:t>
      </w:r>
    </w:p>
    <w:p w14:paraId="020F07B7">
      <w:pPr>
        <w:spacing w:before="164" w:line="373" w:lineRule="auto"/>
        <w:ind w:left="122" w:right="110" w:firstLine="480"/>
        <w:rPr>
          <w:rFonts w:ascii="宋体" w:hAnsi="宋体" w:eastAsia="宋体" w:cs="宋体"/>
          <w:sz w:val="24"/>
          <w:szCs w:val="24"/>
        </w:rPr>
      </w:pPr>
      <w:r>
        <w:rPr>
          <w:rFonts w:ascii="宋体" w:hAnsi="宋体" w:eastAsia="宋体" w:cs="宋体"/>
          <w:spacing w:val="41"/>
          <w:sz w:val="24"/>
          <w:szCs w:val="24"/>
        </w:rPr>
        <w:t>本项目施工期噪声污染排放执行《</w:t>
      </w:r>
      <w:r>
        <w:rPr>
          <w:rFonts w:ascii="宋体" w:hAnsi="宋体" w:eastAsia="宋体" w:cs="宋体"/>
          <w:spacing w:val="-39"/>
          <w:sz w:val="24"/>
          <w:szCs w:val="24"/>
        </w:rPr>
        <w:t xml:space="preserve"> </w:t>
      </w:r>
      <w:r>
        <w:rPr>
          <w:rFonts w:ascii="宋体" w:hAnsi="宋体" w:eastAsia="宋体" w:cs="宋体"/>
          <w:spacing w:val="41"/>
          <w:sz w:val="24"/>
          <w:szCs w:val="24"/>
        </w:rPr>
        <w:t>建筑施工场环境噪声排放标准》</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12523-2011</w:t>
      </w:r>
      <w:r>
        <w:rPr>
          <w:rFonts w:ascii="宋体" w:hAnsi="宋体" w:eastAsia="宋体" w:cs="宋体"/>
          <w:spacing w:val="1"/>
          <w:sz w:val="24"/>
          <w:szCs w:val="24"/>
        </w:rPr>
        <w:t>）标准；运营期项目边界噪声排放执</w:t>
      </w:r>
      <w:r>
        <w:rPr>
          <w:rFonts w:ascii="宋体" w:hAnsi="宋体" w:eastAsia="宋体" w:cs="宋体"/>
          <w:sz w:val="24"/>
          <w:szCs w:val="24"/>
        </w:rPr>
        <w:t xml:space="preserve">行《工业企业厂界环境噪声排 </w:t>
      </w:r>
      <w:r>
        <w:rPr>
          <w:rFonts w:ascii="宋体" w:hAnsi="宋体" w:eastAsia="宋体" w:cs="宋体"/>
          <w:spacing w:val="-1"/>
          <w:sz w:val="24"/>
          <w:szCs w:val="24"/>
        </w:rPr>
        <w:t>放标准》（</w:t>
      </w:r>
      <w:r>
        <w:rPr>
          <w:rFonts w:ascii="Times New Roman" w:hAnsi="Times New Roman" w:eastAsia="Times New Roman" w:cs="Times New Roman"/>
          <w:spacing w:val="-1"/>
          <w:sz w:val="24"/>
          <w:szCs w:val="24"/>
        </w:rPr>
        <w:t>GB12348-2008</w:t>
      </w:r>
      <w:r>
        <w:rPr>
          <w:rFonts w:ascii="宋体" w:hAnsi="宋体" w:eastAsia="宋体" w:cs="宋体"/>
          <w:spacing w:val="-1"/>
          <w:sz w:val="24"/>
          <w:szCs w:val="24"/>
        </w:rPr>
        <w:t>）的</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类标准，详情见下表。</w:t>
      </w:r>
    </w:p>
    <w:p w14:paraId="17B1CF4C">
      <w:pPr>
        <w:spacing w:before="26" w:line="221" w:lineRule="auto"/>
        <w:ind w:left="2892"/>
        <w:rPr>
          <w:rFonts w:ascii="Times New Roman" w:hAnsi="Times New Roman" w:eastAsia="Times New Roman" w:cs="Times New Roman"/>
          <w:sz w:val="20"/>
          <w:szCs w:val="20"/>
        </w:rPr>
      </w:pPr>
      <w:r>
        <w:rPr>
          <w:rFonts w:ascii="宋体" w:hAnsi="宋体" w:eastAsia="宋体" w:cs="宋体"/>
          <w:b/>
          <w:bCs/>
          <w:spacing w:val="5"/>
          <w:sz w:val="20"/>
          <w:szCs w:val="20"/>
        </w:rPr>
        <w:t>表</w:t>
      </w:r>
      <w:r>
        <w:rPr>
          <w:rFonts w:ascii="宋体" w:hAnsi="宋体" w:eastAsia="宋体" w:cs="宋体"/>
          <w:spacing w:val="-31"/>
          <w:sz w:val="20"/>
          <w:szCs w:val="20"/>
        </w:rPr>
        <w:t xml:space="preserve"> </w:t>
      </w:r>
      <w:r>
        <w:rPr>
          <w:rFonts w:ascii="Times New Roman" w:hAnsi="Times New Roman" w:eastAsia="Times New Roman" w:cs="Times New Roman"/>
          <w:b/>
          <w:bCs/>
          <w:spacing w:val="5"/>
          <w:sz w:val="20"/>
          <w:szCs w:val="20"/>
        </w:rPr>
        <w:t>2.5-9</w:t>
      </w:r>
      <w:r>
        <w:rPr>
          <w:rFonts w:ascii="Times New Roman" w:hAnsi="Times New Roman" w:eastAsia="Times New Roman" w:cs="Times New Roman"/>
          <w:b/>
          <w:bCs/>
          <w:spacing w:val="19"/>
          <w:w w:val="101"/>
          <w:sz w:val="20"/>
          <w:szCs w:val="20"/>
        </w:rPr>
        <w:t xml:space="preserve"> </w:t>
      </w:r>
      <w:r>
        <w:rPr>
          <w:rFonts w:ascii="宋体" w:hAnsi="宋体" w:eastAsia="宋体" w:cs="宋体"/>
          <w:b/>
          <w:bCs/>
          <w:spacing w:val="5"/>
          <w:sz w:val="20"/>
          <w:szCs w:val="20"/>
        </w:rPr>
        <w:t>噪声排放标准单位：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5"/>
          <w:sz w:val="20"/>
          <w:szCs w:val="20"/>
        </w:rPr>
        <w:t>(A)</w:t>
      </w:r>
    </w:p>
    <w:p w14:paraId="005A1444">
      <w:pPr>
        <w:spacing w:line="111"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6"/>
        <w:gridCol w:w="1189"/>
        <w:gridCol w:w="892"/>
        <w:gridCol w:w="1040"/>
        <w:gridCol w:w="4073"/>
      </w:tblGrid>
      <w:tr w14:paraId="7A3F3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756" w:type="dxa"/>
            <w:vMerge w:val="restart"/>
            <w:tcBorders>
              <w:bottom w:val="nil"/>
            </w:tcBorders>
            <w:vAlign w:val="top"/>
          </w:tcPr>
          <w:p w14:paraId="5B1E8506">
            <w:pPr>
              <w:pStyle w:val="6"/>
              <w:spacing w:before="232" w:line="229" w:lineRule="auto"/>
              <w:ind w:left="683"/>
            </w:pPr>
            <w:r>
              <w:rPr>
                <w:b/>
                <w:bCs/>
                <w:spacing w:val="-1"/>
              </w:rPr>
              <w:t>时期</w:t>
            </w:r>
          </w:p>
        </w:tc>
        <w:tc>
          <w:tcPr>
            <w:tcW w:w="1189" w:type="dxa"/>
            <w:vMerge w:val="restart"/>
            <w:tcBorders>
              <w:bottom w:val="nil"/>
            </w:tcBorders>
            <w:vAlign w:val="top"/>
          </w:tcPr>
          <w:p w14:paraId="7D645386">
            <w:pPr>
              <w:pStyle w:val="6"/>
              <w:spacing w:before="232" w:line="228" w:lineRule="auto"/>
              <w:ind w:left="388"/>
            </w:pPr>
            <w:r>
              <w:rPr>
                <w:b/>
                <w:bCs/>
                <w:spacing w:val="3"/>
              </w:rPr>
              <w:t>类别</w:t>
            </w:r>
          </w:p>
        </w:tc>
        <w:tc>
          <w:tcPr>
            <w:tcW w:w="1932" w:type="dxa"/>
            <w:gridSpan w:val="2"/>
            <w:vAlign w:val="top"/>
          </w:tcPr>
          <w:p w14:paraId="4D9C9645">
            <w:pPr>
              <w:pStyle w:val="6"/>
              <w:spacing w:before="64" w:line="228" w:lineRule="auto"/>
              <w:ind w:left="551"/>
            </w:pPr>
            <w:r>
              <w:rPr>
                <w:b/>
                <w:bCs/>
                <w:spacing w:val="6"/>
              </w:rPr>
              <w:t>标准限值</w:t>
            </w:r>
          </w:p>
        </w:tc>
        <w:tc>
          <w:tcPr>
            <w:tcW w:w="4073" w:type="dxa"/>
            <w:vMerge w:val="restart"/>
            <w:tcBorders>
              <w:bottom w:val="nil"/>
            </w:tcBorders>
            <w:vAlign w:val="top"/>
          </w:tcPr>
          <w:p w14:paraId="65FC4308">
            <w:pPr>
              <w:pStyle w:val="6"/>
              <w:spacing w:before="232" w:line="228" w:lineRule="auto"/>
              <w:ind w:left="1621"/>
            </w:pPr>
            <w:r>
              <w:rPr>
                <w:b/>
                <w:bCs/>
                <w:spacing w:val="6"/>
              </w:rPr>
              <w:t>执行标准</w:t>
            </w:r>
          </w:p>
        </w:tc>
      </w:tr>
      <w:tr w14:paraId="49DAD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756" w:type="dxa"/>
            <w:vMerge w:val="continue"/>
            <w:tcBorders>
              <w:top w:val="nil"/>
            </w:tcBorders>
            <w:vAlign w:val="top"/>
          </w:tcPr>
          <w:p w14:paraId="524763F4">
            <w:pPr>
              <w:rPr>
                <w:rFonts w:ascii="Arial"/>
                <w:sz w:val="21"/>
              </w:rPr>
            </w:pPr>
          </w:p>
        </w:tc>
        <w:tc>
          <w:tcPr>
            <w:tcW w:w="1189" w:type="dxa"/>
            <w:vMerge w:val="continue"/>
            <w:tcBorders>
              <w:top w:val="nil"/>
            </w:tcBorders>
            <w:vAlign w:val="top"/>
          </w:tcPr>
          <w:p w14:paraId="14FEEA06">
            <w:pPr>
              <w:rPr>
                <w:rFonts w:ascii="Arial"/>
                <w:sz w:val="21"/>
              </w:rPr>
            </w:pPr>
          </w:p>
        </w:tc>
        <w:tc>
          <w:tcPr>
            <w:tcW w:w="892" w:type="dxa"/>
            <w:vAlign w:val="top"/>
          </w:tcPr>
          <w:p w14:paraId="48EE15C8">
            <w:pPr>
              <w:pStyle w:val="6"/>
              <w:spacing w:before="60" w:line="231" w:lineRule="auto"/>
              <w:ind w:left="240"/>
            </w:pPr>
            <w:r>
              <w:rPr>
                <w:b/>
                <w:bCs/>
                <w:spacing w:val="4"/>
              </w:rPr>
              <w:t>昼间</w:t>
            </w:r>
          </w:p>
        </w:tc>
        <w:tc>
          <w:tcPr>
            <w:tcW w:w="1040" w:type="dxa"/>
            <w:vAlign w:val="top"/>
          </w:tcPr>
          <w:p w14:paraId="311503BA">
            <w:pPr>
              <w:pStyle w:val="6"/>
              <w:spacing w:before="60" w:line="228" w:lineRule="auto"/>
              <w:ind w:left="319"/>
            </w:pPr>
            <w:r>
              <w:rPr>
                <w:b/>
                <w:bCs/>
                <w:spacing w:val="2"/>
              </w:rPr>
              <w:t>夜间</w:t>
            </w:r>
          </w:p>
        </w:tc>
        <w:tc>
          <w:tcPr>
            <w:tcW w:w="4073" w:type="dxa"/>
            <w:vMerge w:val="continue"/>
            <w:tcBorders>
              <w:top w:val="nil"/>
            </w:tcBorders>
            <w:vAlign w:val="top"/>
          </w:tcPr>
          <w:p w14:paraId="47A5FF9C">
            <w:pPr>
              <w:rPr>
                <w:rFonts w:ascii="Arial"/>
                <w:sz w:val="21"/>
              </w:rPr>
            </w:pPr>
          </w:p>
        </w:tc>
      </w:tr>
      <w:tr w14:paraId="24BA9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756" w:type="dxa"/>
            <w:vAlign w:val="top"/>
          </w:tcPr>
          <w:p w14:paraId="39453DC6">
            <w:pPr>
              <w:pStyle w:val="6"/>
              <w:spacing w:before="222" w:line="229" w:lineRule="auto"/>
              <w:ind w:left="567"/>
            </w:pPr>
            <w:r>
              <w:rPr>
                <w:spacing w:val="7"/>
              </w:rPr>
              <w:t>施工期</w:t>
            </w:r>
          </w:p>
        </w:tc>
        <w:tc>
          <w:tcPr>
            <w:tcW w:w="1189" w:type="dxa"/>
            <w:vAlign w:val="top"/>
          </w:tcPr>
          <w:p w14:paraId="032C05B1">
            <w:pPr>
              <w:spacing w:line="287" w:lineRule="auto"/>
              <w:rPr>
                <w:rFonts w:ascii="Arial"/>
                <w:sz w:val="21"/>
              </w:rPr>
            </w:pPr>
          </w:p>
          <w:p w14:paraId="33B87F56">
            <w:pPr>
              <w:spacing w:before="57" w:line="97" w:lineRule="exact"/>
              <w:ind w:left="5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892" w:type="dxa"/>
            <w:vAlign w:val="top"/>
          </w:tcPr>
          <w:p w14:paraId="401EC8C8">
            <w:pPr>
              <w:spacing w:before="191" w:line="274"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1040" w:type="dxa"/>
            <w:vAlign w:val="top"/>
          </w:tcPr>
          <w:p w14:paraId="29121240">
            <w:pPr>
              <w:spacing w:before="261" w:line="192" w:lineRule="auto"/>
              <w:ind w:left="421"/>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4073" w:type="dxa"/>
            <w:vAlign w:val="top"/>
          </w:tcPr>
          <w:p w14:paraId="6EACF498">
            <w:pPr>
              <w:pStyle w:val="6"/>
              <w:spacing w:before="61" w:line="229" w:lineRule="auto"/>
              <w:ind w:left="366"/>
            </w:pPr>
            <w:r>
              <w:rPr>
                <w:spacing w:val="8"/>
              </w:rPr>
              <w:t>《建筑施工场界环境噪声排放标准》</w:t>
            </w:r>
          </w:p>
          <w:p w14:paraId="32296153">
            <w:pPr>
              <w:pStyle w:val="6"/>
              <w:spacing w:before="45" w:line="274" w:lineRule="exact"/>
              <w:ind w:left="1189"/>
            </w:pPr>
            <w:r>
              <w:rPr>
                <w:spacing w:val="4"/>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4"/>
                <w:position w:val="1"/>
              </w:rPr>
              <w:t>12523-2011</w:t>
            </w:r>
            <w:r>
              <w:rPr>
                <w:spacing w:val="4"/>
                <w:position w:val="1"/>
              </w:rPr>
              <w:t>）</w:t>
            </w:r>
          </w:p>
        </w:tc>
      </w:tr>
      <w:tr w14:paraId="3DA02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756" w:type="dxa"/>
            <w:vAlign w:val="top"/>
          </w:tcPr>
          <w:p w14:paraId="3CCBA7A9">
            <w:pPr>
              <w:pStyle w:val="6"/>
              <w:spacing w:before="224" w:line="229" w:lineRule="auto"/>
              <w:ind w:left="567"/>
            </w:pPr>
            <w:r>
              <w:rPr>
                <w:spacing w:val="6"/>
              </w:rPr>
              <w:t>运营期</w:t>
            </w:r>
          </w:p>
        </w:tc>
        <w:tc>
          <w:tcPr>
            <w:tcW w:w="1189" w:type="dxa"/>
            <w:vAlign w:val="top"/>
          </w:tcPr>
          <w:p w14:paraId="7B1F0418">
            <w:pPr>
              <w:pStyle w:val="6"/>
              <w:spacing w:before="193" w:line="275" w:lineRule="exact"/>
              <w:ind w:left="411"/>
            </w:pPr>
            <w:r>
              <w:rPr>
                <w:rFonts w:ascii="Times New Roman" w:hAnsi="Times New Roman" w:eastAsia="Times New Roman" w:cs="Times New Roman"/>
                <w:position w:val="1"/>
              </w:rPr>
              <w:t>2</w:t>
            </w:r>
            <w:r>
              <w:rPr>
                <w:rFonts w:ascii="Times New Roman" w:hAnsi="Times New Roman" w:eastAsia="Times New Roman" w:cs="Times New Roman"/>
                <w:spacing w:val="9"/>
                <w:position w:val="1"/>
              </w:rPr>
              <w:t xml:space="preserve"> </w:t>
            </w:r>
            <w:r>
              <w:rPr>
                <w:position w:val="1"/>
              </w:rPr>
              <w:t>类</w:t>
            </w:r>
          </w:p>
        </w:tc>
        <w:tc>
          <w:tcPr>
            <w:tcW w:w="892" w:type="dxa"/>
            <w:vAlign w:val="top"/>
          </w:tcPr>
          <w:p w14:paraId="722BE66F">
            <w:pPr>
              <w:spacing w:before="193" w:line="275" w:lineRule="exact"/>
              <w:ind w:left="3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040" w:type="dxa"/>
            <w:vAlign w:val="top"/>
          </w:tcPr>
          <w:p w14:paraId="3CF87615">
            <w:pPr>
              <w:spacing w:before="193" w:line="275" w:lineRule="exact"/>
              <w:ind w:left="4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4073" w:type="dxa"/>
            <w:vAlign w:val="top"/>
          </w:tcPr>
          <w:p w14:paraId="34009993">
            <w:pPr>
              <w:pStyle w:val="6"/>
              <w:spacing w:before="60" w:line="272" w:lineRule="auto"/>
              <w:ind w:left="795" w:right="367" w:hanging="429"/>
            </w:pPr>
            <w:r>
              <w:rPr>
                <w:spacing w:val="8"/>
              </w:rPr>
              <w:t>《工业企业厂界环境噪声排放标准》</w:t>
            </w:r>
            <w:r>
              <w:rPr>
                <w:spacing w:val="5"/>
              </w:rPr>
              <w:t xml:space="preserve"> （</w:t>
            </w:r>
            <w:r>
              <w:rPr>
                <w:rFonts w:ascii="Times New Roman" w:hAnsi="Times New Roman" w:eastAsia="Times New Roman" w:cs="Times New Roman"/>
              </w:rPr>
              <w:t>GB</w:t>
            </w:r>
            <w:r>
              <w:rPr>
                <w:rFonts w:ascii="Times New Roman" w:hAnsi="Times New Roman" w:eastAsia="Times New Roman" w:cs="Times New Roman"/>
                <w:spacing w:val="5"/>
              </w:rPr>
              <w:t>12348-2008</w:t>
            </w:r>
            <w:r>
              <w:rPr>
                <w:spacing w:val="5"/>
              </w:rPr>
              <w:t>）</w:t>
            </w:r>
            <w:r>
              <w:rPr>
                <w:rFonts w:ascii="Times New Roman" w:hAnsi="Times New Roman" w:eastAsia="Times New Roman" w:cs="Times New Roman"/>
                <w:spacing w:val="5"/>
              </w:rPr>
              <w:t xml:space="preserve">2 </w:t>
            </w:r>
            <w:r>
              <w:rPr>
                <w:spacing w:val="5"/>
              </w:rPr>
              <w:t>类标准</w:t>
            </w:r>
          </w:p>
        </w:tc>
      </w:tr>
    </w:tbl>
    <w:p w14:paraId="17863667">
      <w:pPr>
        <w:spacing w:before="90" w:line="362" w:lineRule="exact"/>
        <w:ind w:left="597"/>
        <w:rPr>
          <w:rFonts w:ascii="宋体" w:hAnsi="宋体" w:eastAsia="宋体" w:cs="宋体"/>
          <w:sz w:val="24"/>
          <w:szCs w:val="24"/>
        </w:rPr>
      </w:pPr>
      <w:r>
        <w:rPr>
          <w:rFonts w:ascii="Times New Roman" w:hAnsi="Times New Roman" w:eastAsia="Times New Roman" w:cs="Times New Roman"/>
          <w:spacing w:val="-3"/>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3"/>
          <w:position w:val="2"/>
          <w:sz w:val="24"/>
          <w:szCs w:val="24"/>
        </w:rPr>
        <w:t>、固体废物控制标准</w:t>
      </w:r>
    </w:p>
    <w:p w14:paraId="69647139">
      <w:pPr>
        <w:spacing w:before="126" w:line="375" w:lineRule="auto"/>
        <w:ind w:left="118" w:right="17" w:firstLine="483"/>
        <w:rPr>
          <w:rFonts w:ascii="宋体" w:hAnsi="宋体" w:eastAsia="宋体" w:cs="宋体"/>
          <w:sz w:val="24"/>
          <w:szCs w:val="24"/>
        </w:rPr>
      </w:pPr>
      <w:r>
        <w:rPr>
          <w:rFonts w:ascii="宋体" w:hAnsi="宋体" w:eastAsia="宋体" w:cs="宋体"/>
          <w:sz w:val="24"/>
          <w:szCs w:val="24"/>
        </w:rPr>
        <w:t>病死牲畜处理执行《病死及病害动物无害化处理技术规范》</w:t>
      </w:r>
      <w:r>
        <w:rPr>
          <w:rFonts w:ascii="宋体" w:hAnsi="宋体" w:eastAsia="宋体" w:cs="宋体"/>
          <w:spacing w:val="-1"/>
          <w:sz w:val="24"/>
          <w:szCs w:val="24"/>
        </w:rPr>
        <w:t>（农医发〔</w:t>
      </w:r>
      <w:r>
        <w:rPr>
          <w:rFonts w:ascii="Times New Roman" w:hAnsi="Times New Roman" w:eastAsia="Times New Roman" w:cs="Times New Roman"/>
          <w:spacing w:val="-1"/>
          <w:sz w:val="24"/>
          <w:szCs w:val="24"/>
        </w:rPr>
        <w:t>2017</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25</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号</w:t>
      </w:r>
      <w:r>
        <w:rPr>
          <w:rFonts w:ascii="宋体" w:hAnsi="宋体" w:eastAsia="宋体" w:cs="宋体"/>
          <w:spacing w:val="9"/>
          <w:sz w:val="24"/>
          <w:szCs w:val="24"/>
        </w:rPr>
        <w:t>）；</w:t>
      </w:r>
      <w:r>
        <w:rPr>
          <w:rFonts w:ascii="宋体" w:hAnsi="宋体" w:eastAsia="宋体" w:cs="宋体"/>
          <w:spacing w:val="-1"/>
          <w:sz w:val="24"/>
          <w:szCs w:val="24"/>
        </w:rPr>
        <w:t>粪便处理执行《粪便无害化卫生要求》（</w:t>
      </w:r>
      <w:r>
        <w:rPr>
          <w:rFonts w:ascii="Times New Roman" w:hAnsi="Times New Roman" w:eastAsia="Times New Roman" w:cs="Times New Roman"/>
          <w:spacing w:val="-1"/>
          <w:sz w:val="24"/>
          <w:szCs w:val="24"/>
        </w:rPr>
        <w:t>GB7959-2012</w:t>
      </w:r>
      <w:r>
        <w:rPr>
          <w:rFonts w:ascii="宋体" w:hAnsi="宋体" w:eastAsia="宋体" w:cs="宋体"/>
          <w:spacing w:val="-1"/>
          <w:sz w:val="24"/>
          <w:szCs w:val="24"/>
        </w:rPr>
        <w:t>）中好氧发酵（高</w:t>
      </w:r>
      <w:r>
        <w:rPr>
          <w:rFonts w:ascii="宋体" w:hAnsi="宋体" w:eastAsia="宋体" w:cs="宋体"/>
          <w:sz w:val="24"/>
          <w:szCs w:val="24"/>
        </w:rPr>
        <w:t xml:space="preserve">  </w:t>
      </w:r>
      <w:r>
        <w:rPr>
          <w:rFonts w:ascii="宋体" w:hAnsi="宋体" w:eastAsia="宋体" w:cs="宋体"/>
          <w:spacing w:val="1"/>
          <w:sz w:val="24"/>
          <w:szCs w:val="24"/>
        </w:rPr>
        <w:t>温堆肥）的卫生要求，见表</w:t>
      </w:r>
      <w:r>
        <w:rPr>
          <w:rFonts w:ascii="Times New Roman" w:hAnsi="Times New Roman" w:eastAsia="Times New Roman" w:cs="Times New Roman"/>
          <w:spacing w:val="1"/>
          <w:sz w:val="24"/>
          <w:szCs w:val="24"/>
        </w:rPr>
        <w:t>2.4-10</w:t>
      </w:r>
      <w:r>
        <w:rPr>
          <w:rFonts w:ascii="宋体" w:hAnsi="宋体" w:eastAsia="宋体" w:cs="宋体"/>
          <w:spacing w:val="1"/>
          <w:sz w:val="24"/>
          <w:szCs w:val="24"/>
        </w:rPr>
        <w:t>；废医疗废物执行《危险废物贮存污染控制标</w:t>
      </w:r>
      <w:r>
        <w:rPr>
          <w:rFonts w:ascii="宋体" w:hAnsi="宋体" w:eastAsia="宋体" w:cs="宋体"/>
          <w:sz w:val="24"/>
          <w:szCs w:val="24"/>
        </w:rPr>
        <w:t xml:space="preserve">准》 </w:t>
      </w:r>
      <w:r>
        <w:rPr>
          <w:rFonts w:ascii="宋体" w:hAnsi="宋体" w:eastAsia="宋体" w:cs="宋体"/>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18597-2001</w:t>
      </w:r>
      <w:r>
        <w:rPr>
          <w:rFonts w:ascii="宋体" w:hAnsi="宋体" w:eastAsia="宋体" w:cs="宋体"/>
          <w:spacing w:val="1"/>
          <w:sz w:val="24"/>
          <w:szCs w:val="24"/>
        </w:rPr>
        <w:t>）标准及环境保护部</w:t>
      </w:r>
      <w:r>
        <w:rPr>
          <w:rFonts w:ascii="Times New Roman" w:hAnsi="Times New Roman" w:eastAsia="Times New Roman" w:cs="Times New Roman"/>
          <w:spacing w:val="1"/>
          <w:sz w:val="24"/>
          <w:szCs w:val="24"/>
        </w:rPr>
        <w:t xml:space="preserve">2013 </w:t>
      </w:r>
      <w:r>
        <w:rPr>
          <w:rFonts w:ascii="宋体" w:hAnsi="宋体" w:eastAsia="宋体" w:cs="宋体"/>
          <w:spacing w:val="1"/>
          <w:sz w:val="24"/>
          <w:szCs w:val="24"/>
        </w:rPr>
        <w:t>年第</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36 </w:t>
      </w:r>
      <w:r>
        <w:rPr>
          <w:rFonts w:ascii="宋体" w:hAnsi="宋体" w:eastAsia="宋体" w:cs="宋体"/>
          <w:spacing w:val="1"/>
          <w:sz w:val="24"/>
          <w:szCs w:val="24"/>
        </w:rPr>
        <w:t>号修改单公告；其他固体废物执</w:t>
      </w:r>
      <w:r>
        <w:rPr>
          <w:rFonts w:ascii="宋体" w:hAnsi="宋体" w:eastAsia="宋体" w:cs="宋体"/>
          <w:sz w:val="24"/>
          <w:szCs w:val="24"/>
        </w:rPr>
        <w:t xml:space="preserve">  行《一般工业固体废物贮存、处置场污染控制标准》（</w:t>
      </w:r>
      <w:r>
        <w:rPr>
          <w:rFonts w:ascii="Times New Roman" w:hAnsi="Times New Roman" w:eastAsia="Times New Roman" w:cs="Times New Roman"/>
          <w:sz w:val="24"/>
          <w:szCs w:val="24"/>
        </w:rPr>
        <w:t>GB18599-200</w:t>
      </w:r>
      <w:r>
        <w:rPr>
          <w:rFonts w:ascii="Times New Roman" w:hAnsi="Times New Roman" w:eastAsia="Times New Roman" w:cs="Times New Roman"/>
          <w:spacing w:val="-1"/>
          <w:sz w:val="24"/>
          <w:szCs w:val="24"/>
        </w:rPr>
        <w:t>1</w:t>
      </w:r>
      <w:r>
        <w:rPr>
          <w:rFonts w:ascii="宋体" w:hAnsi="宋体" w:eastAsia="宋体" w:cs="宋体"/>
          <w:spacing w:val="-1"/>
          <w:sz w:val="24"/>
          <w:szCs w:val="24"/>
        </w:rPr>
        <w:t>）及其修改单</w:t>
      </w:r>
      <w:r>
        <w:rPr>
          <w:rFonts w:ascii="宋体" w:hAnsi="宋体" w:eastAsia="宋体" w:cs="宋体"/>
          <w:sz w:val="24"/>
          <w:szCs w:val="24"/>
        </w:rPr>
        <w:t xml:space="preserve">  </w:t>
      </w:r>
      <w:r>
        <w:rPr>
          <w:rFonts w:ascii="宋体" w:hAnsi="宋体" w:eastAsia="宋体" w:cs="宋体"/>
          <w:spacing w:val="2"/>
          <w:sz w:val="24"/>
          <w:szCs w:val="24"/>
        </w:rPr>
        <w:t>（环保部公告</w:t>
      </w:r>
      <w:r>
        <w:rPr>
          <w:rFonts w:ascii="Times New Roman" w:hAnsi="Times New Roman" w:eastAsia="Times New Roman" w:cs="Times New Roman"/>
          <w:spacing w:val="2"/>
          <w:sz w:val="24"/>
          <w:szCs w:val="24"/>
        </w:rPr>
        <w:t xml:space="preserve">2013 </w:t>
      </w:r>
      <w:r>
        <w:rPr>
          <w:rFonts w:ascii="宋体" w:hAnsi="宋体" w:eastAsia="宋体" w:cs="宋体"/>
          <w:spacing w:val="2"/>
          <w:sz w:val="24"/>
          <w:szCs w:val="24"/>
        </w:rPr>
        <w:t>年第</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36 </w:t>
      </w:r>
      <w:r>
        <w:rPr>
          <w:rFonts w:ascii="宋体" w:hAnsi="宋体" w:eastAsia="宋体" w:cs="宋体"/>
          <w:spacing w:val="2"/>
          <w:sz w:val="24"/>
          <w:szCs w:val="24"/>
        </w:rPr>
        <w:t>号）的规</w:t>
      </w:r>
      <w:r>
        <w:rPr>
          <w:rFonts w:ascii="宋体" w:hAnsi="宋体" w:eastAsia="宋体" w:cs="宋体"/>
          <w:spacing w:val="1"/>
          <w:sz w:val="24"/>
          <w:szCs w:val="24"/>
        </w:rPr>
        <w:t>定执行。</w:t>
      </w:r>
    </w:p>
    <w:p w14:paraId="34A3B14B">
      <w:pPr>
        <w:spacing w:line="375" w:lineRule="auto"/>
        <w:rPr>
          <w:rFonts w:ascii="宋体" w:hAnsi="宋体" w:eastAsia="宋体" w:cs="宋体"/>
          <w:sz w:val="24"/>
          <w:szCs w:val="24"/>
        </w:rPr>
        <w:sectPr>
          <w:footerReference r:id="rId51" w:type="default"/>
          <w:pgSz w:w="11906" w:h="16839"/>
          <w:pgMar w:top="1431" w:right="1475" w:bottom="1485" w:left="1475" w:header="0" w:footer="1249" w:gutter="0"/>
          <w:cols w:space="720" w:num="1"/>
        </w:sectPr>
      </w:pPr>
    </w:p>
    <w:p w14:paraId="095A8452">
      <w:pPr>
        <w:spacing w:before="125" w:line="228" w:lineRule="auto"/>
        <w:ind w:left="272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9"/>
          <w:sz w:val="20"/>
          <w:szCs w:val="20"/>
        </w:rPr>
        <w:t xml:space="preserve"> </w:t>
      </w:r>
      <w:r>
        <w:rPr>
          <w:rFonts w:ascii="Times New Roman" w:hAnsi="Times New Roman" w:eastAsia="Times New Roman" w:cs="Times New Roman"/>
          <w:b/>
          <w:bCs/>
          <w:spacing w:val="6"/>
          <w:sz w:val="20"/>
          <w:szCs w:val="20"/>
        </w:rPr>
        <w:t xml:space="preserve">2.5-10 </w:t>
      </w:r>
      <w:r>
        <w:rPr>
          <w:rFonts w:ascii="宋体" w:hAnsi="宋体" w:eastAsia="宋体" w:cs="宋体"/>
          <w:b/>
          <w:bCs/>
          <w:spacing w:val="6"/>
          <w:sz w:val="20"/>
          <w:szCs w:val="20"/>
        </w:rPr>
        <w:t>好氧发酵（高温堆肥）的卫生要求</w:t>
      </w:r>
    </w:p>
    <w:p w14:paraId="33770AC3">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1681"/>
        <w:gridCol w:w="1341"/>
        <w:gridCol w:w="5171"/>
      </w:tblGrid>
      <w:tr w14:paraId="61846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57" w:type="dxa"/>
            <w:vAlign w:val="top"/>
          </w:tcPr>
          <w:p w14:paraId="163BA75E">
            <w:pPr>
              <w:pStyle w:val="6"/>
              <w:spacing w:before="35" w:line="217" w:lineRule="auto"/>
              <w:ind w:left="173"/>
            </w:pPr>
            <w:r>
              <w:rPr>
                <w:spacing w:val="5"/>
              </w:rPr>
              <w:t>序号</w:t>
            </w:r>
          </w:p>
        </w:tc>
        <w:tc>
          <w:tcPr>
            <w:tcW w:w="1681" w:type="dxa"/>
            <w:vAlign w:val="top"/>
          </w:tcPr>
          <w:p w14:paraId="2A57A4BC">
            <w:pPr>
              <w:pStyle w:val="6"/>
              <w:spacing w:before="35" w:line="217" w:lineRule="auto"/>
              <w:ind w:left="637"/>
            </w:pPr>
            <w:r>
              <w:rPr>
                <w:spacing w:val="3"/>
              </w:rPr>
              <w:t>项目</w:t>
            </w:r>
          </w:p>
        </w:tc>
        <w:tc>
          <w:tcPr>
            <w:tcW w:w="6512" w:type="dxa"/>
            <w:gridSpan w:val="2"/>
            <w:vAlign w:val="top"/>
          </w:tcPr>
          <w:p w14:paraId="1D11ABF5">
            <w:pPr>
              <w:pStyle w:val="6"/>
              <w:spacing w:before="35" w:line="217" w:lineRule="auto"/>
              <w:ind w:left="2840"/>
            </w:pPr>
            <w:r>
              <w:rPr>
                <w:spacing w:val="6"/>
              </w:rPr>
              <w:t>卫生要求</w:t>
            </w:r>
          </w:p>
        </w:tc>
      </w:tr>
      <w:tr w14:paraId="29457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757" w:type="dxa"/>
            <w:vMerge w:val="restart"/>
            <w:tcBorders>
              <w:bottom w:val="nil"/>
            </w:tcBorders>
            <w:vAlign w:val="top"/>
          </w:tcPr>
          <w:p w14:paraId="65F31FCA">
            <w:pPr>
              <w:spacing w:line="331" w:lineRule="auto"/>
              <w:rPr>
                <w:rFonts w:ascii="Arial"/>
                <w:sz w:val="21"/>
              </w:rPr>
            </w:pPr>
          </w:p>
          <w:p w14:paraId="2B25BD8F">
            <w:pPr>
              <w:spacing w:before="58" w:line="274" w:lineRule="exact"/>
              <w:ind w:left="3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681" w:type="dxa"/>
            <w:vMerge w:val="restart"/>
            <w:tcBorders>
              <w:bottom w:val="nil"/>
            </w:tcBorders>
            <w:vAlign w:val="top"/>
          </w:tcPr>
          <w:p w14:paraId="504FE535">
            <w:pPr>
              <w:pStyle w:val="6"/>
              <w:spacing w:before="287" w:line="228" w:lineRule="auto"/>
              <w:ind w:left="215"/>
            </w:pPr>
            <w:r>
              <w:rPr>
                <w:spacing w:val="7"/>
              </w:rPr>
              <w:t>温度与持续时</w:t>
            </w:r>
          </w:p>
          <w:p w14:paraId="3A0B6A05">
            <w:pPr>
              <w:pStyle w:val="6"/>
              <w:spacing w:before="24" w:line="231" w:lineRule="auto"/>
              <w:ind w:left="756"/>
            </w:pPr>
            <w:r>
              <w:t>间</w:t>
            </w:r>
          </w:p>
        </w:tc>
        <w:tc>
          <w:tcPr>
            <w:tcW w:w="1341" w:type="dxa"/>
            <w:vAlign w:val="top"/>
          </w:tcPr>
          <w:p w14:paraId="322FB076">
            <w:pPr>
              <w:pStyle w:val="6"/>
              <w:spacing w:before="167" w:line="231" w:lineRule="auto"/>
              <w:ind w:left="466"/>
            </w:pPr>
            <w:r>
              <w:rPr>
                <w:spacing w:val="3"/>
              </w:rPr>
              <w:t>人工</w:t>
            </w:r>
          </w:p>
        </w:tc>
        <w:tc>
          <w:tcPr>
            <w:tcW w:w="5171" w:type="dxa"/>
            <w:vAlign w:val="top"/>
          </w:tcPr>
          <w:p w14:paraId="742085A2">
            <w:pPr>
              <w:pStyle w:val="6"/>
              <w:spacing w:before="2" w:line="273" w:lineRule="exact"/>
              <w:ind w:left="113"/>
              <w:rPr>
                <w:rFonts w:ascii="Times New Roman" w:hAnsi="Times New Roman" w:eastAsia="Times New Roman" w:cs="Times New Roman"/>
              </w:rPr>
            </w:pPr>
            <w:r>
              <w:rPr>
                <w:spacing w:val="-1"/>
                <w:position w:val="1"/>
              </w:rPr>
              <w:t>堆温≥</w:t>
            </w:r>
            <w:r>
              <w:rPr>
                <w:rFonts w:ascii="Times New Roman" w:hAnsi="Times New Roman" w:eastAsia="Times New Roman" w:cs="Times New Roman"/>
                <w:spacing w:val="-1"/>
                <w:position w:val="1"/>
              </w:rPr>
              <w:t>50</w:t>
            </w:r>
            <w:r>
              <w:rPr>
                <w:spacing w:val="-1"/>
                <w:position w:val="1"/>
              </w:rPr>
              <w:t>℃</w:t>
            </w:r>
            <w:r>
              <w:rPr>
                <w:spacing w:val="-64"/>
                <w:position w:val="1"/>
              </w:rPr>
              <w:t xml:space="preserve"> </w:t>
            </w:r>
            <w:r>
              <w:rPr>
                <w:spacing w:val="-1"/>
                <w:position w:val="1"/>
              </w:rPr>
              <w:t>,</w:t>
            </w:r>
            <w:r>
              <w:rPr>
                <w:spacing w:val="59"/>
                <w:position w:val="1"/>
              </w:rPr>
              <w:t xml:space="preserve"> </w:t>
            </w:r>
            <w:r>
              <w:rPr>
                <w:spacing w:val="-1"/>
                <w:position w:val="1"/>
              </w:rPr>
              <w:t>至少持续</w:t>
            </w:r>
            <w:r>
              <w:rPr>
                <w:spacing w:val="-23"/>
                <w:position w:val="1"/>
              </w:rPr>
              <w:t xml:space="preserve"> </w:t>
            </w:r>
            <w:r>
              <w:rPr>
                <w:rFonts w:ascii="Times New Roman" w:hAnsi="Times New Roman" w:eastAsia="Times New Roman" w:cs="Times New Roman"/>
                <w:spacing w:val="-1"/>
                <w:position w:val="1"/>
              </w:rPr>
              <w:t>10d</w:t>
            </w:r>
          </w:p>
          <w:p w14:paraId="62FA0D0E">
            <w:pPr>
              <w:pStyle w:val="6"/>
              <w:spacing w:line="263" w:lineRule="exact"/>
              <w:ind w:left="113"/>
              <w:rPr>
                <w:rFonts w:ascii="Times New Roman" w:hAnsi="Times New Roman" w:eastAsia="Times New Roman" w:cs="Times New Roman"/>
              </w:rPr>
            </w:pPr>
            <w:r>
              <w:rPr>
                <w:position w:val="1"/>
              </w:rPr>
              <w:t>堆温≥</w:t>
            </w:r>
            <w:r>
              <w:rPr>
                <w:rFonts w:ascii="Times New Roman" w:hAnsi="Times New Roman" w:eastAsia="Times New Roman" w:cs="Times New Roman"/>
                <w:position w:val="1"/>
              </w:rPr>
              <w:t>60</w:t>
            </w:r>
            <w:r>
              <w:rPr>
                <w:position w:val="1"/>
              </w:rPr>
              <w:t>℃</w:t>
            </w:r>
            <w:r>
              <w:rPr>
                <w:spacing w:val="-69"/>
                <w:position w:val="1"/>
              </w:rPr>
              <w:t xml:space="preserve"> </w:t>
            </w:r>
            <w:r>
              <w:rPr>
                <w:position w:val="1"/>
              </w:rPr>
              <w:t>,</w:t>
            </w:r>
            <w:r>
              <w:rPr>
                <w:spacing w:val="59"/>
                <w:position w:val="1"/>
              </w:rPr>
              <w:t xml:space="preserve"> </w:t>
            </w:r>
            <w:r>
              <w:rPr>
                <w:position w:val="1"/>
              </w:rPr>
              <w:t>至少持续</w:t>
            </w:r>
            <w:r>
              <w:rPr>
                <w:spacing w:val="-37"/>
                <w:position w:val="1"/>
              </w:rPr>
              <w:t xml:space="preserve"> </w:t>
            </w:r>
            <w:r>
              <w:rPr>
                <w:rFonts w:ascii="Times New Roman" w:hAnsi="Times New Roman" w:eastAsia="Times New Roman" w:cs="Times New Roman"/>
                <w:position w:val="1"/>
              </w:rPr>
              <w:t>5d</w:t>
            </w:r>
          </w:p>
        </w:tc>
      </w:tr>
      <w:tr w14:paraId="3CEDF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57" w:type="dxa"/>
            <w:vMerge w:val="continue"/>
            <w:tcBorders>
              <w:top w:val="nil"/>
            </w:tcBorders>
            <w:vAlign w:val="top"/>
          </w:tcPr>
          <w:p w14:paraId="24B221E4">
            <w:pPr>
              <w:rPr>
                <w:rFonts w:ascii="Arial"/>
                <w:sz w:val="21"/>
              </w:rPr>
            </w:pPr>
          </w:p>
        </w:tc>
        <w:tc>
          <w:tcPr>
            <w:tcW w:w="1681" w:type="dxa"/>
            <w:vMerge w:val="continue"/>
            <w:tcBorders>
              <w:top w:val="nil"/>
            </w:tcBorders>
            <w:vAlign w:val="top"/>
          </w:tcPr>
          <w:p w14:paraId="7FF279CD">
            <w:pPr>
              <w:rPr>
                <w:rFonts w:ascii="Arial"/>
                <w:sz w:val="21"/>
              </w:rPr>
            </w:pPr>
          </w:p>
        </w:tc>
        <w:tc>
          <w:tcPr>
            <w:tcW w:w="1341" w:type="dxa"/>
            <w:vAlign w:val="top"/>
          </w:tcPr>
          <w:p w14:paraId="27FB2E1C">
            <w:pPr>
              <w:pStyle w:val="6"/>
              <w:spacing w:before="145" w:line="228" w:lineRule="auto"/>
              <w:ind w:left="464"/>
            </w:pPr>
            <w:r>
              <w:rPr>
                <w:spacing w:val="5"/>
              </w:rPr>
              <w:t>机械</w:t>
            </w:r>
          </w:p>
        </w:tc>
        <w:tc>
          <w:tcPr>
            <w:tcW w:w="5171" w:type="dxa"/>
            <w:vAlign w:val="top"/>
          </w:tcPr>
          <w:p w14:paraId="511AA341">
            <w:pPr>
              <w:pStyle w:val="6"/>
              <w:spacing w:before="115" w:line="274" w:lineRule="exact"/>
              <w:ind w:left="113"/>
              <w:rPr>
                <w:rFonts w:ascii="Times New Roman" w:hAnsi="Times New Roman" w:eastAsia="Times New Roman" w:cs="Times New Roman"/>
              </w:rPr>
            </w:pPr>
            <w:r>
              <w:rPr>
                <w:spacing w:val="5"/>
                <w:position w:val="1"/>
              </w:rPr>
              <w:t>堆温≥</w:t>
            </w:r>
            <w:r>
              <w:rPr>
                <w:rFonts w:ascii="Times New Roman" w:hAnsi="Times New Roman" w:eastAsia="Times New Roman" w:cs="Times New Roman"/>
                <w:spacing w:val="5"/>
                <w:position w:val="1"/>
              </w:rPr>
              <w:t>50</w:t>
            </w:r>
            <w:r>
              <w:rPr>
                <w:spacing w:val="5"/>
                <w:position w:val="1"/>
              </w:rPr>
              <w:t>℃</w:t>
            </w:r>
            <w:r>
              <w:rPr>
                <w:spacing w:val="-71"/>
                <w:position w:val="1"/>
              </w:rPr>
              <w:t xml:space="preserve"> </w:t>
            </w:r>
            <w:r>
              <w:rPr>
                <w:spacing w:val="5"/>
                <w:position w:val="1"/>
              </w:rPr>
              <w:t>,</w:t>
            </w:r>
            <w:r>
              <w:rPr>
                <w:spacing w:val="59"/>
                <w:position w:val="1"/>
              </w:rPr>
              <w:t xml:space="preserve"> </w:t>
            </w:r>
            <w:r>
              <w:rPr>
                <w:spacing w:val="5"/>
                <w:position w:val="1"/>
              </w:rPr>
              <w:t>至少持续</w:t>
            </w:r>
            <w:r>
              <w:rPr>
                <w:rFonts w:ascii="Times New Roman" w:hAnsi="Times New Roman" w:eastAsia="Times New Roman" w:cs="Times New Roman"/>
                <w:spacing w:val="5"/>
                <w:position w:val="1"/>
              </w:rPr>
              <w:t>2d</w:t>
            </w:r>
          </w:p>
        </w:tc>
      </w:tr>
      <w:tr w14:paraId="7512A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57" w:type="dxa"/>
            <w:vAlign w:val="top"/>
          </w:tcPr>
          <w:p w14:paraId="28B7081D">
            <w:pPr>
              <w:spacing w:before="3" w:line="262" w:lineRule="exact"/>
              <w:ind w:left="3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681" w:type="dxa"/>
            <w:vAlign w:val="top"/>
          </w:tcPr>
          <w:p w14:paraId="5CBE7651">
            <w:pPr>
              <w:pStyle w:val="6"/>
              <w:spacing w:before="34" w:line="214" w:lineRule="auto"/>
              <w:ind w:left="214"/>
            </w:pPr>
            <w:r>
              <w:rPr>
                <w:spacing w:val="8"/>
              </w:rPr>
              <w:t>蛔虫卵死亡率</w:t>
            </w:r>
          </w:p>
        </w:tc>
        <w:tc>
          <w:tcPr>
            <w:tcW w:w="6512" w:type="dxa"/>
            <w:gridSpan w:val="2"/>
            <w:vAlign w:val="top"/>
          </w:tcPr>
          <w:p w14:paraId="637457E5">
            <w:pPr>
              <w:pStyle w:val="6"/>
              <w:spacing w:before="3" w:line="242" w:lineRule="auto"/>
              <w:ind w:left="132"/>
            </w:pPr>
            <w:r>
              <w:rPr>
                <w:spacing w:val="18"/>
              </w:rPr>
              <w:t>≥</w:t>
            </w:r>
            <w:r>
              <w:rPr>
                <w:rFonts w:ascii="Times New Roman" w:hAnsi="Times New Roman" w:eastAsia="Times New Roman" w:cs="Times New Roman"/>
                <w:spacing w:val="18"/>
              </w:rPr>
              <w:t>95</w:t>
            </w:r>
            <w:r>
              <w:rPr>
                <w:spacing w:val="18"/>
              </w:rPr>
              <w:t>%</w:t>
            </w:r>
          </w:p>
        </w:tc>
      </w:tr>
      <w:tr w14:paraId="5BFB9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57" w:type="dxa"/>
            <w:vAlign w:val="top"/>
          </w:tcPr>
          <w:p w14:paraId="65849519">
            <w:pPr>
              <w:spacing w:before="5" w:line="261" w:lineRule="exact"/>
              <w:ind w:left="33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3</w:t>
            </w:r>
          </w:p>
        </w:tc>
        <w:tc>
          <w:tcPr>
            <w:tcW w:w="1681" w:type="dxa"/>
            <w:vAlign w:val="top"/>
          </w:tcPr>
          <w:p w14:paraId="48395885">
            <w:pPr>
              <w:pStyle w:val="6"/>
              <w:spacing w:before="36" w:line="213" w:lineRule="auto"/>
              <w:ind w:left="321"/>
            </w:pPr>
            <w:r>
              <w:rPr>
                <w:spacing w:val="7"/>
              </w:rPr>
              <w:t>粪大肠菌值</w:t>
            </w:r>
          </w:p>
        </w:tc>
        <w:tc>
          <w:tcPr>
            <w:tcW w:w="6512" w:type="dxa"/>
            <w:gridSpan w:val="2"/>
            <w:vAlign w:val="top"/>
          </w:tcPr>
          <w:p w14:paraId="3CDC9764">
            <w:pPr>
              <w:pStyle w:val="6"/>
              <w:spacing w:before="5" w:line="241" w:lineRule="auto"/>
              <w:ind w:left="132"/>
              <w:rPr>
                <w:rFonts w:ascii="Times New Roman" w:hAnsi="Times New Roman" w:eastAsia="Times New Roman" w:cs="Times New Roman"/>
                <w:sz w:val="13"/>
                <w:szCs w:val="13"/>
              </w:rPr>
            </w:pPr>
            <w:r>
              <w:rPr>
                <w:spacing w:val="-2"/>
              </w:rPr>
              <w:t>≥</w:t>
            </w:r>
            <w:r>
              <w:rPr>
                <w:rFonts w:ascii="Times New Roman" w:hAnsi="Times New Roman" w:eastAsia="Times New Roman" w:cs="Times New Roman"/>
                <w:spacing w:val="-2"/>
              </w:rPr>
              <w:t>10</w:t>
            </w:r>
            <w:r>
              <w:rPr>
                <w:rFonts w:ascii="Times New Roman" w:hAnsi="Times New Roman" w:eastAsia="Times New Roman" w:cs="Times New Roman"/>
                <w:spacing w:val="-2"/>
                <w:sz w:val="13"/>
                <w:szCs w:val="13"/>
              </w:rPr>
              <w:t>-2</w:t>
            </w:r>
          </w:p>
        </w:tc>
      </w:tr>
      <w:tr w14:paraId="6AE55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57" w:type="dxa"/>
            <w:vAlign w:val="top"/>
          </w:tcPr>
          <w:p w14:paraId="1CFA3EED">
            <w:pPr>
              <w:spacing w:before="4" w:line="266" w:lineRule="exact"/>
              <w:ind w:left="32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681" w:type="dxa"/>
            <w:vAlign w:val="top"/>
          </w:tcPr>
          <w:p w14:paraId="5C4A1B39">
            <w:pPr>
              <w:pStyle w:val="6"/>
              <w:spacing w:before="34" w:line="218" w:lineRule="auto"/>
              <w:ind w:left="427"/>
            </w:pPr>
            <w:r>
              <w:rPr>
                <w:spacing w:val="6"/>
              </w:rPr>
              <w:t>沙门氏菌</w:t>
            </w:r>
          </w:p>
        </w:tc>
        <w:tc>
          <w:tcPr>
            <w:tcW w:w="6512" w:type="dxa"/>
            <w:gridSpan w:val="2"/>
            <w:vAlign w:val="top"/>
          </w:tcPr>
          <w:p w14:paraId="1ADD7A39">
            <w:pPr>
              <w:pStyle w:val="6"/>
              <w:spacing w:before="34" w:line="218" w:lineRule="auto"/>
              <w:ind w:left="115"/>
            </w:pPr>
            <w:r>
              <w:rPr>
                <w:spacing w:val="6"/>
              </w:rPr>
              <w:t>不得检出</w:t>
            </w:r>
          </w:p>
        </w:tc>
      </w:tr>
    </w:tbl>
    <w:p w14:paraId="32876999">
      <w:pPr>
        <w:pStyle w:val="2"/>
        <w:spacing w:line="326" w:lineRule="auto"/>
      </w:pPr>
    </w:p>
    <w:p w14:paraId="44878C4F">
      <w:pPr>
        <w:spacing w:before="101" w:line="224" w:lineRule="auto"/>
        <w:ind w:left="121"/>
        <w:outlineLvl w:val="1"/>
        <w:rPr>
          <w:rFonts w:ascii="宋体" w:hAnsi="宋体" w:eastAsia="宋体" w:cs="宋体"/>
          <w:sz w:val="31"/>
          <w:szCs w:val="31"/>
        </w:rPr>
      </w:pPr>
      <w:bookmarkStart w:id="15" w:name="bookmark14"/>
      <w:bookmarkEnd w:id="15"/>
      <w:r>
        <w:rPr>
          <w:rFonts w:ascii="Times New Roman" w:hAnsi="Times New Roman" w:eastAsia="Times New Roman" w:cs="Times New Roman"/>
          <w:b/>
          <w:bCs/>
          <w:spacing w:val="6"/>
          <w:sz w:val="31"/>
          <w:szCs w:val="31"/>
        </w:rPr>
        <w:t>2.6</w:t>
      </w:r>
      <w:r>
        <w:rPr>
          <w:rFonts w:ascii="宋体" w:hAnsi="宋体" w:eastAsia="宋体" w:cs="宋体"/>
          <w:b/>
          <w:bCs/>
          <w:spacing w:val="6"/>
          <w:sz w:val="31"/>
          <w:szCs w:val="31"/>
        </w:rPr>
        <w:t>环境影响要素识别和评价因子筛选</w:t>
      </w:r>
    </w:p>
    <w:p w14:paraId="0F950284">
      <w:pPr>
        <w:pStyle w:val="2"/>
        <w:spacing w:line="410" w:lineRule="auto"/>
      </w:pPr>
    </w:p>
    <w:p w14:paraId="16AF5857">
      <w:pPr>
        <w:spacing w:before="78" w:line="220"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2.6.1</w:t>
      </w:r>
      <w:r>
        <w:rPr>
          <w:rFonts w:ascii="宋体" w:hAnsi="宋体" w:eastAsia="宋体" w:cs="宋体"/>
          <w:b/>
          <w:bCs/>
          <w:spacing w:val="-2"/>
          <w:sz w:val="24"/>
          <w:szCs w:val="24"/>
        </w:rPr>
        <w:t>环境影响要素识别</w:t>
      </w:r>
    </w:p>
    <w:p w14:paraId="34FFEBB2">
      <w:pPr>
        <w:spacing w:before="203" w:line="220" w:lineRule="auto"/>
        <w:jc w:val="right"/>
        <w:rPr>
          <w:rFonts w:ascii="宋体" w:hAnsi="宋体" w:eastAsia="宋体" w:cs="宋体"/>
          <w:sz w:val="24"/>
          <w:szCs w:val="24"/>
        </w:rPr>
      </w:pPr>
      <w:r>
        <w:rPr>
          <w:rFonts w:ascii="宋体" w:hAnsi="宋体" w:eastAsia="宋体" w:cs="宋体"/>
          <w:spacing w:val="-2"/>
          <w:sz w:val="24"/>
          <w:szCs w:val="24"/>
        </w:rPr>
        <w:t>根据建设项目的性质、规模和初步规划及周围环境特征</w:t>
      </w:r>
      <w:r>
        <w:rPr>
          <w:rFonts w:ascii="宋体" w:hAnsi="宋体" w:eastAsia="宋体" w:cs="宋体"/>
          <w:spacing w:val="-3"/>
          <w:sz w:val="24"/>
          <w:szCs w:val="24"/>
        </w:rPr>
        <w:t>，环境影响识别见下表。</w:t>
      </w:r>
    </w:p>
    <w:p w14:paraId="61E4EFA0">
      <w:pPr>
        <w:spacing w:before="218" w:line="228" w:lineRule="auto"/>
        <w:ind w:left="3452"/>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3"/>
          <w:sz w:val="20"/>
          <w:szCs w:val="20"/>
        </w:rPr>
        <w:t xml:space="preserve"> </w:t>
      </w:r>
      <w:r>
        <w:rPr>
          <w:rFonts w:ascii="Times New Roman" w:hAnsi="Times New Roman" w:eastAsia="Times New Roman" w:cs="Times New Roman"/>
          <w:b/>
          <w:bCs/>
          <w:spacing w:val="5"/>
          <w:sz w:val="20"/>
          <w:szCs w:val="20"/>
        </w:rPr>
        <w:t xml:space="preserve">2.6-1  </w:t>
      </w:r>
      <w:r>
        <w:rPr>
          <w:rFonts w:ascii="宋体" w:hAnsi="宋体" w:eastAsia="宋体" w:cs="宋体"/>
          <w:b/>
          <w:bCs/>
          <w:spacing w:val="5"/>
          <w:sz w:val="20"/>
          <w:szCs w:val="20"/>
        </w:rPr>
        <w:t>环境影响因素识别</w:t>
      </w:r>
    </w:p>
    <w:p w14:paraId="0B977964">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802"/>
        <w:gridCol w:w="856"/>
        <w:gridCol w:w="1099"/>
        <w:gridCol w:w="2280"/>
        <w:gridCol w:w="1761"/>
        <w:gridCol w:w="1193"/>
      </w:tblGrid>
      <w:tr w14:paraId="79BA6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59" w:type="dxa"/>
            <w:vAlign w:val="top"/>
          </w:tcPr>
          <w:p w14:paraId="00D2FB3C">
            <w:pPr>
              <w:pStyle w:val="6"/>
              <w:spacing w:before="37" w:line="229" w:lineRule="auto"/>
              <w:ind w:left="277"/>
            </w:pPr>
            <w:r>
              <w:rPr>
                <w:b/>
                <w:bCs/>
                <w:spacing w:val="2"/>
              </w:rPr>
              <w:t>工程</w:t>
            </w:r>
          </w:p>
          <w:p w14:paraId="46757E5E">
            <w:pPr>
              <w:pStyle w:val="6"/>
              <w:spacing w:before="22" w:line="218" w:lineRule="auto"/>
              <w:ind w:left="284"/>
            </w:pPr>
            <w:r>
              <w:rPr>
                <w:b/>
                <w:bCs/>
                <w:spacing w:val="-1"/>
              </w:rPr>
              <w:t>阶段</w:t>
            </w:r>
          </w:p>
        </w:tc>
        <w:tc>
          <w:tcPr>
            <w:tcW w:w="802" w:type="dxa"/>
            <w:vAlign w:val="top"/>
          </w:tcPr>
          <w:p w14:paraId="02FA9DEC">
            <w:pPr>
              <w:pStyle w:val="6"/>
              <w:spacing w:before="36" w:line="231" w:lineRule="auto"/>
              <w:ind w:left="194"/>
            </w:pPr>
            <w:r>
              <w:rPr>
                <w:b/>
                <w:bCs/>
                <w:spacing w:val="3"/>
              </w:rPr>
              <w:t>影响</w:t>
            </w:r>
          </w:p>
          <w:p w14:paraId="2E0F6B3F">
            <w:pPr>
              <w:pStyle w:val="6"/>
              <w:spacing w:before="20" w:line="218" w:lineRule="auto"/>
              <w:ind w:left="195"/>
            </w:pPr>
            <w:r>
              <w:rPr>
                <w:b/>
                <w:bCs/>
                <w:spacing w:val="3"/>
              </w:rPr>
              <w:t>要素</w:t>
            </w:r>
          </w:p>
        </w:tc>
        <w:tc>
          <w:tcPr>
            <w:tcW w:w="1955" w:type="dxa"/>
            <w:gridSpan w:val="2"/>
            <w:vAlign w:val="top"/>
          </w:tcPr>
          <w:p w14:paraId="2D599089">
            <w:pPr>
              <w:pStyle w:val="6"/>
              <w:spacing w:before="171" w:line="228" w:lineRule="auto"/>
              <w:ind w:left="561"/>
            </w:pPr>
            <w:r>
              <w:rPr>
                <w:b/>
                <w:bCs/>
                <w:spacing w:val="6"/>
              </w:rPr>
              <w:t>影响来源</w:t>
            </w:r>
          </w:p>
        </w:tc>
        <w:tc>
          <w:tcPr>
            <w:tcW w:w="2280" w:type="dxa"/>
            <w:vAlign w:val="top"/>
          </w:tcPr>
          <w:p w14:paraId="4250917B">
            <w:pPr>
              <w:pStyle w:val="6"/>
              <w:spacing w:before="171" w:line="228" w:lineRule="auto"/>
              <w:ind w:left="516"/>
            </w:pPr>
            <w:r>
              <w:rPr>
                <w:b/>
                <w:bCs/>
                <w:spacing w:val="6"/>
              </w:rPr>
              <w:t>环境影响内容</w:t>
            </w:r>
          </w:p>
        </w:tc>
        <w:tc>
          <w:tcPr>
            <w:tcW w:w="1761" w:type="dxa"/>
            <w:vAlign w:val="top"/>
          </w:tcPr>
          <w:p w14:paraId="79E5D423">
            <w:pPr>
              <w:pStyle w:val="6"/>
              <w:spacing w:before="171" w:line="230" w:lineRule="auto"/>
              <w:ind w:left="468"/>
            </w:pPr>
            <w:r>
              <w:rPr>
                <w:b/>
                <w:bCs/>
                <w:spacing w:val="5"/>
              </w:rPr>
              <w:t>排放位置</w:t>
            </w:r>
          </w:p>
        </w:tc>
        <w:tc>
          <w:tcPr>
            <w:tcW w:w="1193" w:type="dxa"/>
            <w:vAlign w:val="top"/>
          </w:tcPr>
          <w:p w14:paraId="46D3D621">
            <w:pPr>
              <w:pStyle w:val="6"/>
              <w:spacing w:before="171" w:line="228" w:lineRule="auto"/>
              <w:ind w:left="183"/>
            </w:pPr>
            <w:r>
              <w:rPr>
                <w:b/>
                <w:bCs/>
                <w:spacing w:val="6"/>
              </w:rPr>
              <w:t>污染特点</w:t>
            </w:r>
          </w:p>
        </w:tc>
      </w:tr>
      <w:tr w14:paraId="690BE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restart"/>
            <w:tcBorders>
              <w:bottom w:val="nil"/>
            </w:tcBorders>
            <w:vAlign w:val="top"/>
          </w:tcPr>
          <w:p w14:paraId="63F6C192">
            <w:pPr>
              <w:spacing w:line="263" w:lineRule="auto"/>
              <w:rPr>
                <w:rFonts w:ascii="Arial"/>
                <w:sz w:val="21"/>
              </w:rPr>
            </w:pPr>
          </w:p>
          <w:p w14:paraId="5A03859D">
            <w:pPr>
              <w:spacing w:line="263" w:lineRule="auto"/>
              <w:rPr>
                <w:rFonts w:ascii="Arial"/>
                <w:sz w:val="21"/>
              </w:rPr>
            </w:pPr>
          </w:p>
          <w:p w14:paraId="542E1C84">
            <w:pPr>
              <w:spacing w:line="263" w:lineRule="auto"/>
              <w:rPr>
                <w:rFonts w:ascii="Arial"/>
                <w:sz w:val="21"/>
              </w:rPr>
            </w:pPr>
          </w:p>
          <w:p w14:paraId="741DE165">
            <w:pPr>
              <w:spacing w:line="264" w:lineRule="auto"/>
              <w:rPr>
                <w:rFonts w:ascii="Arial"/>
                <w:sz w:val="21"/>
              </w:rPr>
            </w:pPr>
          </w:p>
          <w:p w14:paraId="3775B795">
            <w:pPr>
              <w:spacing w:line="264" w:lineRule="auto"/>
              <w:rPr>
                <w:rFonts w:ascii="Arial"/>
                <w:sz w:val="21"/>
              </w:rPr>
            </w:pPr>
          </w:p>
          <w:p w14:paraId="47F54A18">
            <w:pPr>
              <w:pStyle w:val="6"/>
              <w:spacing w:before="65" w:line="229" w:lineRule="auto"/>
              <w:ind w:left="168"/>
            </w:pPr>
            <w:r>
              <w:rPr>
                <w:spacing w:val="7"/>
              </w:rPr>
              <w:t>施工期</w:t>
            </w:r>
          </w:p>
        </w:tc>
        <w:tc>
          <w:tcPr>
            <w:tcW w:w="802" w:type="dxa"/>
            <w:vAlign w:val="top"/>
          </w:tcPr>
          <w:p w14:paraId="3947EC1B">
            <w:pPr>
              <w:pStyle w:val="6"/>
              <w:spacing w:before="63" w:line="229" w:lineRule="auto"/>
              <w:ind w:left="193"/>
            </w:pPr>
            <w:r>
              <w:rPr>
                <w:spacing w:val="5"/>
              </w:rPr>
              <w:t>废气</w:t>
            </w:r>
          </w:p>
        </w:tc>
        <w:tc>
          <w:tcPr>
            <w:tcW w:w="1955" w:type="dxa"/>
            <w:gridSpan w:val="2"/>
            <w:vAlign w:val="top"/>
          </w:tcPr>
          <w:p w14:paraId="6B65B3F3">
            <w:pPr>
              <w:pStyle w:val="6"/>
              <w:spacing w:before="64" w:line="228" w:lineRule="auto"/>
              <w:ind w:left="249"/>
            </w:pPr>
            <w:r>
              <w:rPr>
                <w:spacing w:val="8"/>
              </w:rPr>
              <w:t>建筑施工、装修</w:t>
            </w:r>
          </w:p>
        </w:tc>
        <w:tc>
          <w:tcPr>
            <w:tcW w:w="2280" w:type="dxa"/>
            <w:vAlign w:val="top"/>
          </w:tcPr>
          <w:p w14:paraId="0DE9AB5D">
            <w:pPr>
              <w:pStyle w:val="6"/>
              <w:spacing w:before="63" w:line="228" w:lineRule="auto"/>
              <w:ind w:left="410"/>
            </w:pPr>
            <w:r>
              <w:rPr>
                <w:spacing w:val="8"/>
              </w:rPr>
              <w:t>扬尘、有机废气</w:t>
            </w:r>
          </w:p>
        </w:tc>
        <w:tc>
          <w:tcPr>
            <w:tcW w:w="1761" w:type="dxa"/>
            <w:vAlign w:val="top"/>
          </w:tcPr>
          <w:p w14:paraId="3D8BACCC">
            <w:pPr>
              <w:pStyle w:val="6"/>
              <w:spacing w:before="63" w:line="229" w:lineRule="auto"/>
              <w:ind w:left="472"/>
            </w:pPr>
            <w:r>
              <w:rPr>
                <w:spacing w:val="6"/>
              </w:rPr>
              <w:t>项目范围</w:t>
            </w:r>
          </w:p>
        </w:tc>
        <w:tc>
          <w:tcPr>
            <w:tcW w:w="1193" w:type="dxa"/>
            <w:vAlign w:val="top"/>
          </w:tcPr>
          <w:p w14:paraId="3E798F27">
            <w:pPr>
              <w:pStyle w:val="6"/>
              <w:spacing w:before="66" w:line="229" w:lineRule="auto"/>
              <w:ind w:left="287"/>
            </w:pPr>
            <w:r>
              <w:rPr>
                <w:spacing w:val="6"/>
              </w:rPr>
              <w:t>连续性</w:t>
            </w:r>
          </w:p>
        </w:tc>
      </w:tr>
      <w:tr w14:paraId="28C57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24D0DC57">
            <w:pPr>
              <w:rPr>
                <w:rFonts w:ascii="Arial"/>
                <w:sz w:val="21"/>
              </w:rPr>
            </w:pPr>
          </w:p>
        </w:tc>
        <w:tc>
          <w:tcPr>
            <w:tcW w:w="802" w:type="dxa"/>
            <w:vMerge w:val="restart"/>
            <w:tcBorders>
              <w:bottom w:val="nil"/>
            </w:tcBorders>
            <w:vAlign w:val="top"/>
          </w:tcPr>
          <w:p w14:paraId="35BDC683">
            <w:pPr>
              <w:spacing w:line="276" w:lineRule="auto"/>
              <w:rPr>
                <w:rFonts w:ascii="Arial"/>
                <w:sz w:val="21"/>
              </w:rPr>
            </w:pPr>
          </w:p>
          <w:p w14:paraId="65CB894F">
            <w:pPr>
              <w:pStyle w:val="6"/>
              <w:spacing w:before="65" w:line="228" w:lineRule="auto"/>
              <w:ind w:left="193"/>
            </w:pPr>
            <w:r>
              <w:rPr>
                <w:spacing w:val="5"/>
              </w:rPr>
              <w:t>废水</w:t>
            </w:r>
          </w:p>
        </w:tc>
        <w:tc>
          <w:tcPr>
            <w:tcW w:w="1955" w:type="dxa"/>
            <w:gridSpan w:val="2"/>
            <w:vAlign w:val="top"/>
          </w:tcPr>
          <w:p w14:paraId="616CAE79">
            <w:pPr>
              <w:pStyle w:val="6"/>
              <w:spacing w:before="64" w:line="229" w:lineRule="auto"/>
              <w:ind w:left="351"/>
            </w:pPr>
            <w:r>
              <w:rPr>
                <w:spacing w:val="8"/>
              </w:rPr>
              <w:t>施工人员生活</w:t>
            </w:r>
          </w:p>
        </w:tc>
        <w:tc>
          <w:tcPr>
            <w:tcW w:w="2280" w:type="dxa"/>
            <w:vAlign w:val="top"/>
          </w:tcPr>
          <w:p w14:paraId="55ECF504">
            <w:pPr>
              <w:pStyle w:val="6"/>
              <w:spacing w:before="64" w:line="228" w:lineRule="auto"/>
              <w:ind w:left="727"/>
            </w:pPr>
            <w:r>
              <w:rPr>
                <w:spacing w:val="6"/>
              </w:rPr>
              <w:t>生活污水</w:t>
            </w:r>
          </w:p>
        </w:tc>
        <w:tc>
          <w:tcPr>
            <w:tcW w:w="1761" w:type="dxa"/>
            <w:vAlign w:val="top"/>
          </w:tcPr>
          <w:p w14:paraId="5CCF3F20">
            <w:pPr>
              <w:pStyle w:val="6"/>
              <w:spacing w:before="64" w:line="229" w:lineRule="auto"/>
              <w:ind w:left="575"/>
            </w:pPr>
            <w:r>
              <w:rPr>
                <w:spacing w:val="5"/>
              </w:rPr>
              <w:t>不外排</w:t>
            </w:r>
          </w:p>
        </w:tc>
        <w:tc>
          <w:tcPr>
            <w:tcW w:w="1193" w:type="dxa"/>
            <w:vAlign w:val="top"/>
          </w:tcPr>
          <w:p w14:paraId="76306415">
            <w:pPr>
              <w:pStyle w:val="6"/>
              <w:spacing w:before="66" w:line="228" w:lineRule="auto"/>
              <w:ind w:left="303"/>
            </w:pPr>
            <w:r>
              <w:rPr>
                <w:spacing w:val="1"/>
              </w:rPr>
              <w:t>间歇性</w:t>
            </w:r>
          </w:p>
        </w:tc>
      </w:tr>
      <w:tr w14:paraId="0C949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59" w:type="dxa"/>
            <w:vMerge w:val="continue"/>
            <w:tcBorders>
              <w:top w:val="nil"/>
              <w:bottom w:val="nil"/>
            </w:tcBorders>
            <w:vAlign w:val="top"/>
          </w:tcPr>
          <w:p w14:paraId="47F7C971">
            <w:pPr>
              <w:rPr>
                <w:rFonts w:ascii="Arial"/>
                <w:sz w:val="21"/>
              </w:rPr>
            </w:pPr>
          </w:p>
        </w:tc>
        <w:tc>
          <w:tcPr>
            <w:tcW w:w="802" w:type="dxa"/>
            <w:vMerge w:val="continue"/>
            <w:tcBorders>
              <w:top w:val="nil"/>
            </w:tcBorders>
            <w:vAlign w:val="top"/>
          </w:tcPr>
          <w:p w14:paraId="31043616">
            <w:pPr>
              <w:rPr>
                <w:rFonts w:ascii="Arial"/>
                <w:sz w:val="21"/>
              </w:rPr>
            </w:pPr>
          </w:p>
        </w:tc>
        <w:tc>
          <w:tcPr>
            <w:tcW w:w="1955" w:type="dxa"/>
            <w:gridSpan w:val="2"/>
            <w:vAlign w:val="top"/>
          </w:tcPr>
          <w:p w14:paraId="14D14E41">
            <w:pPr>
              <w:pStyle w:val="6"/>
              <w:spacing w:before="165" w:line="228" w:lineRule="auto"/>
              <w:ind w:left="563"/>
            </w:pPr>
            <w:r>
              <w:rPr>
                <w:spacing w:val="6"/>
              </w:rPr>
              <w:t>建筑废水</w:t>
            </w:r>
          </w:p>
        </w:tc>
        <w:tc>
          <w:tcPr>
            <w:tcW w:w="2280" w:type="dxa"/>
            <w:vAlign w:val="top"/>
          </w:tcPr>
          <w:p w14:paraId="7C37733E">
            <w:pPr>
              <w:pStyle w:val="6"/>
              <w:spacing w:before="30" w:line="234" w:lineRule="auto"/>
              <w:ind w:left="519" w:right="105" w:hanging="404"/>
            </w:pPr>
            <w:r>
              <w:rPr>
                <w:spacing w:val="5"/>
              </w:rPr>
              <w:t>泥浆水、冷却水、洗涤</w:t>
            </w:r>
            <w:r>
              <w:rPr>
                <w:spacing w:val="3"/>
              </w:rPr>
              <w:t xml:space="preserve"> </w:t>
            </w:r>
            <w:r>
              <w:rPr>
                <w:spacing w:val="7"/>
              </w:rPr>
              <w:t>水、含油污水</w:t>
            </w:r>
          </w:p>
        </w:tc>
        <w:tc>
          <w:tcPr>
            <w:tcW w:w="1761" w:type="dxa"/>
            <w:vAlign w:val="top"/>
          </w:tcPr>
          <w:p w14:paraId="0AF51829">
            <w:pPr>
              <w:pStyle w:val="6"/>
              <w:spacing w:before="165" w:line="229" w:lineRule="auto"/>
              <w:ind w:left="472"/>
            </w:pPr>
            <w:r>
              <w:rPr>
                <w:spacing w:val="6"/>
              </w:rPr>
              <w:t>项目范围</w:t>
            </w:r>
          </w:p>
        </w:tc>
        <w:tc>
          <w:tcPr>
            <w:tcW w:w="1193" w:type="dxa"/>
            <w:vAlign w:val="top"/>
          </w:tcPr>
          <w:p w14:paraId="0F38FD41">
            <w:pPr>
              <w:pStyle w:val="6"/>
              <w:spacing w:before="168" w:line="228" w:lineRule="auto"/>
              <w:ind w:left="303"/>
            </w:pPr>
            <w:r>
              <w:rPr>
                <w:spacing w:val="1"/>
              </w:rPr>
              <w:t>间歇性</w:t>
            </w:r>
          </w:p>
        </w:tc>
      </w:tr>
      <w:tr w14:paraId="6AA81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01754261">
            <w:pPr>
              <w:rPr>
                <w:rFonts w:ascii="Arial"/>
                <w:sz w:val="21"/>
              </w:rPr>
            </w:pPr>
          </w:p>
        </w:tc>
        <w:tc>
          <w:tcPr>
            <w:tcW w:w="802" w:type="dxa"/>
            <w:vMerge w:val="restart"/>
            <w:tcBorders>
              <w:bottom w:val="nil"/>
            </w:tcBorders>
            <w:vAlign w:val="top"/>
          </w:tcPr>
          <w:p w14:paraId="13EBEEC5">
            <w:pPr>
              <w:pStyle w:val="6"/>
              <w:spacing w:before="241" w:line="229" w:lineRule="auto"/>
              <w:ind w:left="204"/>
            </w:pPr>
            <w:r>
              <w:rPr>
                <w:spacing w:val="-1"/>
              </w:rPr>
              <w:t>噪声</w:t>
            </w:r>
          </w:p>
        </w:tc>
        <w:tc>
          <w:tcPr>
            <w:tcW w:w="1955" w:type="dxa"/>
            <w:gridSpan w:val="2"/>
            <w:vAlign w:val="top"/>
          </w:tcPr>
          <w:p w14:paraId="3B1435D1">
            <w:pPr>
              <w:pStyle w:val="6"/>
              <w:spacing w:before="65" w:line="228" w:lineRule="auto"/>
              <w:ind w:left="246"/>
            </w:pPr>
            <w:r>
              <w:rPr>
                <w:spacing w:val="8"/>
              </w:rPr>
              <w:t>施工机械、车辆</w:t>
            </w:r>
          </w:p>
        </w:tc>
        <w:tc>
          <w:tcPr>
            <w:tcW w:w="2280" w:type="dxa"/>
            <w:vAlign w:val="top"/>
          </w:tcPr>
          <w:p w14:paraId="0FBF35AB">
            <w:pPr>
              <w:pStyle w:val="6"/>
              <w:spacing w:before="65" w:line="228" w:lineRule="auto"/>
              <w:ind w:left="199"/>
            </w:pPr>
            <w:r>
              <w:rPr>
                <w:spacing w:val="9"/>
              </w:rPr>
              <w:t>机械噪声、交通噪声</w:t>
            </w:r>
          </w:p>
        </w:tc>
        <w:tc>
          <w:tcPr>
            <w:tcW w:w="1761" w:type="dxa"/>
            <w:vAlign w:val="top"/>
          </w:tcPr>
          <w:p w14:paraId="2E096CFF">
            <w:pPr>
              <w:pStyle w:val="6"/>
              <w:spacing w:before="65" w:line="229" w:lineRule="auto"/>
              <w:ind w:left="472"/>
            </w:pPr>
            <w:r>
              <w:rPr>
                <w:spacing w:val="6"/>
              </w:rPr>
              <w:t>项目范围</w:t>
            </w:r>
          </w:p>
        </w:tc>
        <w:tc>
          <w:tcPr>
            <w:tcW w:w="1193" w:type="dxa"/>
            <w:vAlign w:val="top"/>
          </w:tcPr>
          <w:p w14:paraId="600D3DF6">
            <w:pPr>
              <w:pStyle w:val="6"/>
              <w:spacing w:before="68" w:line="228" w:lineRule="auto"/>
              <w:ind w:left="303"/>
            </w:pPr>
            <w:r>
              <w:rPr>
                <w:spacing w:val="1"/>
              </w:rPr>
              <w:t>间歇性</w:t>
            </w:r>
          </w:p>
        </w:tc>
      </w:tr>
      <w:tr w14:paraId="7A555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33F06BF8">
            <w:pPr>
              <w:rPr>
                <w:rFonts w:ascii="Arial"/>
                <w:sz w:val="21"/>
              </w:rPr>
            </w:pPr>
          </w:p>
        </w:tc>
        <w:tc>
          <w:tcPr>
            <w:tcW w:w="802" w:type="dxa"/>
            <w:vMerge w:val="continue"/>
            <w:tcBorders>
              <w:top w:val="nil"/>
            </w:tcBorders>
            <w:vAlign w:val="top"/>
          </w:tcPr>
          <w:p w14:paraId="1F08F51B">
            <w:pPr>
              <w:rPr>
                <w:rFonts w:ascii="Arial"/>
                <w:sz w:val="21"/>
              </w:rPr>
            </w:pPr>
          </w:p>
        </w:tc>
        <w:tc>
          <w:tcPr>
            <w:tcW w:w="1955" w:type="dxa"/>
            <w:gridSpan w:val="2"/>
            <w:vAlign w:val="top"/>
          </w:tcPr>
          <w:p w14:paraId="435F88A5">
            <w:pPr>
              <w:pStyle w:val="6"/>
              <w:spacing w:before="66" w:line="230" w:lineRule="auto"/>
              <w:ind w:left="560"/>
            </w:pPr>
            <w:r>
              <w:rPr>
                <w:spacing w:val="7"/>
              </w:rPr>
              <w:t>施工人员</w:t>
            </w:r>
          </w:p>
        </w:tc>
        <w:tc>
          <w:tcPr>
            <w:tcW w:w="2280" w:type="dxa"/>
            <w:vAlign w:val="top"/>
          </w:tcPr>
          <w:p w14:paraId="4D06BDAC">
            <w:pPr>
              <w:pStyle w:val="6"/>
              <w:spacing w:before="65" w:line="228" w:lineRule="auto"/>
              <w:ind w:left="727"/>
            </w:pPr>
            <w:r>
              <w:rPr>
                <w:spacing w:val="6"/>
              </w:rPr>
              <w:t>社会噪声</w:t>
            </w:r>
          </w:p>
        </w:tc>
        <w:tc>
          <w:tcPr>
            <w:tcW w:w="1761" w:type="dxa"/>
            <w:vAlign w:val="top"/>
          </w:tcPr>
          <w:p w14:paraId="16DE4B06">
            <w:pPr>
              <w:pStyle w:val="6"/>
              <w:spacing w:before="66" w:line="229" w:lineRule="auto"/>
              <w:ind w:left="472"/>
            </w:pPr>
            <w:r>
              <w:rPr>
                <w:spacing w:val="6"/>
              </w:rPr>
              <w:t>项目范围</w:t>
            </w:r>
          </w:p>
        </w:tc>
        <w:tc>
          <w:tcPr>
            <w:tcW w:w="1193" w:type="dxa"/>
            <w:vAlign w:val="top"/>
          </w:tcPr>
          <w:p w14:paraId="19F447B2">
            <w:pPr>
              <w:pStyle w:val="6"/>
              <w:spacing w:before="66" w:line="228" w:lineRule="auto"/>
              <w:ind w:left="303"/>
            </w:pPr>
            <w:r>
              <w:rPr>
                <w:spacing w:val="1"/>
              </w:rPr>
              <w:t>间歇性</w:t>
            </w:r>
          </w:p>
        </w:tc>
      </w:tr>
      <w:tr w14:paraId="4B54F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25600968">
            <w:pPr>
              <w:rPr>
                <w:rFonts w:ascii="Arial"/>
                <w:sz w:val="21"/>
              </w:rPr>
            </w:pPr>
          </w:p>
        </w:tc>
        <w:tc>
          <w:tcPr>
            <w:tcW w:w="802" w:type="dxa"/>
            <w:vMerge w:val="restart"/>
            <w:tcBorders>
              <w:bottom w:val="nil"/>
            </w:tcBorders>
            <w:vAlign w:val="top"/>
          </w:tcPr>
          <w:p w14:paraId="0C6151A2">
            <w:pPr>
              <w:spacing w:line="350" w:lineRule="auto"/>
              <w:rPr>
                <w:rFonts w:ascii="Arial"/>
                <w:sz w:val="21"/>
              </w:rPr>
            </w:pPr>
          </w:p>
          <w:p w14:paraId="794D4C0F">
            <w:pPr>
              <w:pStyle w:val="6"/>
              <w:spacing w:before="65" w:line="229" w:lineRule="auto"/>
              <w:ind w:left="212"/>
            </w:pPr>
            <w:r>
              <w:rPr>
                <w:spacing w:val="-5"/>
              </w:rPr>
              <w:t>固废</w:t>
            </w:r>
          </w:p>
        </w:tc>
        <w:tc>
          <w:tcPr>
            <w:tcW w:w="1955" w:type="dxa"/>
            <w:gridSpan w:val="2"/>
            <w:vAlign w:val="top"/>
          </w:tcPr>
          <w:p w14:paraId="7CF04C16">
            <w:pPr>
              <w:pStyle w:val="6"/>
              <w:spacing w:before="66" w:line="230" w:lineRule="auto"/>
              <w:ind w:left="560"/>
            </w:pPr>
            <w:r>
              <w:rPr>
                <w:spacing w:val="7"/>
              </w:rPr>
              <w:t>施工人员</w:t>
            </w:r>
          </w:p>
        </w:tc>
        <w:tc>
          <w:tcPr>
            <w:tcW w:w="2280" w:type="dxa"/>
            <w:vAlign w:val="top"/>
          </w:tcPr>
          <w:p w14:paraId="73E03484">
            <w:pPr>
              <w:pStyle w:val="6"/>
              <w:spacing w:before="66" w:line="229" w:lineRule="auto"/>
              <w:ind w:left="727"/>
            </w:pPr>
            <w:r>
              <w:rPr>
                <w:spacing w:val="6"/>
              </w:rPr>
              <w:t>生活垃圾</w:t>
            </w:r>
          </w:p>
        </w:tc>
        <w:tc>
          <w:tcPr>
            <w:tcW w:w="1761" w:type="dxa"/>
            <w:vAlign w:val="top"/>
          </w:tcPr>
          <w:p w14:paraId="2D8CC780">
            <w:pPr>
              <w:pStyle w:val="6"/>
              <w:spacing w:before="66" w:line="229" w:lineRule="auto"/>
              <w:ind w:left="472"/>
            </w:pPr>
            <w:r>
              <w:rPr>
                <w:spacing w:val="6"/>
              </w:rPr>
              <w:t>项目范围</w:t>
            </w:r>
          </w:p>
        </w:tc>
        <w:tc>
          <w:tcPr>
            <w:tcW w:w="1193" w:type="dxa"/>
            <w:vAlign w:val="top"/>
          </w:tcPr>
          <w:p w14:paraId="24F32479">
            <w:pPr>
              <w:pStyle w:val="6"/>
              <w:spacing w:before="67" w:line="228" w:lineRule="auto"/>
              <w:ind w:left="303"/>
            </w:pPr>
            <w:r>
              <w:rPr>
                <w:spacing w:val="1"/>
              </w:rPr>
              <w:t>间歇性</w:t>
            </w:r>
          </w:p>
        </w:tc>
      </w:tr>
      <w:tr w14:paraId="02F25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293F225C">
            <w:pPr>
              <w:rPr>
                <w:rFonts w:ascii="Arial"/>
                <w:sz w:val="21"/>
              </w:rPr>
            </w:pPr>
          </w:p>
        </w:tc>
        <w:tc>
          <w:tcPr>
            <w:tcW w:w="802" w:type="dxa"/>
            <w:vMerge w:val="continue"/>
            <w:tcBorders>
              <w:top w:val="nil"/>
              <w:bottom w:val="nil"/>
            </w:tcBorders>
            <w:vAlign w:val="top"/>
          </w:tcPr>
          <w:p w14:paraId="753DE160">
            <w:pPr>
              <w:rPr>
                <w:rFonts w:ascii="Arial"/>
                <w:sz w:val="21"/>
              </w:rPr>
            </w:pPr>
          </w:p>
        </w:tc>
        <w:tc>
          <w:tcPr>
            <w:tcW w:w="1955" w:type="dxa"/>
            <w:gridSpan w:val="2"/>
            <w:vAlign w:val="top"/>
          </w:tcPr>
          <w:p w14:paraId="34A10D4C">
            <w:pPr>
              <w:pStyle w:val="6"/>
              <w:spacing w:before="67" w:line="229" w:lineRule="auto"/>
              <w:ind w:left="458"/>
            </w:pPr>
            <w:r>
              <w:rPr>
                <w:spacing w:val="7"/>
              </w:rPr>
              <w:t>建筑物建设</w:t>
            </w:r>
          </w:p>
        </w:tc>
        <w:tc>
          <w:tcPr>
            <w:tcW w:w="2280" w:type="dxa"/>
            <w:vAlign w:val="top"/>
          </w:tcPr>
          <w:p w14:paraId="7930B8D5">
            <w:pPr>
              <w:pStyle w:val="6"/>
              <w:spacing w:before="67" w:line="229" w:lineRule="auto"/>
              <w:ind w:left="728"/>
            </w:pPr>
            <w:r>
              <w:rPr>
                <w:spacing w:val="6"/>
              </w:rPr>
              <w:t>建筑垃圾</w:t>
            </w:r>
          </w:p>
        </w:tc>
        <w:tc>
          <w:tcPr>
            <w:tcW w:w="1761" w:type="dxa"/>
            <w:vAlign w:val="top"/>
          </w:tcPr>
          <w:p w14:paraId="7AA64AF6">
            <w:pPr>
              <w:pStyle w:val="6"/>
              <w:spacing w:before="67" w:line="229" w:lineRule="auto"/>
              <w:ind w:left="472"/>
            </w:pPr>
            <w:r>
              <w:rPr>
                <w:spacing w:val="6"/>
              </w:rPr>
              <w:t>项目范围</w:t>
            </w:r>
          </w:p>
        </w:tc>
        <w:tc>
          <w:tcPr>
            <w:tcW w:w="1193" w:type="dxa"/>
            <w:vAlign w:val="top"/>
          </w:tcPr>
          <w:p w14:paraId="1FE27A42">
            <w:pPr>
              <w:pStyle w:val="6"/>
              <w:spacing w:before="67" w:line="228" w:lineRule="auto"/>
              <w:ind w:left="303"/>
            </w:pPr>
            <w:r>
              <w:rPr>
                <w:spacing w:val="1"/>
              </w:rPr>
              <w:t>间歇性</w:t>
            </w:r>
          </w:p>
        </w:tc>
      </w:tr>
      <w:tr w14:paraId="69984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59" w:type="dxa"/>
            <w:vMerge w:val="continue"/>
            <w:tcBorders>
              <w:top w:val="nil"/>
            </w:tcBorders>
            <w:vAlign w:val="top"/>
          </w:tcPr>
          <w:p w14:paraId="76C4E218">
            <w:pPr>
              <w:rPr>
                <w:rFonts w:ascii="Arial"/>
                <w:sz w:val="21"/>
              </w:rPr>
            </w:pPr>
          </w:p>
        </w:tc>
        <w:tc>
          <w:tcPr>
            <w:tcW w:w="802" w:type="dxa"/>
            <w:vMerge w:val="continue"/>
            <w:tcBorders>
              <w:top w:val="nil"/>
            </w:tcBorders>
            <w:vAlign w:val="top"/>
          </w:tcPr>
          <w:p w14:paraId="49DB97D9">
            <w:pPr>
              <w:rPr>
                <w:rFonts w:ascii="Arial"/>
                <w:sz w:val="21"/>
              </w:rPr>
            </w:pPr>
          </w:p>
        </w:tc>
        <w:tc>
          <w:tcPr>
            <w:tcW w:w="1955" w:type="dxa"/>
            <w:gridSpan w:val="2"/>
            <w:vAlign w:val="top"/>
          </w:tcPr>
          <w:p w14:paraId="779A0319">
            <w:pPr>
              <w:pStyle w:val="6"/>
              <w:spacing w:before="67" w:line="228" w:lineRule="auto"/>
              <w:ind w:left="458"/>
            </w:pPr>
            <w:r>
              <w:rPr>
                <w:spacing w:val="7"/>
              </w:rPr>
              <w:t>建筑物装修</w:t>
            </w:r>
          </w:p>
        </w:tc>
        <w:tc>
          <w:tcPr>
            <w:tcW w:w="2280" w:type="dxa"/>
            <w:vAlign w:val="top"/>
          </w:tcPr>
          <w:p w14:paraId="65C14F60">
            <w:pPr>
              <w:pStyle w:val="6"/>
              <w:spacing w:before="67" w:line="228" w:lineRule="auto"/>
              <w:ind w:left="725"/>
            </w:pPr>
            <w:r>
              <w:rPr>
                <w:spacing w:val="7"/>
              </w:rPr>
              <w:t>装修固废</w:t>
            </w:r>
          </w:p>
        </w:tc>
        <w:tc>
          <w:tcPr>
            <w:tcW w:w="1761" w:type="dxa"/>
            <w:vAlign w:val="top"/>
          </w:tcPr>
          <w:p w14:paraId="47EF3BE9">
            <w:pPr>
              <w:pStyle w:val="6"/>
              <w:spacing w:before="67" w:line="229" w:lineRule="auto"/>
              <w:ind w:left="472"/>
            </w:pPr>
            <w:r>
              <w:rPr>
                <w:spacing w:val="6"/>
              </w:rPr>
              <w:t>项目范围</w:t>
            </w:r>
          </w:p>
        </w:tc>
        <w:tc>
          <w:tcPr>
            <w:tcW w:w="1193" w:type="dxa"/>
            <w:vAlign w:val="top"/>
          </w:tcPr>
          <w:p w14:paraId="2C5B0786">
            <w:pPr>
              <w:pStyle w:val="6"/>
              <w:spacing w:before="67" w:line="228" w:lineRule="auto"/>
              <w:ind w:left="303"/>
            </w:pPr>
            <w:r>
              <w:rPr>
                <w:spacing w:val="1"/>
              </w:rPr>
              <w:t>间歇性</w:t>
            </w:r>
          </w:p>
        </w:tc>
      </w:tr>
      <w:tr w14:paraId="0FA9D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restart"/>
            <w:tcBorders>
              <w:bottom w:val="nil"/>
            </w:tcBorders>
            <w:vAlign w:val="top"/>
          </w:tcPr>
          <w:p w14:paraId="70E22CCB">
            <w:pPr>
              <w:rPr>
                <w:rFonts w:ascii="Arial"/>
                <w:sz w:val="21"/>
              </w:rPr>
            </w:pPr>
          </w:p>
          <w:p w14:paraId="7043FA5E">
            <w:pPr>
              <w:rPr>
                <w:rFonts w:ascii="Arial"/>
                <w:sz w:val="21"/>
              </w:rPr>
            </w:pPr>
          </w:p>
          <w:p w14:paraId="2B10F372">
            <w:pPr>
              <w:rPr>
                <w:rFonts w:ascii="Arial"/>
                <w:sz w:val="21"/>
              </w:rPr>
            </w:pPr>
          </w:p>
          <w:p w14:paraId="3CF3E924">
            <w:pPr>
              <w:rPr>
                <w:rFonts w:ascii="Arial"/>
                <w:sz w:val="21"/>
              </w:rPr>
            </w:pPr>
          </w:p>
          <w:p w14:paraId="78CAAAED">
            <w:pPr>
              <w:spacing w:line="241" w:lineRule="auto"/>
              <w:rPr>
                <w:rFonts w:ascii="Arial"/>
                <w:sz w:val="21"/>
              </w:rPr>
            </w:pPr>
          </w:p>
          <w:p w14:paraId="3F3156F5">
            <w:pPr>
              <w:spacing w:line="241" w:lineRule="auto"/>
              <w:rPr>
                <w:rFonts w:ascii="Arial"/>
                <w:sz w:val="21"/>
              </w:rPr>
            </w:pPr>
          </w:p>
          <w:p w14:paraId="1D7338BD">
            <w:pPr>
              <w:spacing w:line="241" w:lineRule="auto"/>
              <w:rPr>
                <w:rFonts w:ascii="Arial"/>
                <w:sz w:val="21"/>
              </w:rPr>
            </w:pPr>
          </w:p>
          <w:p w14:paraId="7FF83DE1">
            <w:pPr>
              <w:spacing w:line="241" w:lineRule="auto"/>
              <w:rPr>
                <w:rFonts w:ascii="Arial"/>
                <w:sz w:val="21"/>
              </w:rPr>
            </w:pPr>
          </w:p>
          <w:p w14:paraId="1920CD2A">
            <w:pPr>
              <w:spacing w:line="241" w:lineRule="auto"/>
              <w:rPr>
                <w:rFonts w:ascii="Arial"/>
                <w:sz w:val="21"/>
              </w:rPr>
            </w:pPr>
          </w:p>
          <w:p w14:paraId="7B867F3E">
            <w:pPr>
              <w:pStyle w:val="6"/>
              <w:spacing w:before="65" w:line="229" w:lineRule="auto"/>
              <w:ind w:left="176"/>
            </w:pPr>
            <w:r>
              <w:rPr>
                <w:spacing w:val="4"/>
              </w:rPr>
              <w:t>营运期</w:t>
            </w:r>
          </w:p>
        </w:tc>
        <w:tc>
          <w:tcPr>
            <w:tcW w:w="802" w:type="dxa"/>
            <w:vMerge w:val="restart"/>
            <w:tcBorders>
              <w:bottom w:val="nil"/>
            </w:tcBorders>
            <w:vAlign w:val="top"/>
          </w:tcPr>
          <w:p w14:paraId="6ECDB9C2">
            <w:pPr>
              <w:pStyle w:val="6"/>
              <w:spacing w:before="241" w:line="229" w:lineRule="auto"/>
              <w:ind w:left="193"/>
            </w:pPr>
            <w:r>
              <w:rPr>
                <w:spacing w:val="5"/>
              </w:rPr>
              <w:t>废气</w:t>
            </w:r>
          </w:p>
        </w:tc>
        <w:tc>
          <w:tcPr>
            <w:tcW w:w="1955" w:type="dxa"/>
            <w:gridSpan w:val="2"/>
            <w:vAlign w:val="top"/>
          </w:tcPr>
          <w:p w14:paraId="35266235">
            <w:pPr>
              <w:pStyle w:val="6"/>
              <w:spacing w:before="66" w:line="228" w:lineRule="auto"/>
              <w:ind w:left="247"/>
            </w:pPr>
            <w:r>
              <w:rPr>
                <w:spacing w:val="8"/>
              </w:rPr>
              <w:t>有机肥发酵车间</w:t>
            </w:r>
          </w:p>
        </w:tc>
        <w:tc>
          <w:tcPr>
            <w:tcW w:w="2280" w:type="dxa"/>
            <w:vAlign w:val="top"/>
          </w:tcPr>
          <w:p w14:paraId="49508A2D">
            <w:pPr>
              <w:pStyle w:val="6"/>
              <w:spacing w:before="66" w:line="228" w:lineRule="auto"/>
              <w:ind w:left="937"/>
            </w:pPr>
            <w:r>
              <w:rPr>
                <w:spacing w:val="4"/>
              </w:rPr>
              <w:t>恶臭</w:t>
            </w:r>
          </w:p>
        </w:tc>
        <w:tc>
          <w:tcPr>
            <w:tcW w:w="1761" w:type="dxa"/>
            <w:vAlign w:val="top"/>
          </w:tcPr>
          <w:p w14:paraId="75CE6533">
            <w:pPr>
              <w:pStyle w:val="6"/>
              <w:spacing w:before="66" w:line="228" w:lineRule="auto"/>
              <w:ind w:left="152"/>
            </w:pPr>
            <w:r>
              <w:rPr>
                <w:spacing w:val="8"/>
              </w:rPr>
              <w:t>有机肥发酵车间</w:t>
            </w:r>
          </w:p>
        </w:tc>
        <w:tc>
          <w:tcPr>
            <w:tcW w:w="1193" w:type="dxa"/>
            <w:vAlign w:val="top"/>
          </w:tcPr>
          <w:p w14:paraId="440E51E6">
            <w:pPr>
              <w:pStyle w:val="6"/>
              <w:spacing w:before="68" w:line="229" w:lineRule="auto"/>
              <w:ind w:left="287"/>
            </w:pPr>
            <w:r>
              <w:rPr>
                <w:spacing w:val="6"/>
              </w:rPr>
              <w:t>连续性</w:t>
            </w:r>
          </w:p>
        </w:tc>
      </w:tr>
      <w:tr w14:paraId="42B65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356EAFBE">
            <w:pPr>
              <w:rPr>
                <w:rFonts w:ascii="Arial"/>
                <w:sz w:val="21"/>
              </w:rPr>
            </w:pPr>
          </w:p>
        </w:tc>
        <w:tc>
          <w:tcPr>
            <w:tcW w:w="802" w:type="dxa"/>
            <w:vMerge w:val="continue"/>
            <w:tcBorders>
              <w:top w:val="nil"/>
            </w:tcBorders>
            <w:vAlign w:val="top"/>
          </w:tcPr>
          <w:p w14:paraId="05522156">
            <w:pPr>
              <w:rPr>
                <w:rFonts w:ascii="Arial"/>
                <w:sz w:val="21"/>
              </w:rPr>
            </w:pPr>
          </w:p>
        </w:tc>
        <w:tc>
          <w:tcPr>
            <w:tcW w:w="1955" w:type="dxa"/>
            <w:gridSpan w:val="2"/>
            <w:vAlign w:val="top"/>
          </w:tcPr>
          <w:p w14:paraId="0F488887">
            <w:pPr>
              <w:pStyle w:val="6"/>
              <w:spacing w:before="66" w:line="229" w:lineRule="auto"/>
              <w:ind w:left="772"/>
            </w:pPr>
            <w:r>
              <w:rPr>
                <w:spacing w:val="4"/>
              </w:rPr>
              <w:t>猪舍</w:t>
            </w:r>
          </w:p>
        </w:tc>
        <w:tc>
          <w:tcPr>
            <w:tcW w:w="2280" w:type="dxa"/>
            <w:vAlign w:val="top"/>
          </w:tcPr>
          <w:p w14:paraId="7B623F88">
            <w:pPr>
              <w:pStyle w:val="6"/>
              <w:spacing w:before="67" w:line="228" w:lineRule="auto"/>
              <w:ind w:left="725"/>
            </w:pPr>
            <w:r>
              <w:rPr>
                <w:spacing w:val="7"/>
              </w:rPr>
              <w:t>猪舍恶臭</w:t>
            </w:r>
          </w:p>
        </w:tc>
        <w:tc>
          <w:tcPr>
            <w:tcW w:w="1761" w:type="dxa"/>
            <w:vAlign w:val="top"/>
          </w:tcPr>
          <w:p w14:paraId="6338FA07">
            <w:pPr>
              <w:pStyle w:val="6"/>
              <w:spacing w:before="66" w:line="229" w:lineRule="auto"/>
              <w:ind w:left="677"/>
            </w:pPr>
            <w:r>
              <w:rPr>
                <w:spacing w:val="4"/>
              </w:rPr>
              <w:t>猪舍</w:t>
            </w:r>
          </w:p>
        </w:tc>
        <w:tc>
          <w:tcPr>
            <w:tcW w:w="1193" w:type="dxa"/>
            <w:vAlign w:val="top"/>
          </w:tcPr>
          <w:p w14:paraId="73A12274">
            <w:pPr>
              <w:pStyle w:val="6"/>
              <w:spacing w:before="69" w:line="229" w:lineRule="auto"/>
              <w:ind w:left="287"/>
            </w:pPr>
            <w:r>
              <w:rPr>
                <w:spacing w:val="6"/>
              </w:rPr>
              <w:t>连续性</w:t>
            </w:r>
          </w:p>
        </w:tc>
      </w:tr>
      <w:tr w14:paraId="67CE0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959" w:type="dxa"/>
            <w:vMerge w:val="continue"/>
            <w:tcBorders>
              <w:top w:val="nil"/>
              <w:bottom w:val="nil"/>
            </w:tcBorders>
            <w:vAlign w:val="top"/>
          </w:tcPr>
          <w:p w14:paraId="74B696E4">
            <w:pPr>
              <w:rPr>
                <w:rFonts w:ascii="Arial"/>
                <w:sz w:val="21"/>
              </w:rPr>
            </w:pPr>
          </w:p>
        </w:tc>
        <w:tc>
          <w:tcPr>
            <w:tcW w:w="802" w:type="dxa"/>
            <w:vMerge w:val="restart"/>
            <w:tcBorders>
              <w:bottom w:val="nil"/>
            </w:tcBorders>
            <w:vAlign w:val="top"/>
          </w:tcPr>
          <w:p w14:paraId="5665BEEC">
            <w:pPr>
              <w:spacing w:line="249" w:lineRule="auto"/>
              <w:rPr>
                <w:rFonts w:ascii="Arial"/>
                <w:sz w:val="21"/>
              </w:rPr>
            </w:pPr>
          </w:p>
          <w:p w14:paraId="4972B441">
            <w:pPr>
              <w:spacing w:line="249" w:lineRule="auto"/>
              <w:rPr>
                <w:rFonts w:ascii="Arial"/>
                <w:sz w:val="21"/>
              </w:rPr>
            </w:pPr>
          </w:p>
          <w:p w14:paraId="7C5041EC">
            <w:pPr>
              <w:pStyle w:val="6"/>
              <w:spacing w:before="65" w:line="228" w:lineRule="auto"/>
              <w:ind w:left="193"/>
            </w:pPr>
            <w:r>
              <w:rPr>
                <w:spacing w:val="5"/>
              </w:rPr>
              <w:t>废水</w:t>
            </w:r>
          </w:p>
        </w:tc>
        <w:tc>
          <w:tcPr>
            <w:tcW w:w="856" w:type="dxa"/>
            <w:vAlign w:val="top"/>
          </w:tcPr>
          <w:p w14:paraId="7490CB27">
            <w:pPr>
              <w:pStyle w:val="6"/>
              <w:spacing w:before="80" w:line="252" w:lineRule="auto"/>
              <w:ind w:left="328" w:right="112" w:hanging="209"/>
            </w:pPr>
            <w:r>
              <w:rPr>
                <w:spacing w:val="6"/>
              </w:rPr>
              <w:t>生活污</w:t>
            </w:r>
            <w:r>
              <w:t xml:space="preserve"> 水</w:t>
            </w:r>
          </w:p>
        </w:tc>
        <w:tc>
          <w:tcPr>
            <w:tcW w:w="1099" w:type="dxa"/>
            <w:vAlign w:val="top"/>
          </w:tcPr>
          <w:p w14:paraId="0854AC0D">
            <w:pPr>
              <w:pStyle w:val="6"/>
              <w:spacing w:before="81" w:line="252" w:lineRule="auto"/>
              <w:ind w:left="242" w:right="129" w:hanging="103"/>
            </w:pPr>
            <w:r>
              <w:rPr>
                <w:spacing w:val="6"/>
              </w:rPr>
              <w:t>办公及职</w:t>
            </w:r>
            <w:r>
              <w:t xml:space="preserve"> </w:t>
            </w:r>
            <w:r>
              <w:rPr>
                <w:spacing w:val="6"/>
              </w:rPr>
              <w:t>工生活</w:t>
            </w:r>
          </w:p>
        </w:tc>
        <w:tc>
          <w:tcPr>
            <w:tcW w:w="2280" w:type="dxa"/>
            <w:vAlign w:val="top"/>
          </w:tcPr>
          <w:p w14:paraId="3CF82866">
            <w:pPr>
              <w:pStyle w:val="6"/>
              <w:spacing w:before="218" w:line="228" w:lineRule="auto"/>
              <w:ind w:left="727"/>
            </w:pPr>
            <w:r>
              <w:rPr>
                <w:spacing w:val="6"/>
              </w:rPr>
              <w:t>生活污水</w:t>
            </w:r>
          </w:p>
        </w:tc>
        <w:tc>
          <w:tcPr>
            <w:tcW w:w="1761" w:type="dxa"/>
            <w:vAlign w:val="top"/>
          </w:tcPr>
          <w:p w14:paraId="3DCEB0D0">
            <w:pPr>
              <w:pStyle w:val="6"/>
              <w:spacing w:before="218" w:line="228" w:lineRule="auto"/>
              <w:ind w:left="576"/>
            </w:pPr>
            <w:r>
              <w:rPr>
                <w:spacing w:val="5"/>
              </w:rPr>
              <w:t>办公区</w:t>
            </w:r>
          </w:p>
        </w:tc>
        <w:tc>
          <w:tcPr>
            <w:tcW w:w="1193" w:type="dxa"/>
            <w:vAlign w:val="top"/>
          </w:tcPr>
          <w:p w14:paraId="06E6A51B">
            <w:pPr>
              <w:pStyle w:val="6"/>
              <w:spacing w:before="218" w:line="229" w:lineRule="auto"/>
              <w:ind w:left="287"/>
            </w:pPr>
            <w:r>
              <w:rPr>
                <w:spacing w:val="6"/>
              </w:rPr>
              <w:t>连续性</w:t>
            </w:r>
          </w:p>
        </w:tc>
      </w:tr>
      <w:tr w14:paraId="1DDAC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6CC460E1">
            <w:pPr>
              <w:rPr>
                <w:rFonts w:ascii="Arial"/>
                <w:sz w:val="21"/>
              </w:rPr>
            </w:pPr>
          </w:p>
        </w:tc>
        <w:tc>
          <w:tcPr>
            <w:tcW w:w="802" w:type="dxa"/>
            <w:vMerge w:val="continue"/>
            <w:tcBorders>
              <w:top w:val="nil"/>
              <w:bottom w:val="nil"/>
            </w:tcBorders>
            <w:vAlign w:val="top"/>
          </w:tcPr>
          <w:p w14:paraId="6AC7CA68">
            <w:pPr>
              <w:rPr>
                <w:rFonts w:ascii="Arial"/>
                <w:sz w:val="21"/>
              </w:rPr>
            </w:pPr>
          </w:p>
        </w:tc>
        <w:tc>
          <w:tcPr>
            <w:tcW w:w="1955" w:type="dxa"/>
            <w:gridSpan w:val="2"/>
            <w:vAlign w:val="top"/>
          </w:tcPr>
          <w:p w14:paraId="2D805C70">
            <w:pPr>
              <w:pStyle w:val="6"/>
              <w:spacing w:before="68" w:line="229" w:lineRule="auto"/>
              <w:ind w:left="560"/>
            </w:pPr>
            <w:r>
              <w:rPr>
                <w:spacing w:val="7"/>
              </w:rPr>
              <w:t>牲畜尿液</w:t>
            </w:r>
          </w:p>
        </w:tc>
        <w:tc>
          <w:tcPr>
            <w:tcW w:w="2280" w:type="dxa"/>
            <w:vAlign w:val="top"/>
          </w:tcPr>
          <w:p w14:paraId="1FD5482A">
            <w:pPr>
              <w:pStyle w:val="6"/>
              <w:spacing w:before="68" w:line="229" w:lineRule="auto"/>
              <w:ind w:left="935"/>
            </w:pPr>
            <w:r>
              <w:rPr>
                <w:spacing w:val="5"/>
              </w:rPr>
              <w:t>尿液</w:t>
            </w:r>
          </w:p>
        </w:tc>
        <w:tc>
          <w:tcPr>
            <w:tcW w:w="1761" w:type="dxa"/>
            <w:vAlign w:val="top"/>
          </w:tcPr>
          <w:p w14:paraId="55133FBF">
            <w:pPr>
              <w:pStyle w:val="6"/>
              <w:spacing w:before="68" w:line="229" w:lineRule="auto"/>
              <w:ind w:left="677"/>
            </w:pPr>
            <w:r>
              <w:rPr>
                <w:spacing w:val="4"/>
              </w:rPr>
              <w:t>猪舍</w:t>
            </w:r>
          </w:p>
        </w:tc>
        <w:tc>
          <w:tcPr>
            <w:tcW w:w="1193" w:type="dxa"/>
            <w:vAlign w:val="top"/>
          </w:tcPr>
          <w:p w14:paraId="7F8FC44C">
            <w:pPr>
              <w:pStyle w:val="6"/>
              <w:spacing w:before="68" w:line="229" w:lineRule="auto"/>
              <w:ind w:left="287"/>
            </w:pPr>
            <w:r>
              <w:rPr>
                <w:spacing w:val="6"/>
              </w:rPr>
              <w:t>连续性</w:t>
            </w:r>
          </w:p>
        </w:tc>
      </w:tr>
      <w:tr w14:paraId="053FC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4A2F8EAC">
            <w:pPr>
              <w:rPr>
                <w:rFonts w:ascii="Arial"/>
                <w:sz w:val="21"/>
              </w:rPr>
            </w:pPr>
          </w:p>
        </w:tc>
        <w:tc>
          <w:tcPr>
            <w:tcW w:w="802" w:type="dxa"/>
            <w:vMerge w:val="continue"/>
            <w:tcBorders>
              <w:top w:val="nil"/>
            </w:tcBorders>
            <w:vAlign w:val="top"/>
          </w:tcPr>
          <w:p w14:paraId="1F413653">
            <w:pPr>
              <w:rPr>
                <w:rFonts w:ascii="Arial"/>
                <w:sz w:val="21"/>
              </w:rPr>
            </w:pPr>
          </w:p>
        </w:tc>
        <w:tc>
          <w:tcPr>
            <w:tcW w:w="1955" w:type="dxa"/>
            <w:gridSpan w:val="2"/>
            <w:vAlign w:val="top"/>
          </w:tcPr>
          <w:p w14:paraId="743B4F32">
            <w:pPr>
              <w:pStyle w:val="6"/>
              <w:spacing w:before="69" w:line="229" w:lineRule="auto"/>
              <w:ind w:left="561"/>
            </w:pPr>
            <w:r>
              <w:rPr>
                <w:spacing w:val="7"/>
              </w:rPr>
              <w:t>猪舍冲洗</w:t>
            </w:r>
          </w:p>
        </w:tc>
        <w:tc>
          <w:tcPr>
            <w:tcW w:w="2280" w:type="dxa"/>
            <w:vAlign w:val="top"/>
          </w:tcPr>
          <w:p w14:paraId="30D6D3DE">
            <w:pPr>
              <w:pStyle w:val="6"/>
              <w:spacing w:before="69" w:line="228" w:lineRule="auto"/>
              <w:ind w:left="726"/>
            </w:pPr>
            <w:r>
              <w:rPr>
                <w:spacing w:val="7"/>
              </w:rPr>
              <w:t>冲洗废水</w:t>
            </w:r>
          </w:p>
        </w:tc>
        <w:tc>
          <w:tcPr>
            <w:tcW w:w="1761" w:type="dxa"/>
            <w:vAlign w:val="top"/>
          </w:tcPr>
          <w:p w14:paraId="11CC12C8">
            <w:pPr>
              <w:pStyle w:val="6"/>
              <w:spacing w:before="69" w:line="229" w:lineRule="auto"/>
              <w:ind w:left="677"/>
            </w:pPr>
            <w:r>
              <w:rPr>
                <w:spacing w:val="4"/>
              </w:rPr>
              <w:t>猪舍</w:t>
            </w:r>
          </w:p>
        </w:tc>
        <w:tc>
          <w:tcPr>
            <w:tcW w:w="1193" w:type="dxa"/>
            <w:vAlign w:val="top"/>
          </w:tcPr>
          <w:p w14:paraId="06DE68AE">
            <w:pPr>
              <w:pStyle w:val="6"/>
              <w:spacing w:before="69" w:line="228" w:lineRule="auto"/>
              <w:ind w:left="303"/>
            </w:pPr>
            <w:r>
              <w:rPr>
                <w:spacing w:val="1"/>
              </w:rPr>
              <w:t>间歇性</w:t>
            </w:r>
          </w:p>
        </w:tc>
      </w:tr>
      <w:tr w14:paraId="04615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6E5BE2CE">
            <w:pPr>
              <w:rPr>
                <w:rFonts w:ascii="Arial"/>
                <w:sz w:val="21"/>
              </w:rPr>
            </w:pPr>
          </w:p>
        </w:tc>
        <w:tc>
          <w:tcPr>
            <w:tcW w:w="802" w:type="dxa"/>
            <w:vMerge w:val="restart"/>
            <w:tcBorders>
              <w:bottom w:val="nil"/>
            </w:tcBorders>
            <w:vAlign w:val="top"/>
          </w:tcPr>
          <w:p w14:paraId="31D43CE8">
            <w:pPr>
              <w:spacing w:line="349" w:lineRule="auto"/>
              <w:rPr>
                <w:rFonts w:ascii="Arial"/>
                <w:sz w:val="21"/>
              </w:rPr>
            </w:pPr>
          </w:p>
          <w:p w14:paraId="1DBF6D85">
            <w:pPr>
              <w:spacing w:line="349" w:lineRule="auto"/>
              <w:rPr>
                <w:rFonts w:ascii="Arial"/>
                <w:sz w:val="21"/>
              </w:rPr>
            </w:pPr>
          </w:p>
          <w:p w14:paraId="6B253DC9">
            <w:pPr>
              <w:pStyle w:val="6"/>
              <w:spacing w:before="65" w:line="229" w:lineRule="auto"/>
              <w:ind w:left="204"/>
            </w:pPr>
            <w:r>
              <w:rPr>
                <w:spacing w:val="-1"/>
              </w:rPr>
              <w:t>噪声</w:t>
            </w:r>
          </w:p>
        </w:tc>
        <w:tc>
          <w:tcPr>
            <w:tcW w:w="1955" w:type="dxa"/>
            <w:gridSpan w:val="2"/>
            <w:vMerge w:val="restart"/>
            <w:tcBorders>
              <w:bottom w:val="nil"/>
            </w:tcBorders>
            <w:vAlign w:val="top"/>
          </w:tcPr>
          <w:p w14:paraId="337A3023">
            <w:pPr>
              <w:pStyle w:val="6"/>
              <w:spacing w:before="242" w:line="228" w:lineRule="auto"/>
              <w:ind w:left="563"/>
            </w:pPr>
            <w:r>
              <w:rPr>
                <w:spacing w:val="6"/>
              </w:rPr>
              <w:t>生产设备</w:t>
            </w:r>
          </w:p>
        </w:tc>
        <w:tc>
          <w:tcPr>
            <w:tcW w:w="2280" w:type="dxa"/>
            <w:vAlign w:val="top"/>
          </w:tcPr>
          <w:p w14:paraId="1E73E233">
            <w:pPr>
              <w:pStyle w:val="6"/>
              <w:spacing w:before="69" w:line="230" w:lineRule="auto"/>
              <w:ind w:left="831"/>
            </w:pPr>
            <w:r>
              <w:rPr>
                <w:spacing w:val="6"/>
              </w:rPr>
              <w:t>排气扇</w:t>
            </w:r>
          </w:p>
        </w:tc>
        <w:tc>
          <w:tcPr>
            <w:tcW w:w="1761" w:type="dxa"/>
            <w:vAlign w:val="top"/>
          </w:tcPr>
          <w:p w14:paraId="514C2C9E">
            <w:pPr>
              <w:pStyle w:val="6"/>
              <w:spacing w:before="69" w:line="229" w:lineRule="auto"/>
              <w:ind w:left="677"/>
            </w:pPr>
            <w:r>
              <w:rPr>
                <w:spacing w:val="4"/>
              </w:rPr>
              <w:t>猪舍</w:t>
            </w:r>
          </w:p>
        </w:tc>
        <w:tc>
          <w:tcPr>
            <w:tcW w:w="1193" w:type="dxa"/>
            <w:vAlign w:val="top"/>
          </w:tcPr>
          <w:p w14:paraId="1DFE25EA">
            <w:pPr>
              <w:pStyle w:val="6"/>
              <w:spacing w:before="69" w:line="229" w:lineRule="auto"/>
              <w:ind w:left="393"/>
            </w:pPr>
            <w:r>
              <w:rPr>
                <w:spacing w:val="4"/>
              </w:rPr>
              <w:t>连续</w:t>
            </w:r>
          </w:p>
        </w:tc>
      </w:tr>
      <w:tr w14:paraId="29D5D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6BA00BE2">
            <w:pPr>
              <w:rPr>
                <w:rFonts w:ascii="Arial"/>
                <w:sz w:val="21"/>
              </w:rPr>
            </w:pPr>
          </w:p>
        </w:tc>
        <w:tc>
          <w:tcPr>
            <w:tcW w:w="802" w:type="dxa"/>
            <w:vMerge w:val="continue"/>
            <w:tcBorders>
              <w:top w:val="nil"/>
              <w:bottom w:val="nil"/>
            </w:tcBorders>
            <w:vAlign w:val="top"/>
          </w:tcPr>
          <w:p w14:paraId="29668250">
            <w:pPr>
              <w:rPr>
                <w:rFonts w:ascii="Arial"/>
                <w:sz w:val="21"/>
              </w:rPr>
            </w:pPr>
          </w:p>
        </w:tc>
        <w:tc>
          <w:tcPr>
            <w:tcW w:w="1955" w:type="dxa"/>
            <w:gridSpan w:val="2"/>
            <w:vMerge w:val="continue"/>
            <w:tcBorders>
              <w:top w:val="nil"/>
            </w:tcBorders>
            <w:vAlign w:val="top"/>
          </w:tcPr>
          <w:p w14:paraId="69A6A91D">
            <w:pPr>
              <w:rPr>
                <w:rFonts w:ascii="Arial"/>
                <w:sz w:val="21"/>
              </w:rPr>
            </w:pPr>
          </w:p>
        </w:tc>
        <w:tc>
          <w:tcPr>
            <w:tcW w:w="2280" w:type="dxa"/>
            <w:vAlign w:val="top"/>
          </w:tcPr>
          <w:p w14:paraId="524F77CE">
            <w:pPr>
              <w:pStyle w:val="6"/>
              <w:spacing w:before="67" w:line="229" w:lineRule="auto"/>
              <w:ind w:left="515"/>
            </w:pPr>
            <w:r>
              <w:rPr>
                <w:spacing w:val="8"/>
              </w:rPr>
              <w:t>饲料加工设备</w:t>
            </w:r>
          </w:p>
        </w:tc>
        <w:tc>
          <w:tcPr>
            <w:tcW w:w="1761" w:type="dxa"/>
            <w:vAlign w:val="top"/>
          </w:tcPr>
          <w:p w14:paraId="23E0FBA5">
            <w:pPr>
              <w:pStyle w:val="6"/>
              <w:spacing w:before="67" w:line="229" w:lineRule="auto"/>
              <w:ind w:left="362"/>
            </w:pPr>
            <w:r>
              <w:rPr>
                <w:spacing w:val="8"/>
              </w:rPr>
              <w:t>饲料加工房</w:t>
            </w:r>
          </w:p>
        </w:tc>
        <w:tc>
          <w:tcPr>
            <w:tcW w:w="1193" w:type="dxa"/>
            <w:vAlign w:val="top"/>
          </w:tcPr>
          <w:p w14:paraId="0B66D233">
            <w:pPr>
              <w:pStyle w:val="6"/>
              <w:spacing w:before="70" w:line="228" w:lineRule="auto"/>
              <w:ind w:left="303"/>
            </w:pPr>
            <w:r>
              <w:rPr>
                <w:spacing w:val="1"/>
              </w:rPr>
              <w:t>间歇性</w:t>
            </w:r>
          </w:p>
        </w:tc>
      </w:tr>
      <w:tr w14:paraId="6A35C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5F54E4FA">
            <w:pPr>
              <w:rPr>
                <w:rFonts w:ascii="Arial"/>
                <w:sz w:val="21"/>
              </w:rPr>
            </w:pPr>
          </w:p>
        </w:tc>
        <w:tc>
          <w:tcPr>
            <w:tcW w:w="802" w:type="dxa"/>
            <w:vMerge w:val="continue"/>
            <w:tcBorders>
              <w:top w:val="nil"/>
              <w:bottom w:val="nil"/>
            </w:tcBorders>
            <w:vAlign w:val="top"/>
          </w:tcPr>
          <w:p w14:paraId="380E6CAE">
            <w:pPr>
              <w:rPr>
                <w:rFonts w:ascii="Arial"/>
                <w:sz w:val="21"/>
              </w:rPr>
            </w:pPr>
          </w:p>
        </w:tc>
        <w:tc>
          <w:tcPr>
            <w:tcW w:w="1955" w:type="dxa"/>
            <w:gridSpan w:val="2"/>
            <w:vMerge w:val="restart"/>
            <w:tcBorders>
              <w:bottom w:val="nil"/>
            </w:tcBorders>
            <w:vAlign w:val="top"/>
          </w:tcPr>
          <w:p w14:paraId="48CC2AC1">
            <w:pPr>
              <w:pStyle w:val="6"/>
              <w:spacing w:before="243" w:line="229" w:lineRule="auto"/>
              <w:ind w:left="563"/>
            </w:pPr>
            <w:r>
              <w:rPr>
                <w:spacing w:val="6"/>
              </w:rPr>
              <w:t>辅助设备</w:t>
            </w:r>
          </w:p>
        </w:tc>
        <w:tc>
          <w:tcPr>
            <w:tcW w:w="2280" w:type="dxa"/>
            <w:vAlign w:val="top"/>
          </w:tcPr>
          <w:p w14:paraId="7512AC0D">
            <w:pPr>
              <w:pStyle w:val="6"/>
              <w:spacing w:before="68" w:line="228" w:lineRule="auto"/>
              <w:ind w:left="939"/>
            </w:pPr>
            <w:r>
              <w:rPr>
                <w:spacing w:val="3"/>
              </w:rPr>
              <w:t>水泵</w:t>
            </w:r>
          </w:p>
        </w:tc>
        <w:tc>
          <w:tcPr>
            <w:tcW w:w="1761" w:type="dxa"/>
            <w:vAlign w:val="top"/>
          </w:tcPr>
          <w:p w14:paraId="10FA2E13">
            <w:pPr>
              <w:pStyle w:val="6"/>
              <w:spacing w:before="70" w:line="228" w:lineRule="auto"/>
              <w:ind w:left="259"/>
            </w:pPr>
            <w:r>
              <w:rPr>
                <w:spacing w:val="7"/>
              </w:rPr>
              <w:t>污水处理设施</w:t>
            </w:r>
          </w:p>
        </w:tc>
        <w:tc>
          <w:tcPr>
            <w:tcW w:w="1193" w:type="dxa"/>
            <w:vAlign w:val="top"/>
          </w:tcPr>
          <w:p w14:paraId="5DBE8F7C">
            <w:pPr>
              <w:pStyle w:val="6"/>
              <w:spacing w:before="70" w:line="229" w:lineRule="auto"/>
              <w:ind w:left="287"/>
            </w:pPr>
            <w:r>
              <w:rPr>
                <w:spacing w:val="6"/>
              </w:rPr>
              <w:t>连续性</w:t>
            </w:r>
          </w:p>
        </w:tc>
      </w:tr>
      <w:tr w14:paraId="74C72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1A74F5C1">
            <w:pPr>
              <w:rPr>
                <w:rFonts w:ascii="Arial"/>
                <w:sz w:val="21"/>
              </w:rPr>
            </w:pPr>
          </w:p>
        </w:tc>
        <w:tc>
          <w:tcPr>
            <w:tcW w:w="802" w:type="dxa"/>
            <w:vMerge w:val="continue"/>
            <w:tcBorders>
              <w:top w:val="nil"/>
              <w:bottom w:val="nil"/>
            </w:tcBorders>
            <w:vAlign w:val="top"/>
          </w:tcPr>
          <w:p w14:paraId="50CFDD43">
            <w:pPr>
              <w:rPr>
                <w:rFonts w:ascii="Arial"/>
                <w:sz w:val="21"/>
              </w:rPr>
            </w:pPr>
          </w:p>
        </w:tc>
        <w:tc>
          <w:tcPr>
            <w:tcW w:w="1955" w:type="dxa"/>
            <w:gridSpan w:val="2"/>
            <w:vMerge w:val="continue"/>
            <w:tcBorders>
              <w:top w:val="nil"/>
            </w:tcBorders>
            <w:vAlign w:val="top"/>
          </w:tcPr>
          <w:p w14:paraId="636E1309">
            <w:pPr>
              <w:rPr>
                <w:rFonts w:ascii="Arial"/>
                <w:sz w:val="21"/>
              </w:rPr>
            </w:pPr>
          </w:p>
        </w:tc>
        <w:tc>
          <w:tcPr>
            <w:tcW w:w="2280" w:type="dxa"/>
            <w:vAlign w:val="top"/>
          </w:tcPr>
          <w:p w14:paraId="0BBE14FF">
            <w:pPr>
              <w:pStyle w:val="6"/>
              <w:spacing w:before="67" w:line="228" w:lineRule="auto"/>
              <w:ind w:left="624"/>
            </w:pPr>
            <w:r>
              <w:rPr>
                <w:spacing w:val="7"/>
              </w:rPr>
              <w:t>沼气发电机</w:t>
            </w:r>
          </w:p>
        </w:tc>
        <w:tc>
          <w:tcPr>
            <w:tcW w:w="1761" w:type="dxa"/>
            <w:vAlign w:val="top"/>
          </w:tcPr>
          <w:p w14:paraId="0EDB9433">
            <w:pPr>
              <w:pStyle w:val="6"/>
              <w:spacing w:before="68" w:line="229" w:lineRule="auto"/>
              <w:ind w:left="571"/>
            </w:pPr>
            <w:r>
              <w:rPr>
                <w:spacing w:val="6"/>
              </w:rPr>
              <w:t>配电房</w:t>
            </w:r>
          </w:p>
        </w:tc>
        <w:tc>
          <w:tcPr>
            <w:tcW w:w="1193" w:type="dxa"/>
            <w:vAlign w:val="top"/>
          </w:tcPr>
          <w:p w14:paraId="129A7EC1">
            <w:pPr>
              <w:pStyle w:val="6"/>
              <w:spacing w:before="68" w:line="228" w:lineRule="auto"/>
              <w:ind w:left="303"/>
            </w:pPr>
            <w:r>
              <w:rPr>
                <w:spacing w:val="1"/>
              </w:rPr>
              <w:t>间歇性</w:t>
            </w:r>
          </w:p>
        </w:tc>
      </w:tr>
      <w:tr w14:paraId="6FEAB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59" w:type="dxa"/>
            <w:vMerge w:val="continue"/>
            <w:tcBorders>
              <w:top w:val="nil"/>
              <w:bottom w:val="nil"/>
            </w:tcBorders>
            <w:vAlign w:val="top"/>
          </w:tcPr>
          <w:p w14:paraId="2C75ACC5">
            <w:pPr>
              <w:rPr>
                <w:rFonts w:ascii="Arial"/>
                <w:sz w:val="21"/>
              </w:rPr>
            </w:pPr>
          </w:p>
        </w:tc>
        <w:tc>
          <w:tcPr>
            <w:tcW w:w="802" w:type="dxa"/>
            <w:vMerge w:val="continue"/>
            <w:tcBorders>
              <w:top w:val="nil"/>
            </w:tcBorders>
            <w:vAlign w:val="top"/>
          </w:tcPr>
          <w:p w14:paraId="69E447FC">
            <w:pPr>
              <w:rPr>
                <w:rFonts w:ascii="Arial"/>
                <w:sz w:val="21"/>
              </w:rPr>
            </w:pPr>
          </w:p>
        </w:tc>
        <w:tc>
          <w:tcPr>
            <w:tcW w:w="1955" w:type="dxa"/>
            <w:gridSpan w:val="2"/>
            <w:vAlign w:val="top"/>
          </w:tcPr>
          <w:p w14:paraId="7AB68C59">
            <w:pPr>
              <w:pStyle w:val="6"/>
              <w:spacing w:before="68" w:line="229" w:lineRule="auto"/>
              <w:ind w:left="561"/>
            </w:pPr>
            <w:r>
              <w:rPr>
                <w:spacing w:val="7"/>
              </w:rPr>
              <w:t>猪只叫声</w:t>
            </w:r>
          </w:p>
        </w:tc>
        <w:tc>
          <w:tcPr>
            <w:tcW w:w="2280" w:type="dxa"/>
            <w:vAlign w:val="top"/>
          </w:tcPr>
          <w:p w14:paraId="1D1B75FE">
            <w:pPr>
              <w:pStyle w:val="6"/>
              <w:spacing w:before="68" w:line="229" w:lineRule="auto"/>
              <w:ind w:left="725"/>
            </w:pPr>
            <w:r>
              <w:rPr>
                <w:spacing w:val="7"/>
              </w:rPr>
              <w:t>猪只叫声</w:t>
            </w:r>
          </w:p>
        </w:tc>
        <w:tc>
          <w:tcPr>
            <w:tcW w:w="1761" w:type="dxa"/>
            <w:vAlign w:val="top"/>
          </w:tcPr>
          <w:p w14:paraId="3DAD1700">
            <w:pPr>
              <w:pStyle w:val="6"/>
              <w:spacing w:before="68" w:line="229" w:lineRule="auto"/>
              <w:ind w:left="677"/>
            </w:pPr>
            <w:r>
              <w:rPr>
                <w:spacing w:val="4"/>
              </w:rPr>
              <w:t>猪舍</w:t>
            </w:r>
          </w:p>
        </w:tc>
        <w:tc>
          <w:tcPr>
            <w:tcW w:w="1193" w:type="dxa"/>
            <w:vAlign w:val="top"/>
          </w:tcPr>
          <w:p w14:paraId="1E1B05B6">
            <w:pPr>
              <w:pStyle w:val="6"/>
              <w:spacing w:before="69" w:line="228" w:lineRule="auto"/>
              <w:ind w:left="303"/>
            </w:pPr>
            <w:r>
              <w:rPr>
                <w:spacing w:val="1"/>
              </w:rPr>
              <w:t>间歇性</w:t>
            </w:r>
          </w:p>
        </w:tc>
      </w:tr>
      <w:tr w14:paraId="69668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59" w:type="dxa"/>
            <w:vMerge w:val="continue"/>
            <w:tcBorders>
              <w:top w:val="nil"/>
              <w:bottom w:val="nil"/>
            </w:tcBorders>
            <w:vAlign w:val="top"/>
          </w:tcPr>
          <w:p w14:paraId="35B975A7">
            <w:pPr>
              <w:rPr>
                <w:rFonts w:ascii="Arial"/>
                <w:sz w:val="21"/>
              </w:rPr>
            </w:pPr>
          </w:p>
        </w:tc>
        <w:tc>
          <w:tcPr>
            <w:tcW w:w="802" w:type="dxa"/>
            <w:vMerge w:val="restart"/>
            <w:tcBorders>
              <w:bottom w:val="nil"/>
            </w:tcBorders>
            <w:vAlign w:val="top"/>
          </w:tcPr>
          <w:p w14:paraId="0D87E84A">
            <w:pPr>
              <w:spacing w:line="278" w:lineRule="auto"/>
              <w:rPr>
                <w:rFonts w:ascii="Arial"/>
                <w:sz w:val="21"/>
              </w:rPr>
            </w:pPr>
          </w:p>
          <w:p w14:paraId="2ECB9D7A">
            <w:pPr>
              <w:pStyle w:val="6"/>
              <w:spacing w:before="65" w:line="229" w:lineRule="auto"/>
              <w:ind w:left="212"/>
            </w:pPr>
            <w:r>
              <w:rPr>
                <w:spacing w:val="-5"/>
              </w:rPr>
              <w:t>固废</w:t>
            </w:r>
          </w:p>
        </w:tc>
        <w:tc>
          <w:tcPr>
            <w:tcW w:w="1955" w:type="dxa"/>
            <w:gridSpan w:val="2"/>
            <w:vAlign w:val="top"/>
          </w:tcPr>
          <w:p w14:paraId="0089F39B">
            <w:pPr>
              <w:pStyle w:val="6"/>
              <w:spacing w:before="169" w:line="229" w:lineRule="auto"/>
              <w:ind w:left="561"/>
            </w:pPr>
            <w:r>
              <w:rPr>
                <w:spacing w:val="7"/>
              </w:rPr>
              <w:t>猪只防疫</w:t>
            </w:r>
          </w:p>
        </w:tc>
        <w:tc>
          <w:tcPr>
            <w:tcW w:w="2280" w:type="dxa"/>
            <w:vAlign w:val="top"/>
          </w:tcPr>
          <w:p w14:paraId="53539310">
            <w:pPr>
              <w:pStyle w:val="6"/>
              <w:spacing w:before="169" w:line="229" w:lineRule="auto"/>
              <w:ind w:left="735"/>
            </w:pPr>
            <w:r>
              <w:rPr>
                <w:spacing w:val="4"/>
              </w:rPr>
              <w:t>医疗废物</w:t>
            </w:r>
          </w:p>
        </w:tc>
        <w:tc>
          <w:tcPr>
            <w:tcW w:w="1761" w:type="dxa"/>
            <w:vAlign w:val="top"/>
          </w:tcPr>
          <w:p w14:paraId="34800617">
            <w:pPr>
              <w:pStyle w:val="6"/>
              <w:spacing w:before="36" w:line="232" w:lineRule="auto"/>
              <w:ind w:left="675" w:right="143" w:hanging="523"/>
            </w:pPr>
            <w:r>
              <w:rPr>
                <w:spacing w:val="8"/>
              </w:rPr>
              <w:t>疫苗仓库或兽药</w:t>
            </w:r>
            <w:r>
              <w:rPr>
                <w:spacing w:val="2"/>
              </w:rPr>
              <w:t xml:space="preserve"> </w:t>
            </w:r>
            <w:r>
              <w:rPr>
                <w:spacing w:val="5"/>
              </w:rPr>
              <w:t>仓库</w:t>
            </w:r>
          </w:p>
        </w:tc>
        <w:tc>
          <w:tcPr>
            <w:tcW w:w="1193" w:type="dxa"/>
            <w:vAlign w:val="top"/>
          </w:tcPr>
          <w:p w14:paraId="1C05C2F5">
            <w:pPr>
              <w:pStyle w:val="6"/>
              <w:spacing w:before="172" w:line="228" w:lineRule="auto"/>
              <w:ind w:left="303"/>
            </w:pPr>
            <w:r>
              <w:rPr>
                <w:spacing w:val="1"/>
              </w:rPr>
              <w:t>间歇性</w:t>
            </w:r>
          </w:p>
        </w:tc>
      </w:tr>
      <w:tr w14:paraId="78252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59" w:type="dxa"/>
            <w:vMerge w:val="continue"/>
            <w:tcBorders>
              <w:top w:val="nil"/>
            </w:tcBorders>
            <w:vAlign w:val="top"/>
          </w:tcPr>
          <w:p w14:paraId="235E85C5">
            <w:pPr>
              <w:rPr>
                <w:rFonts w:ascii="Arial"/>
                <w:sz w:val="21"/>
              </w:rPr>
            </w:pPr>
          </w:p>
        </w:tc>
        <w:tc>
          <w:tcPr>
            <w:tcW w:w="802" w:type="dxa"/>
            <w:vMerge w:val="continue"/>
            <w:tcBorders>
              <w:top w:val="nil"/>
            </w:tcBorders>
            <w:vAlign w:val="top"/>
          </w:tcPr>
          <w:p w14:paraId="2CDC07C6">
            <w:pPr>
              <w:rPr>
                <w:rFonts w:ascii="Arial"/>
                <w:sz w:val="21"/>
              </w:rPr>
            </w:pPr>
          </w:p>
        </w:tc>
        <w:tc>
          <w:tcPr>
            <w:tcW w:w="1955" w:type="dxa"/>
            <w:gridSpan w:val="2"/>
            <w:vAlign w:val="top"/>
          </w:tcPr>
          <w:p w14:paraId="2ED494C1">
            <w:pPr>
              <w:pStyle w:val="6"/>
              <w:spacing w:before="69" w:line="229" w:lineRule="auto"/>
              <w:ind w:left="454"/>
            </w:pPr>
            <w:r>
              <w:rPr>
                <w:spacing w:val="8"/>
              </w:rPr>
              <w:t>病死猪尸体</w:t>
            </w:r>
          </w:p>
        </w:tc>
        <w:tc>
          <w:tcPr>
            <w:tcW w:w="2280" w:type="dxa"/>
            <w:vAlign w:val="top"/>
          </w:tcPr>
          <w:p w14:paraId="538B2D73">
            <w:pPr>
              <w:pStyle w:val="6"/>
              <w:spacing w:before="69" w:line="229" w:lineRule="auto"/>
              <w:ind w:left="936"/>
            </w:pPr>
            <w:r>
              <w:rPr>
                <w:spacing w:val="4"/>
              </w:rPr>
              <w:t>猪舍</w:t>
            </w:r>
          </w:p>
        </w:tc>
        <w:tc>
          <w:tcPr>
            <w:tcW w:w="1761" w:type="dxa"/>
            <w:vAlign w:val="top"/>
          </w:tcPr>
          <w:p w14:paraId="0A2377DF">
            <w:pPr>
              <w:pStyle w:val="6"/>
              <w:spacing w:before="69" w:line="229" w:lineRule="auto"/>
              <w:ind w:left="677"/>
            </w:pPr>
            <w:r>
              <w:rPr>
                <w:spacing w:val="4"/>
              </w:rPr>
              <w:t>猪舍</w:t>
            </w:r>
          </w:p>
        </w:tc>
        <w:tc>
          <w:tcPr>
            <w:tcW w:w="1193" w:type="dxa"/>
            <w:vAlign w:val="top"/>
          </w:tcPr>
          <w:p w14:paraId="70B616CC">
            <w:pPr>
              <w:pStyle w:val="6"/>
              <w:spacing w:before="69" w:line="228" w:lineRule="auto"/>
              <w:ind w:left="303"/>
            </w:pPr>
            <w:r>
              <w:rPr>
                <w:spacing w:val="1"/>
              </w:rPr>
              <w:t>间歇性</w:t>
            </w:r>
          </w:p>
        </w:tc>
      </w:tr>
    </w:tbl>
    <w:p w14:paraId="510CBC58">
      <w:pPr>
        <w:pStyle w:val="2"/>
      </w:pPr>
    </w:p>
    <w:p w14:paraId="5322E65E">
      <w:pPr>
        <w:sectPr>
          <w:footerReference r:id="rId52" w:type="default"/>
          <w:pgSz w:w="11906" w:h="16839"/>
          <w:pgMar w:top="1431" w:right="1475" w:bottom="1485" w:left="1475" w:header="0" w:footer="1249" w:gutter="0"/>
          <w:cols w:space="720" w:num="1"/>
        </w:sectPr>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801"/>
        <w:gridCol w:w="1956"/>
        <w:gridCol w:w="2280"/>
        <w:gridCol w:w="1761"/>
        <w:gridCol w:w="1193"/>
      </w:tblGrid>
      <w:tr w14:paraId="56CB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959" w:type="dxa"/>
            <w:vAlign w:val="top"/>
          </w:tcPr>
          <w:p w14:paraId="4CDDE124">
            <w:pPr>
              <w:pStyle w:val="6"/>
              <w:spacing w:before="35" w:line="229" w:lineRule="auto"/>
              <w:ind w:left="277"/>
            </w:pPr>
            <w:r>
              <w:rPr>
                <w:b/>
                <w:bCs/>
                <w:spacing w:val="2"/>
              </w:rPr>
              <w:t>工程</w:t>
            </w:r>
          </w:p>
          <w:p w14:paraId="3D50A912">
            <w:pPr>
              <w:pStyle w:val="6"/>
              <w:spacing w:before="25" w:line="216" w:lineRule="auto"/>
              <w:ind w:left="284"/>
            </w:pPr>
            <w:r>
              <w:rPr>
                <w:b/>
                <w:bCs/>
                <w:spacing w:val="-1"/>
              </w:rPr>
              <w:t>阶段</w:t>
            </w:r>
          </w:p>
        </w:tc>
        <w:tc>
          <w:tcPr>
            <w:tcW w:w="801" w:type="dxa"/>
            <w:vAlign w:val="top"/>
          </w:tcPr>
          <w:p w14:paraId="12A1FD86">
            <w:pPr>
              <w:pStyle w:val="6"/>
              <w:spacing w:before="34" w:line="231" w:lineRule="auto"/>
              <w:ind w:left="194"/>
            </w:pPr>
            <w:r>
              <w:rPr>
                <w:b/>
                <w:bCs/>
                <w:spacing w:val="3"/>
              </w:rPr>
              <w:t>影响</w:t>
            </w:r>
          </w:p>
          <w:p w14:paraId="0FFA80D3">
            <w:pPr>
              <w:pStyle w:val="6"/>
              <w:spacing w:before="23" w:line="216" w:lineRule="auto"/>
              <w:ind w:left="195"/>
            </w:pPr>
            <w:r>
              <w:rPr>
                <w:b/>
                <w:bCs/>
                <w:spacing w:val="3"/>
              </w:rPr>
              <w:t>要素</w:t>
            </w:r>
          </w:p>
        </w:tc>
        <w:tc>
          <w:tcPr>
            <w:tcW w:w="1956" w:type="dxa"/>
            <w:vAlign w:val="top"/>
          </w:tcPr>
          <w:p w14:paraId="0FEB9D11">
            <w:pPr>
              <w:pStyle w:val="6"/>
              <w:spacing w:before="172" w:line="228" w:lineRule="auto"/>
              <w:ind w:left="562"/>
            </w:pPr>
            <w:r>
              <w:rPr>
                <w:b/>
                <w:bCs/>
                <w:spacing w:val="6"/>
              </w:rPr>
              <w:t>影响来源</w:t>
            </w:r>
          </w:p>
        </w:tc>
        <w:tc>
          <w:tcPr>
            <w:tcW w:w="2280" w:type="dxa"/>
            <w:vAlign w:val="top"/>
          </w:tcPr>
          <w:p w14:paraId="4D11B8BB">
            <w:pPr>
              <w:pStyle w:val="6"/>
              <w:spacing w:before="172" w:line="228" w:lineRule="auto"/>
              <w:ind w:left="516"/>
            </w:pPr>
            <w:r>
              <w:rPr>
                <w:b/>
                <w:bCs/>
                <w:spacing w:val="6"/>
              </w:rPr>
              <w:t>环境影响内容</w:t>
            </w:r>
          </w:p>
        </w:tc>
        <w:tc>
          <w:tcPr>
            <w:tcW w:w="1761" w:type="dxa"/>
            <w:vAlign w:val="top"/>
          </w:tcPr>
          <w:p w14:paraId="682D1F46">
            <w:pPr>
              <w:pStyle w:val="6"/>
              <w:spacing w:before="171" w:line="230" w:lineRule="auto"/>
              <w:ind w:left="468"/>
            </w:pPr>
            <w:r>
              <w:rPr>
                <w:b/>
                <w:bCs/>
                <w:spacing w:val="5"/>
              </w:rPr>
              <w:t>排放位置</w:t>
            </w:r>
          </w:p>
        </w:tc>
        <w:tc>
          <w:tcPr>
            <w:tcW w:w="1193" w:type="dxa"/>
            <w:vAlign w:val="top"/>
          </w:tcPr>
          <w:p w14:paraId="6E8046F2">
            <w:pPr>
              <w:pStyle w:val="6"/>
              <w:spacing w:before="172" w:line="228" w:lineRule="auto"/>
              <w:ind w:left="183"/>
            </w:pPr>
            <w:r>
              <w:rPr>
                <w:b/>
                <w:bCs/>
                <w:spacing w:val="6"/>
              </w:rPr>
              <w:t>污染特点</w:t>
            </w:r>
          </w:p>
        </w:tc>
      </w:tr>
      <w:tr w14:paraId="154A3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59" w:type="dxa"/>
            <w:vMerge w:val="restart"/>
            <w:tcBorders>
              <w:bottom w:val="nil"/>
            </w:tcBorders>
            <w:vAlign w:val="top"/>
          </w:tcPr>
          <w:p w14:paraId="6A32D267">
            <w:pPr>
              <w:rPr>
                <w:rFonts w:ascii="Arial"/>
                <w:sz w:val="21"/>
              </w:rPr>
            </w:pPr>
          </w:p>
        </w:tc>
        <w:tc>
          <w:tcPr>
            <w:tcW w:w="801" w:type="dxa"/>
            <w:vMerge w:val="restart"/>
            <w:tcBorders>
              <w:bottom w:val="nil"/>
            </w:tcBorders>
            <w:vAlign w:val="top"/>
          </w:tcPr>
          <w:p w14:paraId="6A020F71">
            <w:pPr>
              <w:rPr>
                <w:rFonts w:ascii="Arial"/>
                <w:sz w:val="21"/>
              </w:rPr>
            </w:pPr>
          </w:p>
        </w:tc>
        <w:tc>
          <w:tcPr>
            <w:tcW w:w="1956" w:type="dxa"/>
            <w:vAlign w:val="top"/>
          </w:tcPr>
          <w:p w14:paraId="425892BB">
            <w:pPr>
              <w:pStyle w:val="6"/>
              <w:spacing w:before="65" w:line="228" w:lineRule="auto"/>
              <w:ind w:left="775"/>
            </w:pPr>
            <w:r>
              <w:rPr>
                <w:spacing w:val="3"/>
              </w:rPr>
              <w:t>粪便</w:t>
            </w:r>
          </w:p>
        </w:tc>
        <w:tc>
          <w:tcPr>
            <w:tcW w:w="2280" w:type="dxa"/>
            <w:vAlign w:val="top"/>
          </w:tcPr>
          <w:p w14:paraId="43AE56E2">
            <w:pPr>
              <w:pStyle w:val="6"/>
              <w:spacing w:before="65" w:line="228" w:lineRule="auto"/>
              <w:ind w:left="724"/>
            </w:pPr>
            <w:r>
              <w:rPr>
                <w:spacing w:val="7"/>
              </w:rPr>
              <w:t>牲畜粪便</w:t>
            </w:r>
          </w:p>
        </w:tc>
        <w:tc>
          <w:tcPr>
            <w:tcW w:w="1761" w:type="dxa"/>
            <w:vAlign w:val="top"/>
          </w:tcPr>
          <w:p w14:paraId="216F424F">
            <w:pPr>
              <w:pStyle w:val="6"/>
              <w:spacing w:before="65" w:line="229" w:lineRule="auto"/>
              <w:ind w:left="677"/>
            </w:pPr>
            <w:r>
              <w:rPr>
                <w:spacing w:val="4"/>
              </w:rPr>
              <w:t>猪舍</w:t>
            </w:r>
          </w:p>
        </w:tc>
        <w:tc>
          <w:tcPr>
            <w:tcW w:w="1193" w:type="dxa"/>
            <w:vAlign w:val="top"/>
          </w:tcPr>
          <w:p w14:paraId="66CF30BB">
            <w:pPr>
              <w:pStyle w:val="6"/>
              <w:spacing w:before="65" w:line="229" w:lineRule="auto"/>
              <w:ind w:left="287"/>
            </w:pPr>
            <w:r>
              <w:rPr>
                <w:spacing w:val="6"/>
              </w:rPr>
              <w:t>连续性</w:t>
            </w:r>
          </w:p>
        </w:tc>
      </w:tr>
      <w:tr w14:paraId="15BC9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59" w:type="dxa"/>
            <w:vMerge w:val="continue"/>
            <w:tcBorders>
              <w:top w:val="nil"/>
              <w:bottom w:val="nil"/>
            </w:tcBorders>
            <w:vAlign w:val="top"/>
          </w:tcPr>
          <w:p w14:paraId="62A79526">
            <w:pPr>
              <w:rPr>
                <w:rFonts w:ascii="Arial"/>
                <w:sz w:val="21"/>
              </w:rPr>
            </w:pPr>
          </w:p>
        </w:tc>
        <w:tc>
          <w:tcPr>
            <w:tcW w:w="801" w:type="dxa"/>
            <w:vMerge w:val="continue"/>
            <w:tcBorders>
              <w:top w:val="nil"/>
              <w:bottom w:val="nil"/>
            </w:tcBorders>
            <w:vAlign w:val="top"/>
          </w:tcPr>
          <w:p w14:paraId="568DDDB4">
            <w:pPr>
              <w:rPr>
                <w:rFonts w:ascii="Arial"/>
                <w:sz w:val="21"/>
              </w:rPr>
            </w:pPr>
          </w:p>
        </w:tc>
        <w:tc>
          <w:tcPr>
            <w:tcW w:w="1956" w:type="dxa"/>
            <w:vAlign w:val="top"/>
          </w:tcPr>
          <w:p w14:paraId="59FA1380">
            <w:pPr>
              <w:pStyle w:val="6"/>
              <w:spacing w:before="66" w:line="229" w:lineRule="auto"/>
              <w:ind w:left="561"/>
            </w:pPr>
            <w:r>
              <w:rPr>
                <w:spacing w:val="7"/>
              </w:rPr>
              <w:t>废包装物</w:t>
            </w:r>
          </w:p>
        </w:tc>
        <w:tc>
          <w:tcPr>
            <w:tcW w:w="2280" w:type="dxa"/>
            <w:vAlign w:val="top"/>
          </w:tcPr>
          <w:p w14:paraId="16FD3315">
            <w:pPr>
              <w:pStyle w:val="6"/>
              <w:spacing w:before="66" w:line="229" w:lineRule="auto"/>
              <w:ind w:left="724"/>
            </w:pPr>
            <w:r>
              <w:rPr>
                <w:spacing w:val="7"/>
              </w:rPr>
              <w:t>废包装物</w:t>
            </w:r>
          </w:p>
        </w:tc>
        <w:tc>
          <w:tcPr>
            <w:tcW w:w="1761" w:type="dxa"/>
            <w:vAlign w:val="top"/>
          </w:tcPr>
          <w:p w14:paraId="6F61C184">
            <w:pPr>
              <w:pStyle w:val="6"/>
              <w:spacing w:before="67" w:line="228" w:lineRule="auto"/>
              <w:ind w:left="676"/>
            </w:pPr>
            <w:r>
              <w:rPr>
                <w:spacing w:val="5"/>
              </w:rPr>
              <w:t>仓库</w:t>
            </w:r>
          </w:p>
        </w:tc>
        <w:tc>
          <w:tcPr>
            <w:tcW w:w="1193" w:type="dxa"/>
            <w:vAlign w:val="top"/>
          </w:tcPr>
          <w:p w14:paraId="4396AAB8">
            <w:pPr>
              <w:pStyle w:val="6"/>
              <w:spacing w:before="67" w:line="228" w:lineRule="auto"/>
              <w:ind w:left="303"/>
            </w:pPr>
            <w:r>
              <w:rPr>
                <w:spacing w:val="1"/>
              </w:rPr>
              <w:t>间歇性</w:t>
            </w:r>
          </w:p>
        </w:tc>
      </w:tr>
      <w:tr w14:paraId="60E4B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59" w:type="dxa"/>
            <w:vMerge w:val="continue"/>
            <w:tcBorders>
              <w:top w:val="nil"/>
            </w:tcBorders>
            <w:vAlign w:val="top"/>
          </w:tcPr>
          <w:p w14:paraId="2BECE8E3">
            <w:pPr>
              <w:rPr>
                <w:rFonts w:ascii="Arial"/>
                <w:sz w:val="21"/>
              </w:rPr>
            </w:pPr>
          </w:p>
        </w:tc>
        <w:tc>
          <w:tcPr>
            <w:tcW w:w="801" w:type="dxa"/>
            <w:vMerge w:val="continue"/>
            <w:tcBorders>
              <w:top w:val="nil"/>
            </w:tcBorders>
            <w:vAlign w:val="top"/>
          </w:tcPr>
          <w:p w14:paraId="60477921">
            <w:pPr>
              <w:rPr>
                <w:rFonts w:ascii="Arial"/>
                <w:sz w:val="21"/>
              </w:rPr>
            </w:pPr>
          </w:p>
        </w:tc>
        <w:tc>
          <w:tcPr>
            <w:tcW w:w="1956" w:type="dxa"/>
            <w:vAlign w:val="top"/>
          </w:tcPr>
          <w:p w14:paraId="0F72C7FF">
            <w:pPr>
              <w:pStyle w:val="6"/>
              <w:spacing w:before="68" w:line="232" w:lineRule="auto"/>
              <w:ind w:left="774"/>
            </w:pPr>
            <w:r>
              <w:rPr>
                <w:spacing w:val="4"/>
              </w:rPr>
              <w:t>职工</w:t>
            </w:r>
          </w:p>
        </w:tc>
        <w:tc>
          <w:tcPr>
            <w:tcW w:w="2280" w:type="dxa"/>
            <w:vAlign w:val="top"/>
          </w:tcPr>
          <w:p w14:paraId="7BF663B2">
            <w:pPr>
              <w:pStyle w:val="6"/>
              <w:spacing w:before="68" w:line="229" w:lineRule="auto"/>
              <w:ind w:left="727"/>
            </w:pPr>
            <w:r>
              <w:rPr>
                <w:spacing w:val="6"/>
              </w:rPr>
              <w:t>生活垃圾</w:t>
            </w:r>
          </w:p>
        </w:tc>
        <w:tc>
          <w:tcPr>
            <w:tcW w:w="1761" w:type="dxa"/>
            <w:vAlign w:val="top"/>
          </w:tcPr>
          <w:p w14:paraId="7D4EE209">
            <w:pPr>
              <w:pStyle w:val="6"/>
              <w:spacing w:before="68" w:line="228" w:lineRule="auto"/>
              <w:ind w:left="261"/>
            </w:pPr>
            <w:r>
              <w:rPr>
                <w:spacing w:val="7"/>
              </w:rPr>
              <w:t>办公、生活区</w:t>
            </w:r>
          </w:p>
        </w:tc>
        <w:tc>
          <w:tcPr>
            <w:tcW w:w="1193" w:type="dxa"/>
            <w:vAlign w:val="top"/>
          </w:tcPr>
          <w:p w14:paraId="74690D53">
            <w:pPr>
              <w:pStyle w:val="6"/>
              <w:spacing w:before="68" w:line="228" w:lineRule="auto"/>
              <w:ind w:left="303"/>
            </w:pPr>
            <w:r>
              <w:rPr>
                <w:spacing w:val="1"/>
              </w:rPr>
              <w:t>间歇性</w:t>
            </w:r>
          </w:p>
        </w:tc>
      </w:tr>
    </w:tbl>
    <w:p w14:paraId="069C61AF">
      <w:pPr>
        <w:pStyle w:val="2"/>
        <w:spacing w:line="370" w:lineRule="auto"/>
      </w:pPr>
    </w:p>
    <w:p w14:paraId="34CAA43F">
      <w:pPr>
        <w:spacing w:before="78"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2.6.2</w:t>
      </w:r>
      <w:r>
        <w:rPr>
          <w:rFonts w:ascii="宋体" w:hAnsi="宋体" w:eastAsia="宋体" w:cs="宋体"/>
          <w:b/>
          <w:bCs/>
          <w:spacing w:val="-2"/>
          <w:sz w:val="24"/>
          <w:szCs w:val="24"/>
        </w:rPr>
        <w:t>评价因子筛选</w:t>
      </w:r>
    </w:p>
    <w:p w14:paraId="08EF4923">
      <w:pPr>
        <w:spacing w:before="202" w:line="219" w:lineRule="auto"/>
        <w:ind w:left="602"/>
        <w:rPr>
          <w:rFonts w:ascii="宋体" w:hAnsi="宋体" w:eastAsia="宋体" w:cs="宋体"/>
          <w:sz w:val="24"/>
          <w:szCs w:val="24"/>
        </w:rPr>
      </w:pPr>
      <w:r>
        <w:rPr>
          <w:rFonts w:ascii="宋体" w:hAnsi="宋体" w:eastAsia="宋体" w:cs="宋体"/>
          <w:spacing w:val="-1"/>
          <w:sz w:val="24"/>
          <w:szCs w:val="24"/>
        </w:rPr>
        <w:t>根据本项目特征，确定项目营运期主要评价因子如下：</w:t>
      </w:r>
    </w:p>
    <w:p w14:paraId="022CC6C3">
      <w:pPr>
        <w:spacing w:before="170" w:line="358"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）大气环境评价因子</w:t>
      </w:r>
    </w:p>
    <w:p w14:paraId="7D669379">
      <w:pPr>
        <w:spacing w:before="166" w:line="242" w:lineRule="auto"/>
        <w:ind w:left="604"/>
        <w:rPr>
          <w:rFonts w:ascii="宋体" w:hAnsi="宋体" w:eastAsia="宋体" w:cs="宋体"/>
          <w:sz w:val="24"/>
          <w:szCs w:val="24"/>
        </w:rPr>
      </w:pPr>
      <w:r>
        <w:rPr>
          <w:rFonts w:ascii="宋体" w:hAnsi="宋体" w:eastAsia="宋体" w:cs="宋体"/>
          <w:spacing w:val="-3"/>
          <w:sz w:val="24"/>
          <w:szCs w:val="24"/>
        </w:rPr>
        <w:t>现状评价因子：</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0"/>
          <w:position w:val="-1"/>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NO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3"/>
          <w:position w:val="-1"/>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10</w:t>
      </w:r>
      <w:r>
        <w:rPr>
          <w:rFonts w:ascii="Times New Roman" w:hAnsi="Times New Roman" w:eastAsia="Times New Roman" w:cs="Times New Roman"/>
          <w:spacing w:val="-15"/>
          <w:position w:val="-1"/>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PM </w:t>
      </w:r>
      <w:r>
        <w:rPr>
          <w:rFonts w:ascii="Times New Roman" w:hAnsi="Times New Roman" w:eastAsia="Times New Roman" w:cs="Times New Roman"/>
          <w:spacing w:val="-3"/>
          <w:position w:val="-1"/>
          <w:sz w:val="15"/>
          <w:szCs w:val="15"/>
        </w:rPr>
        <w:t>2.5</w:t>
      </w:r>
      <w:r>
        <w:rPr>
          <w:rFonts w:ascii="Times New Roman" w:hAnsi="Times New Roman" w:eastAsia="Times New Roman" w:cs="Times New Roman"/>
          <w:spacing w:val="-15"/>
          <w:position w:val="-1"/>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CO</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4"/>
          <w:sz w:val="24"/>
          <w:szCs w:val="24"/>
        </w:rPr>
        <w:t>O</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12"/>
          <w:position w:val="-1"/>
          <w:sz w:val="15"/>
          <w:szCs w:val="15"/>
        </w:rPr>
        <w:t xml:space="preserve"> </w:t>
      </w:r>
      <w:r>
        <w:rPr>
          <w:rFonts w:ascii="宋体" w:hAnsi="宋体" w:eastAsia="宋体" w:cs="宋体"/>
          <w:spacing w:val="-4"/>
          <w:sz w:val="24"/>
          <w:szCs w:val="24"/>
        </w:rPr>
        <w:t>、硫化氢、氨、臭气浓度。</w:t>
      </w:r>
    </w:p>
    <w:p w14:paraId="046909BD">
      <w:pPr>
        <w:spacing w:before="175" w:line="316" w:lineRule="exact"/>
        <w:ind w:left="602"/>
        <w:rPr>
          <w:rFonts w:ascii="宋体" w:hAnsi="宋体" w:eastAsia="宋体" w:cs="宋体"/>
          <w:sz w:val="24"/>
          <w:szCs w:val="24"/>
        </w:rPr>
      </w:pPr>
      <w:r>
        <w:rPr>
          <w:rFonts w:ascii="宋体" w:hAnsi="宋体" w:eastAsia="宋体" w:cs="宋体"/>
          <w:spacing w:val="-2"/>
          <w:position w:val="1"/>
          <w:sz w:val="24"/>
          <w:szCs w:val="24"/>
        </w:rPr>
        <w:t>影响分析因子：硫化氢、氨、臭气浓度、</w:t>
      </w:r>
      <w:r>
        <w:rPr>
          <w:rFonts w:ascii="Times New Roman" w:hAnsi="Times New Roman" w:eastAsia="Times New Roman" w:cs="Times New Roman"/>
          <w:spacing w:val="-2"/>
          <w:position w:val="1"/>
          <w:sz w:val="24"/>
          <w:szCs w:val="24"/>
        </w:rPr>
        <w:t>SO</w:t>
      </w:r>
      <w:r>
        <w:rPr>
          <w:rFonts w:ascii="Times New Roman" w:hAnsi="Times New Roman" w:eastAsia="Times New Roman" w:cs="Times New Roman"/>
          <w:spacing w:val="-2"/>
          <w:sz w:val="15"/>
          <w:szCs w:val="15"/>
        </w:rPr>
        <w:t>2</w:t>
      </w:r>
      <w:r>
        <w:rPr>
          <w:rFonts w:ascii="Times New Roman" w:hAnsi="Times New Roman" w:eastAsia="Times New Roman" w:cs="Times New Roman"/>
          <w:spacing w:val="-10"/>
          <w:sz w:val="15"/>
          <w:szCs w:val="15"/>
        </w:rPr>
        <w:t xml:space="preserve"> </w:t>
      </w: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NOx</w:t>
      </w:r>
      <w:r>
        <w:rPr>
          <w:rFonts w:ascii="Times New Roman" w:hAnsi="Times New Roman" w:eastAsia="Times New Roman" w:cs="Times New Roman"/>
          <w:spacing w:val="-34"/>
          <w:position w:val="1"/>
          <w:sz w:val="24"/>
          <w:szCs w:val="24"/>
        </w:rPr>
        <w:t xml:space="preserve"> </w:t>
      </w: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T</w:t>
      </w:r>
      <w:r>
        <w:rPr>
          <w:rFonts w:ascii="Times New Roman" w:hAnsi="Times New Roman" w:eastAsia="Times New Roman" w:cs="Times New Roman"/>
          <w:spacing w:val="-3"/>
          <w:position w:val="1"/>
          <w:sz w:val="24"/>
          <w:szCs w:val="24"/>
        </w:rPr>
        <w:t>SP</w:t>
      </w:r>
      <w:r>
        <w:rPr>
          <w:rFonts w:ascii="宋体" w:hAnsi="宋体" w:eastAsia="宋体" w:cs="宋体"/>
          <w:spacing w:val="-3"/>
          <w:position w:val="1"/>
          <w:sz w:val="24"/>
          <w:szCs w:val="24"/>
        </w:rPr>
        <w:t>。</w:t>
      </w:r>
    </w:p>
    <w:p w14:paraId="36F4FC96">
      <w:pPr>
        <w:spacing w:before="135" w:line="362" w:lineRule="exact"/>
        <w:ind w:left="614"/>
        <w:rPr>
          <w:rFonts w:ascii="宋体" w:hAnsi="宋体" w:eastAsia="宋体" w:cs="宋体"/>
          <w:sz w:val="24"/>
          <w:szCs w:val="24"/>
        </w:rPr>
      </w:pPr>
      <w:r>
        <w:rPr>
          <w:rFonts w:ascii="宋体" w:hAnsi="宋体" w:eastAsia="宋体" w:cs="宋体"/>
          <w:spacing w:val="-4"/>
          <w:position w:val="2"/>
          <w:sz w:val="24"/>
          <w:szCs w:val="24"/>
        </w:rPr>
        <w:t>（</w:t>
      </w:r>
      <w:r>
        <w:rPr>
          <w:rFonts w:ascii="Times New Roman" w:hAnsi="Times New Roman" w:eastAsia="Times New Roman" w:cs="Times New Roman"/>
          <w:spacing w:val="-4"/>
          <w:position w:val="2"/>
          <w:sz w:val="24"/>
          <w:szCs w:val="24"/>
        </w:rPr>
        <w:t>2</w:t>
      </w:r>
      <w:r>
        <w:rPr>
          <w:rFonts w:ascii="宋体" w:hAnsi="宋体" w:eastAsia="宋体" w:cs="宋体"/>
          <w:spacing w:val="-4"/>
          <w:position w:val="2"/>
          <w:sz w:val="24"/>
          <w:szCs w:val="24"/>
        </w:rPr>
        <w:t>）声环境</w:t>
      </w:r>
    </w:p>
    <w:p w14:paraId="34875D46">
      <w:pPr>
        <w:spacing w:before="128" w:line="333" w:lineRule="exact"/>
        <w:ind w:left="604"/>
        <w:rPr>
          <w:rFonts w:ascii="宋体" w:hAnsi="宋体" w:eastAsia="宋体" w:cs="宋体"/>
          <w:sz w:val="24"/>
          <w:szCs w:val="24"/>
        </w:rPr>
      </w:pPr>
      <w:r>
        <w:rPr>
          <w:rFonts w:ascii="宋体" w:hAnsi="宋体" w:eastAsia="宋体" w:cs="宋体"/>
          <w:spacing w:val="-1"/>
          <w:position w:val="3"/>
          <w:sz w:val="24"/>
          <w:szCs w:val="24"/>
        </w:rPr>
        <w:t>现状评价因子：等效连续</w:t>
      </w:r>
      <w:r>
        <w:rPr>
          <w:rFonts w:ascii="宋体" w:hAnsi="宋体" w:eastAsia="宋体" w:cs="宋体"/>
          <w:spacing w:val="-58"/>
          <w:position w:val="3"/>
          <w:sz w:val="24"/>
          <w:szCs w:val="24"/>
        </w:rPr>
        <w:t xml:space="preserve"> </w:t>
      </w:r>
      <w:r>
        <w:rPr>
          <w:rFonts w:ascii="Times New Roman" w:hAnsi="Times New Roman" w:eastAsia="Times New Roman" w:cs="Times New Roman"/>
          <w:spacing w:val="-1"/>
          <w:position w:val="3"/>
          <w:sz w:val="24"/>
          <w:szCs w:val="24"/>
        </w:rPr>
        <w:t xml:space="preserve">A  </w:t>
      </w:r>
      <w:r>
        <w:rPr>
          <w:rFonts w:ascii="宋体" w:hAnsi="宋体" w:eastAsia="宋体" w:cs="宋体"/>
          <w:spacing w:val="-1"/>
          <w:position w:val="3"/>
          <w:sz w:val="24"/>
          <w:szCs w:val="24"/>
        </w:rPr>
        <w:t>声级</w:t>
      </w:r>
      <w:r>
        <w:rPr>
          <w:rFonts w:ascii="宋体" w:hAnsi="宋体" w:eastAsia="宋体" w:cs="宋体"/>
          <w:spacing w:val="-55"/>
          <w:position w:val="3"/>
          <w:sz w:val="24"/>
          <w:szCs w:val="24"/>
        </w:rPr>
        <w:t xml:space="preserve"> </w:t>
      </w:r>
      <w:r>
        <w:rPr>
          <w:rFonts w:ascii="Times New Roman" w:hAnsi="Times New Roman" w:eastAsia="Times New Roman" w:cs="Times New Roman"/>
          <w:spacing w:val="-1"/>
          <w:position w:val="3"/>
          <w:sz w:val="24"/>
          <w:szCs w:val="24"/>
        </w:rPr>
        <w:t>Leq</w:t>
      </w:r>
      <w:r>
        <w:rPr>
          <w:rFonts w:ascii="Times New Roman" w:hAnsi="Times New Roman" w:eastAsia="Times New Roman" w:cs="Times New Roman"/>
          <w:spacing w:val="-2"/>
          <w:position w:val="3"/>
          <w:sz w:val="24"/>
          <w:szCs w:val="24"/>
        </w:rPr>
        <w:t>[dB(A)]</w:t>
      </w:r>
      <w:r>
        <w:rPr>
          <w:rFonts w:ascii="宋体" w:hAnsi="宋体" w:eastAsia="宋体" w:cs="宋体"/>
          <w:spacing w:val="-2"/>
          <w:position w:val="3"/>
          <w:sz w:val="24"/>
          <w:szCs w:val="24"/>
        </w:rPr>
        <w:t>。</w:t>
      </w:r>
    </w:p>
    <w:p w14:paraId="475D46ED">
      <w:pPr>
        <w:spacing w:before="154" w:line="333" w:lineRule="exact"/>
        <w:ind w:left="602"/>
        <w:rPr>
          <w:rFonts w:ascii="宋体" w:hAnsi="宋体" w:eastAsia="宋体" w:cs="宋体"/>
          <w:sz w:val="24"/>
          <w:szCs w:val="24"/>
        </w:rPr>
      </w:pPr>
      <w:r>
        <w:rPr>
          <w:rFonts w:ascii="宋体" w:hAnsi="宋体" w:eastAsia="宋体" w:cs="宋体"/>
          <w:spacing w:val="-1"/>
          <w:position w:val="3"/>
          <w:sz w:val="24"/>
          <w:szCs w:val="24"/>
        </w:rPr>
        <w:t>影响分析因子：等效连续</w:t>
      </w:r>
      <w:r>
        <w:rPr>
          <w:rFonts w:ascii="宋体" w:hAnsi="宋体" w:eastAsia="宋体" w:cs="宋体"/>
          <w:spacing w:val="-58"/>
          <w:position w:val="3"/>
          <w:sz w:val="24"/>
          <w:szCs w:val="24"/>
        </w:rPr>
        <w:t xml:space="preserve"> </w:t>
      </w:r>
      <w:r>
        <w:rPr>
          <w:rFonts w:ascii="Times New Roman" w:hAnsi="Times New Roman" w:eastAsia="Times New Roman" w:cs="Times New Roman"/>
          <w:spacing w:val="-1"/>
          <w:position w:val="3"/>
          <w:sz w:val="24"/>
          <w:szCs w:val="24"/>
        </w:rPr>
        <w:t xml:space="preserve">A  </w:t>
      </w:r>
      <w:r>
        <w:rPr>
          <w:rFonts w:ascii="宋体" w:hAnsi="宋体" w:eastAsia="宋体" w:cs="宋体"/>
          <w:spacing w:val="-1"/>
          <w:position w:val="3"/>
          <w:sz w:val="24"/>
          <w:szCs w:val="24"/>
        </w:rPr>
        <w:t>声级</w:t>
      </w:r>
      <w:r>
        <w:rPr>
          <w:rFonts w:ascii="宋体" w:hAnsi="宋体" w:eastAsia="宋体" w:cs="宋体"/>
          <w:spacing w:val="-56"/>
          <w:position w:val="3"/>
          <w:sz w:val="24"/>
          <w:szCs w:val="24"/>
        </w:rPr>
        <w:t xml:space="preserve"> </w:t>
      </w:r>
      <w:r>
        <w:rPr>
          <w:rFonts w:ascii="Times New Roman" w:hAnsi="Times New Roman" w:eastAsia="Times New Roman" w:cs="Times New Roman"/>
          <w:spacing w:val="-1"/>
          <w:position w:val="3"/>
          <w:sz w:val="24"/>
          <w:szCs w:val="24"/>
        </w:rPr>
        <w:t>Leq[d</w:t>
      </w:r>
      <w:r>
        <w:rPr>
          <w:rFonts w:ascii="Times New Roman" w:hAnsi="Times New Roman" w:eastAsia="Times New Roman" w:cs="Times New Roman"/>
          <w:spacing w:val="-2"/>
          <w:position w:val="3"/>
          <w:sz w:val="24"/>
          <w:szCs w:val="24"/>
        </w:rPr>
        <w:t>B(A)]</w:t>
      </w:r>
      <w:r>
        <w:rPr>
          <w:rFonts w:ascii="宋体" w:hAnsi="宋体" w:eastAsia="宋体" w:cs="宋体"/>
          <w:spacing w:val="-2"/>
          <w:position w:val="3"/>
          <w:sz w:val="24"/>
          <w:szCs w:val="24"/>
        </w:rPr>
        <w:t>。</w:t>
      </w:r>
    </w:p>
    <w:p w14:paraId="67C14187">
      <w:pPr>
        <w:spacing w:before="157" w:line="360"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）地下水环境</w:t>
      </w:r>
    </w:p>
    <w:p w14:paraId="5711E81B">
      <w:pPr>
        <w:spacing w:before="165" w:line="362" w:lineRule="auto"/>
        <w:ind w:left="125" w:right="153" w:firstLine="479"/>
        <w:rPr>
          <w:rFonts w:ascii="宋体" w:hAnsi="宋体" w:eastAsia="宋体" w:cs="宋体"/>
          <w:sz w:val="24"/>
          <w:szCs w:val="24"/>
        </w:rPr>
      </w:pPr>
      <w:r>
        <w:rPr>
          <w:rFonts w:ascii="宋体" w:hAnsi="宋体" w:eastAsia="宋体" w:cs="宋体"/>
          <w:spacing w:val="-1"/>
          <w:sz w:val="24"/>
          <w:szCs w:val="24"/>
        </w:rPr>
        <w:t>现状评价因子：</w:t>
      </w:r>
      <w:r>
        <w:rPr>
          <w:rFonts w:ascii="Times New Roman" w:hAnsi="Times New Roman" w:eastAsia="Times New Roman" w:cs="Times New Roman"/>
          <w:spacing w:val="-1"/>
          <w:sz w:val="24"/>
          <w:szCs w:val="24"/>
        </w:rPr>
        <w:t>pH</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、氨氮、硝酸盐、总硬度、溶解性总固体</w:t>
      </w:r>
      <w:r>
        <w:rPr>
          <w:rFonts w:ascii="宋体" w:hAnsi="宋体" w:eastAsia="宋体" w:cs="宋体"/>
          <w:spacing w:val="-2"/>
          <w:sz w:val="24"/>
          <w:szCs w:val="24"/>
        </w:rPr>
        <w:t>、高锰酸钾指数、</w:t>
      </w:r>
      <w:r>
        <w:rPr>
          <w:rFonts w:ascii="宋体" w:hAnsi="宋体" w:eastAsia="宋体" w:cs="宋体"/>
          <w:sz w:val="24"/>
          <w:szCs w:val="24"/>
        </w:rPr>
        <w:t xml:space="preserve"> </w:t>
      </w:r>
      <w:r>
        <w:rPr>
          <w:rFonts w:ascii="宋体" w:hAnsi="宋体" w:eastAsia="宋体" w:cs="宋体"/>
          <w:spacing w:val="-3"/>
          <w:sz w:val="24"/>
          <w:szCs w:val="24"/>
        </w:rPr>
        <w:t>总大肠杆菌。</w:t>
      </w:r>
    </w:p>
    <w:p w14:paraId="5F6C9B17">
      <w:pPr>
        <w:spacing w:line="360" w:lineRule="exact"/>
        <w:ind w:left="614"/>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4</w:t>
      </w:r>
      <w:r>
        <w:rPr>
          <w:rFonts w:ascii="宋体" w:hAnsi="宋体" w:eastAsia="宋体" w:cs="宋体"/>
          <w:spacing w:val="-1"/>
          <w:position w:val="2"/>
          <w:sz w:val="24"/>
          <w:szCs w:val="24"/>
        </w:rPr>
        <w:t>）固体废物：分析固体废弃物产生量，提出相应处置措施。</w:t>
      </w:r>
    </w:p>
    <w:p w14:paraId="6E13A0A3">
      <w:pPr>
        <w:spacing w:before="167" w:line="210" w:lineRule="auto"/>
        <w:ind w:left="6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）土壤环境：</w:t>
      </w:r>
      <w:r>
        <w:rPr>
          <w:rFonts w:ascii="Times New Roman" w:hAnsi="Times New Roman" w:eastAsia="Times New Roman" w:cs="Times New Roman"/>
          <w:spacing w:val="-1"/>
          <w:sz w:val="24"/>
          <w:szCs w:val="24"/>
        </w:rPr>
        <w:t xml:space="preserve">pH  </w:t>
      </w:r>
      <w:r>
        <w:rPr>
          <w:rFonts w:ascii="宋体" w:hAnsi="宋体" w:eastAsia="宋体" w:cs="宋体"/>
          <w:spacing w:val="-1"/>
          <w:sz w:val="24"/>
          <w:szCs w:val="24"/>
        </w:rPr>
        <w:t>值、砷、汞、镉、铅、铬、镍、铜、锌。</w:t>
      </w:r>
    </w:p>
    <w:p w14:paraId="77B7F685">
      <w:pPr>
        <w:spacing w:before="214" w:line="219" w:lineRule="auto"/>
        <w:ind w:left="603"/>
        <w:rPr>
          <w:rFonts w:ascii="宋体" w:hAnsi="宋体" w:eastAsia="宋体" w:cs="宋体"/>
          <w:sz w:val="24"/>
          <w:szCs w:val="24"/>
        </w:rPr>
      </w:pPr>
      <w:r>
        <w:rPr>
          <w:rFonts w:ascii="宋体" w:hAnsi="宋体" w:eastAsia="宋体" w:cs="宋体"/>
          <w:spacing w:val="-1"/>
          <w:sz w:val="24"/>
          <w:szCs w:val="24"/>
        </w:rPr>
        <w:t>本次评价的评价因子详见下表。</w:t>
      </w:r>
    </w:p>
    <w:p w14:paraId="34010B78">
      <w:pPr>
        <w:spacing w:before="220" w:line="227" w:lineRule="auto"/>
        <w:ind w:left="2928"/>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6"/>
          <w:sz w:val="20"/>
          <w:szCs w:val="20"/>
        </w:rPr>
        <w:t xml:space="preserve">2.6-2  </w:t>
      </w:r>
      <w:r>
        <w:rPr>
          <w:rFonts w:ascii="宋体" w:hAnsi="宋体" w:eastAsia="宋体" w:cs="宋体"/>
          <w:b/>
          <w:bCs/>
          <w:spacing w:val="6"/>
          <w:sz w:val="20"/>
          <w:szCs w:val="20"/>
        </w:rPr>
        <w:t>项目环境影响评价因子一览表</w:t>
      </w:r>
    </w:p>
    <w:p w14:paraId="44AC914A">
      <w:pPr>
        <w:spacing w:line="105"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1418"/>
        <w:gridCol w:w="3286"/>
        <w:gridCol w:w="3142"/>
      </w:tblGrid>
      <w:tr w14:paraId="0BF3C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04" w:type="dxa"/>
            <w:vMerge w:val="restart"/>
            <w:tcBorders>
              <w:bottom w:val="nil"/>
            </w:tcBorders>
            <w:vAlign w:val="top"/>
          </w:tcPr>
          <w:p w14:paraId="744B3628">
            <w:pPr>
              <w:pStyle w:val="6"/>
              <w:spacing w:before="229" w:line="227" w:lineRule="auto"/>
              <w:ind w:left="137"/>
            </w:pPr>
            <w:r>
              <w:rPr>
                <w:b/>
                <w:bCs/>
                <w:spacing w:val="6"/>
              </w:rPr>
              <w:t>评价时期</w:t>
            </w:r>
          </w:p>
        </w:tc>
        <w:tc>
          <w:tcPr>
            <w:tcW w:w="1418" w:type="dxa"/>
            <w:vMerge w:val="restart"/>
            <w:tcBorders>
              <w:bottom w:val="nil"/>
            </w:tcBorders>
            <w:vAlign w:val="top"/>
          </w:tcPr>
          <w:p w14:paraId="72B88F75">
            <w:pPr>
              <w:pStyle w:val="6"/>
              <w:spacing w:before="230" w:line="228" w:lineRule="auto"/>
              <w:ind w:left="291"/>
            </w:pPr>
            <w:r>
              <w:rPr>
                <w:b/>
                <w:bCs/>
                <w:spacing w:val="6"/>
              </w:rPr>
              <w:t>环境要素</w:t>
            </w:r>
          </w:p>
        </w:tc>
        <w:tc>
          <w:tcPr>
            <w:tcW w:w="6428" w:type="dxa"/>
            <w:gridSpan w:val="2"/>
            <w:vAlign w:val="top"/>
          </w:tcPr>
          <w:p w14:paraId="46C680D7">
            <w:pPr>
              <w:pStyle w:val="6"/>
              <w:spacing w:before="61" w:line="227" w:lineRule="auto"/>
              <w:ind w:left="2797"/>
            </w:pPr>
            <w:r>
              <w:rPr>
                <w:b/>
                <w:bCs/>
                <w:spacing w:val="6"/>
              </w:rPr>
              <w:t>评价因子</w:t>
            </w:r>
          </w:p>
        </w:tc>
      </w:tr>
      <w:tr w14:paraId="2200B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04" w:type="dxa"/>
            <w:vMerge w:val="continue"/>
            <w:tcBorders>
              <w:top w:val="nil"/>
            </w:tcBorders>
            <w:vAlign w:val="top"/>
          </w:tcPr>
          <w:p w14:paraId="7990EE52">
            <w:pPr>
              <w:rPr>
                <w:rFonts w:ascii="Arial"/>
                <w:sz w:val="21"/>
              </w:rPr>
            </w:pPr>
          </w:p>
        </w:tc>
        <w:tc>
          <w:tcPr>
            <w:tcW w:w="1418" w:type="dxa"/>
            <w:vMerge w:val="continue"/>
            <w:tcBorders>
              <w:top w:val="nil"/>
            </w:tcBorders>
            <w:vAlign w:val="top"/>
          </w:tcPr>
          <w:p w14:paraId="08B16B66">
            <w:pPr>
              <w:rPr>
                <w:rFonts w:ascii="Arial"/>
                <w:sz w:val="21"/>
              </w:rPr>
            </w:pPr>
          </w:p>
        </w:tc>
        <w:tc>
          <w:tcPr>
            <w:tcW w:w="3286" w:type="dxa"/>
            <w:vAlign w:val="top"/>
          </w:tcPr>
          <w:p w14:paraId="74E1F779">
            <w:pPr>
              <w:pStyle w:val="6"/>
              <w:spacing w:before="57" w:line="227" w:lineRule="auto"/>
              <w:ind w:left="1230"/>
            </w:pPr>
            <w:r>
              <w:rPr>
                <w:b/>
                <w:bCs/>
                <w:spacing w:val="6"/>
              </w:rPr>
              <w:t>现状评价</w:t>
            </w:r>
          </w:p>
        </w:tc>
        <w:tc>
          <w:tcPr>
            <w:tcW w:w="3142" w:type="dxa"/>
            <w:vAlign w:val="top"/>
          </w:tcPr>
          <w:p w14:paraId="6FC26030">
            <w:pPr>
              <w:pStyle w:val="6"/>
              <w:spacing w:before="57" w:line="227" w:lineRule="auto"/>
              <w:ind w:left="1155"/>
            </w:pPr>
            <w:r>
              <w:rPr>
                <w:b/>
                <w:bCs/>
                <w:spacing w:val="6"/>
              </w:rPr>
              <w:t>影响评价</w:t>
            </w:r>
          </w:p>
        </w:tc>
      </w:tr>
      <w:tr w14:paraId="1BE03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04" w:type="dxa"/>
            <w:vMerge w:val="restart"/>
            <w:tcBorders>
              <w:bottom w:val="nil"/>
            </w:tcBorders>
            <w:vAlign w:val="top"/>
          </w:tcPr>
          <w:p w14:paraId="00DB4E0E">
            <w:pPr>
              <w:spacing w:line="330" w:lineRule="auto"/>
              <w:rPr>
                <w:rFonts w:ascii="Arial"/>
                <w:sz w:val="21"/>
              </w:rPr>
            </w:pPr>
          </w:p>
          <w:p w14:paraId="2F6FE3FE">
            <w:pPr>
              <w:spacing w:line="331" w:lineRule="auto"/>
              <w:rPr>
                <w:rFonts w:ascii="Arial"/>
                <w:sz w:val="21"/>
              </w:rPr>
            </w:pPr>
          </w:p>
          <w:p w14:paraId="74A3C21C">
            <w:pPr>
              <w:pStyle w:val="6"/>
              <w:spacing w:before="65" w:line="229" w:lineRule="auto"/>
              <w:ind w:left="243"/>
            </w:pPr>
            <w:r>
              <w:rPr>
                <w:spacing w:val="7"/>
              </w:rPr>
              <w:t>施工期</w:t>
            </w:r>
          </w:p>
        </w:tc>
        <w:tc>
          <w:tcPr>
            <w:tcW w:w="1418" w:type="dxa"/>
            <w:vAlign w:val="top"/>
          </w:tcPr>
          <w:p w14:paraId="404ED34B">
            <w:pPr>
              <w:pStyle w:val="6"/>
              <w:spacing w:before="59" w:line="228" w:lineRule="auto"/>
              <w:ind w:left="188"/>
            </w:pPr>
            <w:r>
              <w:rPr>
                <w:spacing w:val="8"/>
              </w:rPr>
              <w:t>地表水环境</w:t>
            </w:r>
          </w:p>
        </w:tc>
        <w:tc>
          <w:tcPr>
            <w:tcW w:w="3286" w:type="dxa"/>
            <w:vAlign w:val="top"/>
          </w:tcPr>
          <w:p w14:paraId="59EE6210">
            <w:pPr>
              <w:spacing w:before="27" w:line="275" w:lineRule="exact"/>
              <w:ind w:left="16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42" w:type="dxa"/>
            <w:vAlign w:val="top"/>
          </w:tcPr>
          <w:p w14:paraId="2EA993E1">
            <w:pPr>
              <w:pStyle w:val="6"/>
              <w:spacing w:before="58" w:line="228" w:lineRule="auto"/>
              <w:ind w:left="972"/>
            </w:pPr>
            <w:r>
              <w:rPr>
                <w:rFonts w:ascii="Times New Roman" w:hAnsi="Times New Roman" w:eastAsia="Times New Roman" w:cs="Times New Roman"/>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10"/>
                <w:position w:val="-1"/>
                <w:sz w:val="13"/>
                <w:szCs w:val="13"/>
              </w:rPr>
              <w:t xml:space="preserve"> </w:t>
            </w:r>
            <w:r>
              <w:rPr>
                <w:spacing w:val="8"/>
              </w:rPr>
              <w:t>、氨氮</w:t>
            </w:r>
          </w:p>
        </w:tc>
      </w:tr>
      <w:tr w14:paraId="3C504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4" w:type="dxa"/>
            <w:vMerge w:val="continue"/>
            <w:tcBorders>
              <w:top w:val="nil"/>
              <w:bottom w:val="nil"/>
            </w:tcBorders>
            <w:vAlign w:val="top"/>
          </w:tcPr>
          <w:p w14:paraId="77A0D88D">
            <w:pPr>
              <w:rPr>
                <w:rFonts w:ascii="Arial"/>
                <w:sz w:val="21"/>
              </w:rPr>
            </w:pPr>
          </w:p>
        </w:tc>
        <w:tc>
          <w:tcPr>
            <w:tcW w:w="1418" w:type="dxa"/>
            <w:vAlign w:val="top"/>
          </w:tcPr>
          <w:p w14:paraId="17A07EE6">
            <w:pPr>
              <w:pStyle w:val="6"/>
              <w:spacing w:before="59" w:line="229" w:lineRule="auto"/>
              <w:ind w:left="294"/>
            </w:pPr>
            <w:r>
              <w:rPr>
                <w:spacing w:val="6"/>
              </w:rPr>
              <w:t>大气环境</w:t>
            </w:r>
          </w:p>
        </w:tc>
        <w:tc>
          <w:tcPr>
            <w:tcW w:w="3286" w:type="dxa"/>
            <w:vAlign w:val="top"/>
          </w:tcPr>
          <w:p w14:paraId="00E215EA">
            <w:pPr>
              <w:spacing w:before="28" w:line="275" w:lineRule="exact"/>
              <w:ind w:left="16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42" w:type="dxa"/>
            <w:vAlign w:val="top"/>
          </w:tcPr>
          <w:p w14:paraId="18C8FA40">
            <w:pPr>
              <w:pStyle w:val="6"/>
              <w:spacing w:before="60" w:line="228" w:lineRule="auto"/>
              <w:ind w:left="1363"/>
            </w:pPr>
            <w:r>
              <w:rPr>
                <w:spacing w:val="5"/>
              </w:rPr>
              <w:t>粉尘</w:t>
            </w:r>
          </w:p>
        </w:tc>
      </w:tr>
      <w:tr w14:paraId="5B2EE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4" w:type="dxa"/>
            <w:vMerge w:val="continue"/>
            <w:tcBorders>
              <w:top w:val="nil"/>
              <w:bottom w:val="nil"/>
            </w:tcBorders>
            <w:vAlign w:val="top"/>
          </w:tcPr>
          <w:p w14:paraId="7CB64E8C">
            <w:pPr>
              <w:rPr>
                <w:rFonts w:ascii="Arial"/>
                <w:sz w:val="21"/>
              </w:rPr>
            </w:pPr>
          </w:p>
        </w:tc>
        <w:tc>
          <w:tcPr>
            <w:tcW w:w="1418" w:type="dxa"/>
            <w:vAlign w:val="top"/>
          </w:tcPr>
          <w:p w14:paraId="21FC7BD6">
            <w:pPr>
              <w:pStyle w:val="6"/>
              <w:spacing w:before="59" w:line="229" w:lineRule="auto"/>
              <w:ind w:left="401"/>
            </w:pPr>
            <w:r>
              <w:rPr>
                <w:spacing w:val="5"/>
              </w:rPr>
              <w:t>声环境</w:t>
            </w:r>
          </w:p>
        </w:tc>
        <w:tc>
          <w:tcPr>
            <w:tcW w:w="3286" w:type="dxa"/>
            <w:vAlign w:val="top"/>
          </w:tcPr>
          <w:p w14:paraId="20F16DA3">
            <w:pPr>
              <w:spacing w:before="28" w:line="275" w:lineRule="exact"/>
              <w:ind w:left="16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42" w:type="dxa"/>
            <w:vAlign w:val="top"/>
          </w:tcPr>
          <w:p w14:paraId="7F16673F">
            <w:pPr>
              <w:spacing w:before="28" w:line="275" w:lineRule="exact"/>
              <w:ind w:left="1072"/>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Leq</w:t>
            </w:r>
            <w:r>
              <w:rPr>
                <w:rFonts w:ascii="Times New Roman" w:hAnsi="Times New Roman" w:eastAsia="Times New Roman" w:cs="Times New Roman"/>
                <w:spacing w:val="8"/>
                <w:position w:val="3"/>
                <w:sz w:val="20"/>
                <w:szCs w:val="20"/>
              </w:rPr>
              <w:t>[</w:t>
            </w:r>
            <w:r>
              <w:rPr>
                <w:rFonts w:ascii="Times New Roman" w:hAnsi="Times New Roman" w:eastAsia="Times New Roman" w:cs="Times New Roman"/>
                <w:position w:val="3"/>
                <w:sz w:val="20"/>
                <w:szCs w:val="20"/>
              </w:rPr>
              <w:t>dB</w:t>
            </w:r>
            <w:r>
              <w:rPr>
                <w:rFonts w:ascii="Times New Roman" w:hAnsi="Times New Roman" w:eastAsia="Times New Roman" w:cs="Times New Roman"/>
                <w:spacing w:val="8"/>
                <w:position w:val="3"/>
                <w:sz w:val="20"/>
                <w:szCs w:val="20"/>
              </w:rPr>
              <w:t>(A)]</w:t>
            </w:r>
          </w:p>
        </w:tc>
      </w:tr>
      <w:tr w14:paraId="775CE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4" w:type="dxa"/>
            <w:vMerge w:val="continue"/>
            <w:tcBorders>
              <w:top w:val="nil"/>
              <w:bottom w:val="nil"/>
            </w:tcBorders>
            <w:vAlign w:val="top"/>
          </w:tcPr>
          <w:p w14:paraId="76AC8EF2">
            <w:pPr>
              <w:rPr>
                <w:rFonts w:ascii="Arial"/>
                <w:sz w:val="21"/>
              </w:rPr>
            </w:pPr>
          </w:p>
        </w:tc>
        <w:tc>
          <w:tcPr>
            <w:tcW w:w="1418" w:type="dxa"/>
            <w:vAlign w:val="top"/>
          </w:tcPr>
          <w:p w14:paraId="0C17BB9C">
            <w:pPr>
              <w:pStyle w:val="6"/>
              <w:spacing w:before="60" w:line="228" w:lineRule="auto"/>
              <w:ind w:left="188"/>
            </w:pPr>
            <w:r>
              <w:rPr>
                <w:spacing w:val="8"/>
              </w:rPr>
              <w:t>地下水环境</w:t>
            </w:r>
          </w:p>
        </w:tc>
        <w:tc>
          <w:tcPr>
            <w:tcW w:w="3286" w:type="dxa"/>
            <w:vAlign w:val="top"/>
          </w:tcPr>
          <w:p w14:paraId="5DF6BBC8">
            <w:pPr>
              <w:spacing w:before="28" w:line="275" w:lineRule="exact"/>
              <w:ind w:left="16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42" w:type="dxa"/>
            <w:vAlign w:val="top"/>
          </w:tcPr>
          <w:p w14:paraId="46A6B623">
            <w:pPr>
              <w:pStyle w:val="6"/>
              <w:spacing w:before="59" w:line="228" w:lineRule="auto"/>
              <w:ind w:left="1364"/>
            </w:pPr>
            <w:r>
              <w:rPr>
                <w:spacing w:val="4"/>
              </w:rPr>
              <w:t>氨氮</w:t>
            </w:r>
          </w:p>
        </w:tc>
      </w:tr>
      <w:tr w14:paraId="00911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4" w:type="dxa"/>
            <w:vMerge w:val="continue"/>
            <w:tcBorders>
              <w:top w:val="nil"/>
            </w:tcBorders>
            <w:vAlign w:val="top"/>
          </w:tcPr>
          <w:p w14:paraId="09C02706">
            <w:pPr>
              <w:rPr>
                <w:rFonts w:ascii="Arial"/>
                <w:sz w:val="21"/>
              </w:rPr>
            </w:pPr>
          </w:p>
        </w:tc>
        <w:tc>
          <w:tcPr>
            <w:tcW w:w="1418" w:type="dxa"/>
            <w:vAlign w:val="top"/>
          </w:tcPr>
          <w:p w14:paraId="6B9ABDF1">
            <w:pPr>
              <w:pStyle w:val="6"/>
              <w:spacing w:before="59" w:line="229" w:lineRule="auto"/>
              <w:ind w:left="521"/>
            </w:pPr>
            <w:r>
              <w:rPr>
                <w:spacing w:val="-5"/>
              </w:rPr>
              <w:t>固废</w:t>
            </w:r>
          </w:p>
        </w:tc>
        <w:tc>
          <w:tcPr>
            <w:tcW w:w="3286" w:type="dxa"/>
            <w:vAlign w:val="top"/>
          </w:tcPr>
          <w:p w14:paraId="128B974C">
            <w:pPr>
              <w:spacing w:before="28" w:line="275" w:lineRule="exact"/>
              <w:ind w:left="16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42" w:type="dxa"/>
            <w:vAlign w:val="top"/>
          </w:tcPr>
          <w:p w14:paraId="1E4C6E2B">
            <w:pPr>
              <w:pStyle w:val="6"/>
              <w:spacing w:before="59" w:line="229" w:lineRule="auto"/>
              <w:ind w:left="1155"/>
            </w:pPr>
            <w:r>
              <w:rPr>
                <w:spacing w:val="7"/>
              </w:rPr>
              <w:t>施工垃圾</w:t>
            </w:r>
          </w:p>
        </w:tc>
      </w:tr>
      <w:tr w14:paraId="37827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104" w:type="dxa"/>
            <w:vMerge w:val="restart"/>
            <w:tcBorders>
              <w:bottom w:val="nil"/>
            </w:tcBorders>
            <w:vAlign w:val="top"/>
          </w:tcPr>
          <w:p w14:paraId="5C0D46DB">
            <w:pPr>
              <w:spacing w:line="302" w:lineRule="auto"/>
              <w:rPr>
                <w:rFonts w:ascii="Arial"/>
                <w:sz w:val="21"/>
              </w:rPr>
            </w:pPr>
          </w:p>
          <w:p w14:paraId="6A913309">
            <w:pPr>
              <w:spacing w:line="303" w:lineRule="auto"/>
              <w:rPr>
                <w:rFonts w:ascii="Arial"/>
                <w:sz w:val="21"/>
              </w:rPr>
            </w:pPr>
          </w:p>
          <w:p w14:paraId="2D3A0FF7">
            <w:pPr>
              <w:spacing w:line="303" w:lineRule="auto"/>
              <w:rPr>
                <w:rFonts w:ascii="Arial"/>
                <w:sz w:val="21"/>
              </w:rPr>
            </w:pPr>
          </w:p>
          <w:p w14:paraId="2D190A0B">
            <w:pPr>
              <w:pStyle w:val="6"/>
              <w:spacing w:before="65" w:line="229" w:lineRule="auto"/>
              <w:ind w:left="250"/>
            </w:pPr>
            <w:r>
              <w:rPr>
                <w:spacing w:val="4"/>
              </w:rPr>
              <w:t>营运期</w:t>
            </w:r>
          </w:p>
        </w:tc>
        <w:tc>
          <w:tcPr>
            <w:tcW w:w="1418" w:type="dxa"/>
            <w:vAlign w:val="top"/>
          </w:tcPr>
          <w:p w14:paraId="6AE53992">
            <w:pPr>
              <w:pStyle w:val="6"/>
              <w:spacing w:before="256" w:line="229" w:lineRule="auto"/>
              <w:ind w:left="294"/>
            </w:pPr>
            <w:r>
              <w:rPr>
                <w:spacing w:val="6"/>
              </w:rPr>
              <w:t>大气环境</w:t>
            </w:r>
          </w:p>
        </w:tc>
        <w:tc>
          <w:tcPr>
            <w:tcW w:w="3286" w:type="dxa"/>
            <w:vAlign w:val="top"/>
          </w:tcPr>
          <w:p w14:paraId="5953CA2F">
            <w:pPr>
              <w:pStyle w:val="6"/>
              <w:spacing w:before="122" w:line="207" w:lineRule="auto"/>
              <w:ind w:left="381" w:right="176" w:hanging="231"/>
            </w:pPr>
            <w:r>
              <w:rPr>
                <w:rFonts w:ascii="Times New Roman" w:hAnsi="Times New Roman" w:eastAsia="Times New Roman" w:cs="Times New Roman"/>
              </w:rPr>
              <w:t>SO</w:t>
            </w:r>
            <w:r>
              <w:rPr>
                <w:rFonts w:ascii="Times New Roman" w:hAnsi="Times New Roman" w:eastAsia="Times New Roman" w:cs="Times New Roman"/>
                <w:spacing w:val="1"/>
                <w:sz w:val="13"/>
                <w:szCs w:val="13"/>
              </w:rPr>
              <w:t>2</w:t>
            </w:r>
            <w:r>
              <w:rPr>
                <w:rFonts w:ascii="Times New Roman" w:hAnsi="Times New Roman" w:eastAsia="Times New Roman" w:cs="Times New Roman"/>
                <w:spacing w:val="-9"/>
                <w:sz w:val="13"/>
                <w:szCs w:val="13"/>
              </w:rPr>
              <w:t xml:space="preserve"> </w:t>
            </w:r>
            <w:r>
              <w:rPr>
                <w:spacing w:val="1"/>
              </w:rPr>
              <w:t>、</w:t>
            </w:r>
            <w:r>
              <w:rPr>
                <w:rFonts w:ascii="Times New Roman" w:hAnsi="Times New Roman" w:eastAsia="Times New Roman" w:cs="Times New Roman"/>
              </w:rPr>
              <w:t>NO</w:t>
            </w:r>
            <w:r>
              <w:rPr>
                <w:rFonts w:ascii="Times New Roman" w:hAnsi="Times New Roman" w:eastAsia="Times New Roman" w:cs="Times New Roman"/>
                <w:spacing w:val="1"/>
                <w:sz w:val="13"/>
                <w:szCs w:val="13"/>
              </w:rPr>
              <w:t>2</w:t>
            </w:r>
            <w:r>
              <w:rPr>
                <w:rFonts w:ascii="Times New Roman" w:hAnsi="Times New Roman" w:eastAsia="Times New Roman" w:cs="Times New Roman"/>
                <w:spacing w:val="-9"/>
                <w:sz w:val="13"/>
                <w:szCs w:val="13"/>
              </w:rPr>
              <w:t xml:space="preserve"> </w:t>
            </w:r>
            <w:r>
              <w:rPr>
                <w:spacing w:val="1"/>
              </w:rPr>
              <w:t>、</w:t>
            </w:r>
            <w:r>
              <w:rPr>
                <w:rFonts w:ascii="Times New Roman" w:hAnsi="Times New Roman" w:eastAsia="Times New Roman" w:cs="Times New Roman"/>
              </w:rPr>
              <w:t>PM</w:t>
            </w:r>
            <w:r>
              <w:rPr>
                <w:rFonts w:ascii="Times New Roman" w:hAnsi="Times New Roman" w:eastAsia="Times New Roman" w:cs="Times New Roman"/>
                <w:spacing w:val="1"/>
                <w:sz w:val="13"/>
                <w:szCs w:val="13"/>
              </w:rPr>
              <w:t>10</w:t>
            </w:r>
            <w:r>
              <w:rPr>
                <w:rFonts w:ascii="Times New Roman" w:hAnsi="Times New Roman" w:eastAsia="Times New Roman" w:cs="Times New Roman"/>
                <w:spacing w:val="-14"/>
                <w:sz w:val="13"/>
                <w:szCs w:val="13"/>
              </w:rPr>
              <w:t xml:space="preserve"> </w:t>
            </w:r>
            <w:r>
              <w:rPr>
                <w:spacing w:val="1"/>
              </w:rPr>
              <w:t>、</w:t>
            </w:r>
            <w:r>
              <w:rPr>
                <w:rFonts w:ascii="Times New Roman" w:hAnsi="Times New Roman" w:eastAsia="Times New Roman" w:cs="Times New Roman"/>
              </w:rPr>
              <w:t>PM</w:t>
            </w:r>
            <w:r>
              <w:rPr>
                <w:rFonts w:ascii="Times New Roman" w:hAnsi="Times New Roman" w:eastAsia="Times New Roman" w:cs="Times New Roman"/>
                <w:spacing w:val="1"/>
              </w:rPr>
              <w:t xml:space="preserve"> </w:t>
            </w:r>
            <w:r>
              <w:rPr>
                <w:rFonts w:ascii="Times New Roman" w:hAnsi="Times New Roman" w:eastAsia="Times New Roman" w:cs="Times New Roman"/>
                <w:spacing w:val="1"/>
                <w:sz w:val="13"/>
                <w:szCs w:val="13"/>
              </w:rPr>
              <w:t>2.5</w:t>
            </w:r>
            <w:r>
              <w:rPr>
                <w:rFonts w:ascii="微软雅黑" w:hAnsi="微软雅黑" w:eastAsia="微软雅黑" w:cs="微软雅黑"/>
                <w:spacing w:val="1"/>
              </w:rPr>
              <w:t>、</w:t>
            </w:r>
            <w:r>
              <w:rPr>
                <w:rFonts w:ascii="Times New Roman" w:hAnsi="Times New Roman" w:eastAsia="Times New Roman" w:cs="Times New Roman"/>
              </w:rPr>
              <w:t>CO</w:t>
            </w:r>
            <w:r>
              <w:rPr>
                <w:rFonts w:ascii="微软雅黑" w:hAnsi="微软雅黑" w:eastAsia="微软雅黑" w:cs="微软雅黑"/>
                <w:spacing w:val="1"/>
              </w:rPr>
              <w:t>、</w:t>
            </w:r>
            <w:r>
              <w:rPr>
                <w:rFonts w:ascii="微软雅黑" w:hAnsi="微软雅黑" w:eastAsia="微软雅黑" w:cs="微软雅黑"/>
              </w:rPr>
              <w:t xml:space="preserve"> </w:t>
            </w:r>
            <w:r>
              <w:rPr>
                <w:rFonts w:ascii="Times New Roman" w:hAnsi="Times New Roman" w:eastAsia="Times New Roman" w:cs="Times New Roman"/>
                <w:spacing w:val="8"/>
              </w:rPr>
              <w:t>O</w:t>
            </w:r>
            <w:r>
              <w:rPr>
                <w:rFonts w:ascii="Times New Roman" w:hAnsi="Times New Roman" w:eastAsia="Times New Roman" w:cs="Times New Roman"/>
                <w:spacing w:val="8"/>
                <w:position w:val="-1"/>
                <w:sz w:val="13"/>
                <w:szCs w:val="13"/>
              </w:rPr>
              <w:t>3</w:t>
            </w:r>
            <w:r>
              <w:rPr>
                <w:rFonts w:ascii="微软雅黑" w:hAnsi="微软雅黑" w:eastAsia="微软雅黑" w:cs="微软雅黑"/>
                <w:spacing w:val="8"/>
              </w:rPr>
              <w:t>、</w:t>
            </w:r>
            <w:r>
              <w:rPr>
                <w:spacing w:val="8"/>
              </w:rPr>
              <w:t>硫化氢、氨、臭气浓度</w:t>
            </w:r>
          </w:p>
        </w:tc>
        <w:tc>
          <w:tcPr>
            <w:tcW w:w="3142" w:type="dxa"/>
            <w:vAlign w:val="top"/>
          </w:tcPr>
          <w:p w14:paraId="1167EAC0">
            <w:pPr>
              <w:pStyle w:val="6"/>
              <w:spacing w:before="119" w:line="276" w:lineRule="exact"/>
              <w:ind w:left="147"/>
            </w:pPr>
            <w:r>
              <w:rPr>
                <w:spacing w:val="9"/>
                <w:position w:val="1"/>
              </w:rPr>
              <w:t>硫化氢、氨、臭气浓度、</w:t>
            </w:r>
            <w:r>
              <w:rPr>
                <w:rFonts w:ascii="Times New Roman" w:hAnsi="Times New Roman" w:eastAsia="Times New Roman" w:cs="Times New Roman"/>
                <w:position w:val="1"/>
              </w:rPr>
              <w:t>SO</w:t>
            </w:r>
            <w:r>
              <w:rPr>
                <w:rFonts w:ascii="Times New Roman" w:hAnsi="Times New Roman" w:eastAsia="Times New Roman" w:cs="Times New Roman"/>
                <w:spacing w:val="9"/>
                <w:sz w:val="13"/>
                <w:szCs w:val="13"/>
              </w:rPr>
              <w:t>2</w:t>
            </w:r>
            <w:r>
              <w:rPr>
                <w:spacing w:val="9"/>
                <w:position w:val="1"/>
              </w:rPr>
              <w:t>、</w:t>
            </w:r>
          </w:p>
          <w:p w14:paraId="406C2C40">
            <w:pPr>
              <w:pStyle w:val="6"/>
              <w:spacing w:before="33" w:line="190" w:lineRule="auto"/>
              <w:ind w:left="1078"/>
              <w:rPr>
                <w:rFonts w:ascii="Times New Roman" w:hAnsi="Times New Roman" w:eastAsia="Times New Roman" w:cs="Times New Roman"/>
              </w:rPr>
            </w:pPr>
            <w:r>
              <w:rPr>
                <w:rFonts w:ascii="Times New Roman" w:hAnsi="Times New Roman" w:eastAsia="Times New Roman" w:cs="Times New Roman"/>
              </w:rPr>
              <w:t>NOx</w:t>
            </w:r>
            <w:r>
              <w:rPr>
                <w:rFonts w:ascii="Times New Roman" w:hAnsi="Times New Roman" w:eastAsia="Times New Roman" w:cs="Times New Roman"/>
                <w:spacing w:val="-27"/>
              </w:rPr>
              <w:t xml:space="preserve"> </w:t>
            </w:r>
            <w:r>
              <w:rPr>
                <w:spacing w:val="22"/>
              </w:rPr>
              <w:t>、</w:t>
            </w:r>
            <w:r>
              <w:rPr>
                <w:rFonts w:ascii="Times New Roman" w:hAnsi="Times New Roman" w:eastAsia="Times New Roman" w:cs="Times New Roman"/>
              </w:rPr>
              <w:t>TSP</w:t>
            </w:r>
          </w:p>
        </w:tc>
      </w:tr>
      <w:tr w14:paraId="127D9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04" w:type="dxa"/>
            <w:vMerge w:val="continue"/>
            <w:tcBorders>
              <w:top w:val="nil"/>
              <w:bottom w:val="nil"/>
            </w:tcBorders>
            <w:vAlign w:val="top"/>
          </w:tcPr>
          <w:p w14:paraId="08208A00">
            <w:pPr>
              <w:rPr>
                <w:rFonts w:ascii="Arial"/>
                <w:sz w:val="21"/>
              </w:rPr>
            </w:pPr>
          </w:p>
        </w:tc>
        <w:tc>
          <w:tcPr>
            <w:tcW w:w="1418" w:type="dxa"/>
            <w:vAlign w:val="top"/>
          </w:tcPr>
          <w:p w14:paraId="2BFC1A8E">
            <w:pPr>
              <w:pStyle w:val="6"/>
              <w:spacing w:before="36" w:line="213" w:lineRule="auto"/>
              <w:ind w:left="401"/>
            </w:pPr>
            <w:r>
              <w:rPr>
                <w:spacing w:val="5"/>
              </w:rPr>
              <w:t>声环境</w:t>
            </w:r>
          </w:p>
        </w:tc>
        <w:tc>
          <w:tcPr>
            <w:tcW w:w="3286" w:type="dxa"/>
            <w:vAlign w:val="top"/>
          </w:tcPr>
          <w:p w14:paraId="00824152">
            <w:pPr>
              <w:spacing w:before="5" w:line="262" w:lineRule="exact"/>
              <w:ind w:left="1145"/>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Leq</w:t>
            </w:r>
            <w:r>
              <w:rPr>
                <w:rFonts w:ascii="Times New Roman" w:hAnsi="Times New Roman" w:eastAsia="Times New Roman" w:cs="Times New Roman"/>
                <w:spacing w:val="8"/>
                <w:position w:val="3"/>
                <w:sz w:val="20"/>
                <w:szCs w:val="20"/>
              </w:rPr>
              <w:t>[</w:t>
            </w:r>
            <w:r>
              <w:rPr>
                <w:rFonts w:ascii="Times New Roman" w:hAnsi="Times New Roman" w:eastAsia="Times New Roman" w:cs="Times New Roman"/>
                <w:position w:val="3"/>
                <w:sz w:val="20"/>
                <w:szCs w:val="20"/>
              </w:rPr>
              <w:t>dB</w:t>
            </w:r>
            <w:r>
              <w:rPr>
                <w:rFonts w:ascii="Times New Roman" w:hAnsi="Times New Roman" w:eastAsia="Times New Roman" w:cs="Times New Roman"/>
                <w:spacing w:val="8"/>
                <w:position w:val="3"/>
                <w:sz w:val="20"/>
                <w:szCs w:val="20"/>
              </w:rPr>
              <w:t>(A)]</w:t>
            </w:r>
          </w:p>
        </w:tc>
        <w:tc>
          <w:tcPr>
            <w:tcW w:w="3142" w:type="dxa"/>
            <w:vAlign w:val="top"/>
          </w:tcPr>
          <w:p w14:paraId="11F898AA">
            <w:pPr>
              <w:spacing w:before="5" w:line="262" w:lineRule="exact"/>
              <w:ind w:left="1072"/>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Leq</w:t>
            </w:r>
            <w:r>
              <w:rPr>
                <w:rFonts w:ascii="Times New Roman" w:hAnsi="Times New Roman" w:eastAsia="Times New Roman" w:cs="Times New Roman"/>
                <w:spacing w:val="8"/>
                <w:position w:val="3"/>
                <w:sz w:val="20"/>
                <w:szCs w:val="20"/>
              </w:rPr>
              <w:t>[</w:t>
            </w:r>
            <w:r>
              <w:rPr>
                <w:rFonts w:ascii="Times New Roman" w:hAnsi="Times New Roman" w:eastAsia="Times New Roman" w:cs="Times New Roman"/>
                <w:position w:val="3"/>
                <w:sz w:val="20"/>
                <w:szCs w:val="20"/>
              </w:rPr>
              <w:t>dB</w:t>
            </w:r>
            <w:r>
              <w:rPr>
                <w:rFonts w:ascii="Times New Roman" w:hAnsi="Times New Roman" w:eastAsia="Times New Roman" w:cs="Times New Roman"/>
                <w:spacing w:val="8"/>
                <w:position w:val="3"/>
                <w:sz w:val="20"/>
                <w:szCs w:val="20"/>
              </w:rPr>
              <w:t>(A)]</w:t>
            </w:r>
          </w:p>
        </w:tc>
      </w:tr>
      <w:tr w14:paraId="43455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104" w:type="dxa"/>
            <w:vMerge w:val="continue"/>
            <w:tcBorders>
              <w:top w:val="nil"/>
              <w:bottom w:val="nil"/>
            </w:tcBorders>
            <w:vAlign w:val="top"/>
          </w:tcPr>
          <w:p w14:paraId="176AEA7B">
            <w:pPr>
              <w:rPr>
                <w:rFonts w:ascii="Arial"/>
                <w:sz w:val="21"/>
              </w:rPr>
            </w:pPr>
          </w:p>
        </w:tc>
        <w:tc>
          <w:tcPr>
            <w:tcW w:w="1418" w:type="dxa"/>
            <w:vAlign w:val="top"/>
          </w:tcPr>
          <w:p w14:paraId="6D1BDBA2">
            <w:pPr>
              <w:rPr>
                <w:rFonts w:ascii="Arial"/>
                <w:sz w:val="21"/>
              </w:rPr>
            </w:pPr>
          </w:p>
          <w:p w14:paraId="3598EAB6">
            <w:pPr>
              <w:pStyle w:val="6"/>
              <w:spacing w:before="65" w:line="228" w:lineRule="auto"/>
              <w:ind w:left="188"/>
            </w:pPr>
            <w:r>
              <w:rPr>
                <w:spacing w:val="8"/>
              </w:rPr>
              <w:t>地下水环境</w:t>
            </w:r>
          </w:p>
        </w:tc>
        <w:tc>
          <w:tcPr>
            <w:tcW w:w="3286" w:type="dxa"/>
            <w:vAlign w:val="top"/>
          </w:tcPr>
          <w:p w14:paraId="771E89C1">
            <w:pPr>
              <w:pStyle w:val="6"/>
              <w:spacing w:before="35" w:line="221" w:lineRule="auto"/>
              <w:ind w:left="146"/>
            </w:pPr>
            <w:r>
              <w:rPr>
                <w:rFonts w:ascii="Times New Roman" w:hAnsi="Times New Roman" w:eastAsia="Times New Roman" w:cs="Times New Roman"/>
              </w:rPr>
              <w:t>pH</w:t>
            </w:r>
            <w:r>
              <w:rPr>
                <w:rFonts w:ascii="Times New Roman" w:hAnsi="Times New Roman" w:eastAsia="Times New Roman" w:cs="Times New Roman"/>
                <w:spacing w:val="-25"/>
              </w:rPr>
              <w:t xml:space="preserve"> </w:t>
            </w:r>
            <w:r>
              <w:rPr>
                <w:spacing w:val="9"/>
              </w:rPr>
              <w:t>、氨氮、硝酸盐、总硬度、溶</w:t>
            </w:r>
          </w:p>
          <w:p w14:paraId="4E72008F">
            <w:pPr>
              <w:pStyle w:val="6"/>
              <w:spacing w:before="32" w:line="228" w:lineRule="auto"/>
              <w:ind w:left="111"/>
            </w:pPr>
            <w:r>
              <w:rPr>
                <w:spacing w:val="4"/>
              </w:rPr>
              <w:t>解性总固体、高锰酸钾指数、总大</w:t>
            </w:r>
          </w:p>
          <w:p w14:paraId="607FEF44">
            <w:pPr>
              <w:pStyle w:val="6"/>
              <w:spacing w:before="26" w:line="214" w:lineRule="auto"/>
              <w:ind w:left="1333"/>
            </w:pPr>
            <w:r>
              <w:rPr>
                <w:spacing w:val="7"/>
              </w:rPr>
              <w:t>肠杆菌</w:t>
            </w:r>
          </w:p>
        </w:tc>
        <w:tc>
          <w:tcPr>
            <w:tcW w:w="3142" w:type="dxa"/>
            <w:vAlign w:val="top"/>
          </w:tcPr>
          <w:p w14:paraId="74862C7B">
            <w:pPr>
              <w:spacing w:before="275" w:line="274" w:lineRule="exact"/>
              <w:ind w:left="15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B580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04" w:type="dxa"/>
            <w:vMerge w:val="continue"/>
            <w:tcBorders>
              <w:top w:val="nil"/>
            </w:tcBorders>
            <w:vAlign w:val="top"/>
          </w:tcPr>
          <w:p w14:paraId="1A079C06">
            <w:pPr>
              <w:rPr>
                <w:rFonts w:ascii="Arial"/>
                <w:sz w:val="21"/>
              </w:rPr>
            </w:pPr>
          </w:p>
        </w:tc>
        <w:tc>
          <w:tcPr>
            <w:tcW w:w="1418" w:type="dxa"/>
            <w:vAlign w:val="top"/>
          </w:tcPr>
          <w:p w14:paraId="32BD989D">
            <w:pPr>
              <w:pStyle w:val="6"/>
              <w:spacing w:before="62" w:line="229" w:lineRule="auto"/>
              <w:ind w:left="521"/>
            </w:pPr>
            <w:r>
              <w:rPr>
                <w:spacing w:val="-5"/>
              </w:rPr>
              <w:t>固废</w:t>
            </w:r>
          </w:p>
        </w:tc>
        <w:tc>
          <w:tcPr>
            <w:tcW w:w="3286" w:type="dxa"/>
            <w:vAlign w:val="top"/>
          </w:tcPr>
          <w:p w14:paraId="18FD2564">
            <w:pPr>
              <w:spacing w:before="31" w:line="274" w:lineRule="exact"/>
              <w:ind w:left="16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42" w:type="dxa"/>
            <w:vAlign w:val="top"/>
          </w:tcPr>
          <w:p w14:paraId="0745F9CF">
            <w:pPr>
              <w:pStyle w:val="6"/>
              <w:spacing w:before="62" w:line="229" w:lineRule="auto"/>
              <w:ind w:left="116"/>
            </w:pPr>
            <w:r>
              <w:rPr>
                <w:spacing w:val="7"/>
              </w:rPr>
              <w:t>生活垃圾、医疗废物、病死猪尸</w:t>
            </w:r>
          </w:p>
        </w:tc>
      </w:tr>
    </w:tbl>
    <w:p w14:paraId="69C9F909">
      <w:pPr>
        <w:pStyle w:val="2"/>
        <w:spacing w:line="103" w:lineRule="exact"/>
        <w:rPr>
          <w:sz w:val="8"/>
        </w:rPr>
      </w:pPr>
    </w:p>
    <w:p w14:paraId="430C898C">
      <w:pPr>
        <w:spacing w:line="103" w:lineRule="exact"/>
        <w:rPr>
          <w:sz w:val="8"/>
          <w:szCs w:val="8"/>
        </w:rPr>
        <w:sectPr>
          <w:footerReference r:id="rId53" w:type="default"/>
          <w:pgSz w:w="11906" w:h="16839"/>
          <w:pgMar w:top="1418" w:right="1475" w:bottom="1485" w:left="1475" w:header="0" w:footer="1249" w:gutter="0"/>
          <w:cols w:space="720" w:num="1"/>
        </w:sectPr>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1418"/>
        <w:gridCol w:w="3286"/>
        <w:gridCol w:w="3142"/>
      </w:tblGrid>
      <w:tr w14:paraId="51BC9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04" w:type="dxa"/>
            <w:vAlign w:val="top"/>
          </w:tcPr>
          <w:p w14:paraId="6651BABC">
            <w:pPr>
              <w:rPr>
                <w:rFonts w:ascii="Arial"/>
                <w:sz w:val="21"/>
              </w:rPr>
            </w:pPr>
          </w:p>
        </w:tc>
        <w:tc>
          <w:tcPr>
            <w:tcW w:w="1418" w:type="dxa"/>
            <w:vAlign w:val="top"/>
          </w:tcPr>
          <w:p w14:paraId="78C3B8B2">
            <w:pPr>
              <w:rPr>
                <w:rFonts w:ascii="Arial"/>
                <w:sz w:val="21"/>
              </w:rPr>
            </w:pPr>
          </w:p>
        </w:tc>
        <w:tc>
          <w:tcPr>
            <w:tcW w:w="3286" w:type="dxa"/>
            <w:vAlign w:val="top"/>
          </w:tcPr>
          <w:p w14:paraId="094E2BA2">
            <w:pPr>
              <w:rPr>
                <w:rFonts w:ascii="Arial"/>
                <w:sz w:val="21"/>
              </w:rPr>
            </w:pPr>
          </w:p>
        </w:tc>
        <w:tc>
          <w:tcPr>
            <w:tcW w:w="3142" w:type="dxa"/>
            <w:vAlign w:val="top"/>
          </w:tcPr>
          <w:p w14:paraId="0046F8BC">
            <w:pPr>
              <w:pStyle w:val="6"/>
              <w:spacing w:before="64" w:line="228" w:lineRule="auto"/>
              <w:ind w:left="524"/>
            </w:pPr>
            <w:r>
              <w:rPr>
                <w:spacing w:val="8"/>
              </w:rPr>
              <w:t>体、粪便、废包装物等</w:t>
            </w:r>
          </w:p>
        </w:tc>
      </w:tr>
    </w:tbl>
    <w:p w14:paraId="716AB5CD">
      <w:pPr>
        <w:pStyle w:val="2"/>
        <w:spacing w:line="324" w:lineRule="auto"/>
      </w:pPr>
    </w:p>
    <w:p w14:paraId="35F63646">
      <w:pPr>
        <w:pStyle w:val="2"/>
        <w:spacing w:line="325" w:lineRule="auto"/>
      </w:pPr>
    </w:p>
    <w:p w14:paraId="2BEB5F8E">
      <w:pPr>
        <w:spacing w:before="101" w:line="224" w:lineRule="auto"/>
        <w:ind w:left="121"/>
        <w:outlineLvl w:val="1"/>
        <w:rPr>
          <w:rFonts w:ascii="宋体" w:hAnsi="宋体" w:eastAsia="宋体" w:cs="宋体"/>
          <w:sz w:val="31"/>
          <w:szCs w:val="31"/>
        </w:rPr>
      </w:pPr>
      <w:bookmarkStart w:id="16" w:name="bookmark15"/>
      <w:bookmarkEnd w:id="16"/>
      <w:r>
        <w:rPr>
          <w:rFonts w:ascii="Times New Roman" w:hAnsi="Times New Roman" w:eastAsia="Times New Roman" w:cs="Times New Roman"/>
          <w:b/>
          <w:bCs/>
          <w:spacing w:val="5"/>
          <w:sz w:val="31"/>
          <w:szCs w:val="31"/>
        </w:rPr>
        <w:t>2.7</w:t>
      </w:r>
      <w:r>
        <w:rPr>
          <w:rFonts w:ascii="宋体" w:hAnsi="宋体" w:eastAsia="宋体" w:cs="宋体"/>
          <w:b/>
          <w:bCs/>
          <w:spacing w:val="5"/>
          <w:sz w:val="31"/>
          <w:szCs w:val="31"/>
        </w:rPr>
        <w:t>评价内容及重点</w:t>
      </w:r>
    </w:p>
    <w:p w14:paraId="2365BE5B">
      <w:pPr>
        <w:pStyle w:val="2"/>
        <w:spacing w:line="415" w:lineRule="auto"/>
      </w:pPr>
    </w:p>
    <w:p w14:paraId="48E5A20E">
      <w:pPr>
        <w:spacing w:before="75" w:line="227" w:lineRule="auto"/>
        <w:ind w:left="119"/>
        <w:outlineLvl w:val="2"/>
        <w:rPr>
          <w:rFonts w:ascii="宋体" w:hAnsi="宋体" w:eastAsia="宋体" w:cs="宋体"/>
          <w:sz w:val="23"/>
          <w:szCs w:val="23"/>
        </w:rPr>
      </w:pPr>
      <w:r>
        <w:rPr>
          <w:rFonts w:ascii="Times New Roman" w:hAnsi="Times New Roman" w:eastAsia="Times New Roman" w:cs="Times New Roman"/>
          <w:b/>
          <w:bCs/>
          <w:spacing w:val="5"/>
          <w:sz w:val="23"/>
          <w:szCs w:val="23"/>
        </w:rPr>
        <w:t>2.7.1</w:t>
      </w:r>
      <w:r>
        <w:rPr>
          <w:rFonts w:ascii="宋体" w:hAnsi="宋体" w:eastAsia="宋体" w:cs="宋体"/>
          <w:b/>
          <w:bCs/>
          <w:spacing w:val="5"/>
          <w:sz w:val="23"/>
          <w:szCs w:val="23"/>
        </w:rPr>
        <w:t>评价内容</w:t>
      </w:r>
    </w:p>
    <w:p w14:paraId="4615523D">
      <w:pPr>
        <w:spacing w:before="169" w:line="324" w:lineRule="auto"/>
        <w:ind w:left="123" w:right="113" w:firstLine="497"/>
        <w:rPr>
          <w:rFonts w:ascii="宋体" w:hAnsi="宋体" w:eastAsia="宋体" w:cs="宋体"/>
          <w:sz w:val="23"/>
          <w:szCs w:val="23"/>
        </w:rPr>
      </w:pPr>
      <w:r>
        <w:rPr>
          <w:rFonts w:ascii="Times New Roman" w:hAnsi="Times New Roman" w:eastAsia="Times New Roman" w:cs="Times New Roman"/>
          <w:spacing w:val="7"/>
          <w:sz w:val="23"/>
          <w:szCs w:val="23"/>
        </w:rPr>
        <w:t>1</w:t>
      </w:r>
      <w:r>
        <w:rPr>
          <w:rFonts w:ascii="Times New Roman" w:hAnsi="Times New Roman" w:eastAsia="Times New Roman" w:cs="Times New Roman"/>
          <w:spacing w:val="-18"/>
          <w:sz w:val="23"/>
          <w:szCs w:val="23"/>
        </w:rPr>
        <w:t xml:space="preserve"> </w:t>
      </w:r>
      <w:r>
        <w:rPr>
          <w:rFonts w:ascii="宋体" w:hAnsi="宋体" w:eastAsia="宋体" w:cs="宋体"/>
          <w:spacing w:val="7"/>
          <w:sz w:val="23"/>
          <w:szCs w:val="23"/>
        </w:rPr>
        <w:t>、项目环境保护目标和环境敏感点的基本情况，收集相关监测资料，分析并评</w:t>
      </w:r>
      <w:r>
        <w:rPr>
          <w:rFonts w:ascii="宋体" w:hAnsi="宋体" w:eastAsia="宋体" w:cs="宋体"/>
          <w:sz w:val="23"/>
          <w:szCs w:val="23"/>
        </w:rPr>
        <w:t xml:space="preserve"> </w:t>
      </w:r>
      <w:r>
        <w:rPr>
          <w:rFonts w:ascii="宋体" w:hAnsi="宋体" w:eastAsia="宋体" w:cs="宋体"/>
          <w:spacing w:val="4"/>
          <w:sz w:val="23"/>
          <w:szCs w:val="23"/>
        </w:rPr>
        <w:t>价该区域的环境质量现状；</w:t>
      </w:r>
    </w:p>
    <w:p w14:paraId="166352E6">
      <w:pPr>
        <w:spacing w:before="168" w:line="348" w:lineRule="auto"/>
        <w:ind w:left="122" w:right="113" w:firstLine="475"/>
        <w:rPr>
          <w:rFonts w:ascii="宋体" w:hAnsi="宋体" w:eastAsia="宋体" w:cs="宋体"/>
          <w:sz w:val="23"/>
          <w:szCs w:val="23"/>
        </w:rPr>
      </w:pPr>
      <w:r>
        <w:rPr>
          <w:rFonts w:ascii="Times New Roman" w:hAnsi="Times New Roman" w:eastAsia="Times New Roman" w:cs="Times New Roman"/>
          <w:spacing w:val="8"/>
          <w:sz w:val="23"/>
          <w:szCs w:val="23"/>
        </w:rPr>
        <w:t>2</w:t>
      </w:r>
      <w:r>
        <w:rPr>
          <w:rFonts w:ascii="Times New Roman" w:hAnsi="Times New Roman" w:eastAsia="Times New Roman" w:cs="Times New Roman"/>
          <w:spacing w:val="-30"/>
          <w:sz w:val="23"/>
          <w:szCs w:val="23"/>
        </w:rPr>
        <w:t xml:space="preserve"> </w:t>
      </w:r>
      <w:r>
        <w:rPr>
          <w:rFonts w:ascii="宋体" w:hAnsi="宋体" w:eastAsia="宋体" w:cs="宋体"/>
          <w:spacing w:val="8"/>
          <w:sz w:val="23"/>
          <w:szCs w:val="23"/>
        </w:rPr>
        <w:t>、目的建设工程和污染源进行分析，确定本项目施工期和营运期各类污染物的</w:t>
      </w:r>
      <w:r>
        <w:rPr>
          <w:rFonts w:ascii="宋体" w:hAnsi="宋体" w:eastAsia="宋体" w:cs="宋体"/>
          <w:sz w:val="23"/>
          <w:szCs w:val="23"/>
        </w:rPr>
        <w:t xml:space="preserve"> </w:t>
      </w:r>
      <w:r>
        <w:rPr>
          <w:rFonts w:ascii="宋体" w:hAnsi="宋体" w:eastAsia="宋体" w:cs="宋体"/>
          <w:spacing w:val="12"/>
          <w:sz w:val="23"/>
          <w:szCs w:val="23"/>
        </w:rPr>
        <w:t>排放源强，预测分析本项目建设过程和建成投产后对项目周围的大气、水、声环境</w:t>
      </w:r>
      <w:r>
        <w:rPr>
          <w:rFonts w:ascii="宋体" w:hAnsi="宋体" w:eastAsia="宋体" w:cs="宋体"/>
          <w:spacing w:val="6"/>
          <w:sz w:val="23"/>
          <w:szCs w:val="23"/>
        </w:rPr>
        <w:t xml:space="preserve"> </w:t>
      </w:r>
      <w:r>
        <w:rPr>
          <w:rFonts w:ascii="宋体" w:hAnsi="宋体" w:eastAsia="宋体" w:cs="宋体"/>
          <w:spacing w:val="2"/>
          <w:sz w:val="23"/>
          <w:szCs w:val="23"/>
        </w:rPr>
        <w:t>的影响程度和范围；</w:t>
      </w:r>
    </w:p>
    <w:p w14:paraId="32BC9F0B">
      <w:pPr>
        <w:spacing w:before="168" w:line="325" w:lineRule="auto"/>
        <w:ind w:left="122" w:right="110" w:firstLine="480"/>
        <w:rPr>
          <w:rFonts w:ascii="宋体" w:hAnsi="宋体" w:eastAsia="宋体" w:cs="宋体"/>
          <w:sz w:val="23"/>
          <w:szCs w:val="23"/>
        </w:rPr>
      </w:pPr>
      <w:r>
        <w:rPr>
          <w:rFonts w:ascii="Times New Roman" w:hAnsi="Times New Roman" w:eastAsia="Times New Roman" w:cs="Times New Roman"/>
          <w:spacing w:val="8"/>
          <w:sz w:val="23"/>
          <w:szCs w:val="23"/>
        </w:rPr>
        <w:t>3</w:t>
      </w:r>
      <w:r>
        <w:rPr>
          <w:rFonts w:ascii="Times New Roman" w:hAnsi="Times New Roman" w:eastAsia="Times New Roman" w:cs="Times New Roman"/>
          <w:spacing w:val="-32"/>
          <w:sz w:val="23"/>
          <w:szCs w:val="23"/>
        </w:rPr>
        <w:t xml:space="preserve"> </w:t>
      </w:r>
      <w:r>
        <w:rPr>
          <w:rFonts w:ascii="宋体" w:hAnsi="宋体" w:eastAsia="宋体" w:cs="宋体"/>
          <w:spacing w:val="8"/>
          <w:sz w:val="23"/>
          <w:szCs w:val="23"/>
        </w:rPr>
        <w:t>、外环境现有及潜在的污染源，分析其对本项目的影响特征、程度，并提出相</w:t>
      </w:r>
      <w:r>
        <w:rPr>
          <w:rFonts w:ascii="宋体" w:hAnsi="宋体" w:eastAsia="宋体" w:cs="宋体"/>
          <w:sz w:val="23"/>
          <w:szCs w:val="23"/>
        </w:rPr>
        <w:t xml:space="preserve"> </w:t>
      </w:r>
      <w:r>
        <w:rPr>
          <w:rFonts w:ascii="宋体" w:hAnsi="宋体" w:eastAsia="宋体" w:cs="宋体"/>
          <w:spacing w:val="3"/>
          <w:sz w:val="23"/>
          <w:szCs w:val="23"/>
        </w:rPr>
        <w:t>应的减缓措施。</w:t>
      </w:r>
    </w:p>
    <w:p w14:paraId="79483F02">
      <w:pPr>
        <w:spacing w:before="168" w:line="314" w:lineRule="exact"/>
        <w:ind w:left="597"/>
        <w:rPr>
          <w:rFonts w:ascii="宋体" w:hAnsi="宋体" w:eastAsia="宋体" w:cs="宋体"/>
          <w:sz w:val="23"/>
          <w:szCs w:val="23"/>
        </w:rPr>
      </w:pPr>
      <w:r>
        <w:rPr>
          <w:rFonts w:ascii="Times New Roman" w:hAnsi="Times New Roman" w:eastAsia="Times New Roman" w:cs="Times New Roman"/>
          <w:spacing w:val="7"/>
          <w:position w:val="1"/>
          <w:sz w:val="23"/>
          <w:szCs w:val="23"/>
        </w:rPr>
        <w:t>4</w:t>
      </w:r>
      <w:r>
        <w:rPr>
          <w:rFonts w:ascii="Times New Roman" w:hAnsi="Times New Roman" w:eastAsia="Times New Roman" w:cs="Times New Roman"/>
          <w:spacing w:val="-14"/>
          <w:position w:val="1"/>
          <w:sz w:val="23"/>
          <w:szCs w:val="23"/>
        </w:rPr>
        <w:t xml:space="preserve"> </w:t>
      </w:r>
      <w:r>
        <w:rPr>
          <w:rFonts w:ascii="宋体" w:hAnsi="宋体" w:eastAsia="宋体" w:cs="宋体"/>
          <w:spacing w:val="7"/>
          <w:position w:val="1"/>
          <w:sz w:val="23"/>
          <w:szCs w:val="23"/>
        </w:rPr>
        <w:t>、项目污染治理方案及拟采用的环保措施进行经济技术可行性论证。</w:t>
      </w:r>
    </w:p>
    <w:p w14:paraId="19C7BA01">
      <w:pPr>
        <w:spacing w:before="210" w:line="227" w:lineRule="auto"/>
        <w:ind w:left="119"/>
        <w:outlineLvl w:val="2"/>
        <w:rPr>
          <w:rFonts w:ascii="宋体" w:hAnsi="宋体" w:eastAsia="宋体" w:cs="宋体"/>
          <w:sz w:val="23"/>
          <w:szCs w:val="23"/>
        </w:rPr>
      </w:pPr>
      <w:r>
        <w:rPr>
          <w:rFonts w:ascii="Times New Roman" w:hAnsi="Times New Roman" w:eastAsia="Times New Roman" w:cs="Times New Roman"/>
          <w:b/>
          <w:bCs/>
          <w:spacing w:val="5"/>
          <w:sz w:val="23"/>
          <w:szCs w:val="23"/>
        </w:rPr>
        <w:t>2.7.2</w:t>
      </w:r>
      <w:r>
        <w:rPr>
          <w:rFonts w:ascii="宋体" w:hAnsi="宋体" w:eastAsia="宋体" w:cs="宋体"/>
          <w:b/>
          <w:bCs/>
          <w:spacing w:val="5"/>
          <w:sz w:val="23"/>
          <w:szCs w:val="23"/>
        </w:rPr>
        <w:t>评价重点</w:t>
      </w:r>
    </w:p>
    <w:p w14:paraId="7C2A5833">
      <w:pPr>
        <w:spacing w:before="207" w:line="227" w:lineRule="auto"/>
        <w:ind w:left="602"/>
        <w:rPr>
          <w:rFonts w:ascii="宋体" w:hAnsi="宋体" w:eastAsia="宋体" w:cs="宋体"/>
          <w:sz w:val="23"/>
          <w:szCs w:val="23"/>
        </w:rPr>
      </w:pPr>
      <w:r>
        <w:rPr>
          <w:rFonts w:ascii="宋体" w:hAnsi="宋体" w:eastAsia="宋体" w:cs="宋体"/>
          <w:spacing w:val="7"/>
          <w:sz w:val="23"/>
          <w:szCs w:val="23"/>
        </w:rPr>
        <w:t>根据工程特点、选址位置及周边环境特征，确定评价重点如下：</w:t>
      </w:r>
    </w:p>
    <w:p w14:paraId="1D959D32">
      <w:pPr>
        <w:spacing w:before="169" w:line="315" w:lineRule="exact"/>
        <w:ind w:left="621"/>
        <w:rPr>
          <w:rFonts w:ascii="宋体" w:hAnsi="宋体" w:eastAsia="宋体" w:cs="宋体"/>
          <w:sz w:val="23"/>
          <w:szCs w:val="23"/>
        </w:rPr>
      </w:pPr>
      <w:r>
        <w:rPr>
          <w:rFonts w:ascii="Times New Roman" w:hAnsi="Times New Roman" w:eastAsia="Times New Roman" w:cs="Times New Roman"/>
          <w:spacing w:val="6"/>
          <w:position w:val="1"/>
          <w:sz w:val="23"/>
          <w:szCs w:val="23"/>
        </w:rPr>
        <w:t>1</w:t>
      </w:r>
      <w:r>
        <w:rPr>
          <w:rFonts w:ascii="Times New Roman" w:hAnsi="Times New Roman" w:eastAsia="Times New Roman" w:cs="Times New Roman"/>
          <w:spacing w:val="-31"/>
          <w:position w:val="1"/>
          <w:sz w:val="23"/>
          <w:szCs w:val="23"/>
        </w:rPr>
        <w:t xml:space="preserve"> </w:t>
      </w:r>
      <w:r>
        <w:rPr>
          <w:rFonts w:ascii="宋体" w:hAnsi="宋体" w:eastAsia="宋体" w:cs="宋体"/>
          <w:spacing w:val="6"/>
          <w:position w:val="1"/>
          <w:sz w:val="23"/>
          <w:szCs w:val="23"/>
        </w:rPr>
        <w:t>、项目生产过程的排污环节分析、污染源强核算等方</w:t>
      </w:r>
      <w:r>
        <w:rPr>
          <w:rFonts w:ascii="宋体" w:hAnsi="宋体" w:eastAsia="宋体" w:cs="宋体"/>
          <w:spacing w:val="5"/>
          <w:position w:val="1"/>
          <w:sz w:val="23"/>
          <w:szCs w:val="23"/>
        </w:rPr>
        <w:t>面的评价；</w:t>
      </w:r>
    </w:p>
    <w:p w14:paraId="2571D2F0">
      <w:pPr>
        <w:spacing w:before="175" w:line="315" w:lineRule="exact"/>
        <w:ind w:left="598"/>
        <w:rPr>
          <w:rFonts w:ascii="宋体" w:hAnsi="宋体" w:eastAsia="宋体" w:cs="宋体"/>
          <w:sz w:val="23"/>
          <w:szCs w:val="23"/>
        </w:rPr>
      </w:pPr>
      <w:r>
        <w:rPr>
          <w:rFonts w:ascii="Times New Roman" w:hAnsi="Times New Roman" w:eastAsia="Times New Roman" w:cs="Times New Roman"/>
          <w:spacing w:val="6"/>
          <w:position w:val="1"/>
          <w:sz w:val="23"/>
          <w:szCs w:val="23"/>
        </w:rPr>
        <w:t>2</w:t>
      </w:r>
      <w:r>
        <w:rPr>
          <w:rFonts w:ascii="Times New Roman" w:hAnsi="Times New Roman" w:eastAsia="Times New Roman" w:cs="Times New Roman"/>
          <w:spacing w:val="-29"/>
          <w:position w:val="1"/>
          <w:sz w:val="23"/>
          <w:szCs w:val="23"/>
        </w:rPr>
        <w:t xml:space="preserve"> </w:t>
      </w:r>
      <w:r>
        <w:rPr>
          <w:rFonts w:ascii="宋体" w:hAnsi="宋体" w:eastAsia="宋体" w:cs="宋体"/>
          <w:spacing w:val="6"/>
          <w:position w:val="1"/>
          <w:sz w:val="23"/>
          <w:szCs w:val="23"/>
        </w:rPr>
        <w:t>、营运期各项污染防治措施及其经济技术可行性分析；</w:t>
      </w:r>
    </w:p>
    <w:p w14:paraId="296EBB19">
      <w:pPr>
        <w:pStyle w:val="2"/>
        <w:spacing w:line="411" w:lineRule="auto"/>
      </w:pPr>
    </w:p>
    <w:p w14:paraId="27736A8F">
      <w:pPr>
        <w:spacing w:before="101" w:line="226" w:lineRule="auto"/>
        <w:ind w:left="121"/>
        <w:outlineLvl w:val="1"/>
        <w:rPr>
          <w:rFonts w:ascii="宋体" w:hAnsi="宋体" w:eastAsia="宋体" w:cs="宋体"/>
          <w:sz w:val="31"/>
          <w:szCs w:val="31"/>
        </w:rPr>
      </w:pPr>
      <w:bookmarkStart w:id="17" w:name="bookmark16"/>
      <w:bookmarkEnd w:id="17"/>
      <w:r>
        <w:rPr>
          <w:rFonts w:ascii="Times New Roman" w:hAnsi="Times New Roman" w:eastAsia="Times New Roman" w:cs="Times New Roman"/>
          <w:b/>
          <w:bCs/>
          <w:spacing w:val="6"/>
          <w:sz w:val="31"/>
          <w:szCs w:val="31"/>
        </w:rPr>
        <w:t>2.8</w:t>
      </w:r>
      <w:r>
        <w:rPr>
          <w:rFonts w:ascii="宋体" w:hAnsi="宋体" w:eastAsia="宋体" w:cs="宋体"/>
          <w:b/>
          <w:bCs/>
          <w:spacing w:val="6"/>
          <w:sz w:val="31"/>
          <w:szCs w:val="31"/>
        </w:rPr>
        <w:t>污染控制与环境保护目标</w:t>
      </w:r>
    </w:p>
    <w:p w14:paraId="0666D260">
      <w:pPr>
        <w:pStyle w:val="2"/>
        <w:spacing w:line="374" w:lineRule="auto"/>
      </w:pPr>
    </w:p>
    <w:p w14:paraId="3E800143">
      <w:pPr>
        <w:spacing w:before="75" w:line="325" w:lineRule="auto"/>
        <w:ind w:left="124" w:right="106" w:firstLine="496"/>
        <w:rPr>
          <w:rFonts w:ascii="宋体" w:hAnsi="宋体" w:eastAsia="宋体" w:cs="宋体"/>
          <w:sz w:val="23"/>
          <w:szCs w:val="23"/>
        </w:rPr>
      </w:pPr>
      <w:r>
        <w:rPr>
          <w:rFonts w:ascii="Times New Roman" w:hAnsi="Times New Roman" w:eastAsia="Times New Roman" w:cs="Times New Roman"/>
          <w:spacing w:val="11"/>
          <w:sz w:val="23"/>
          <w:szCs w:val="23"/>
        </w:rPr>
        <w:t>1</w:t>
      </w:r>
      <w:r>
        <w:rPr>
          <w:rFonts w:ascii="宋体" w:hAnsi="宋体" w:eastAsia="宋体" w:cs="宋体"/>
          <w:spacing w:val="11"/>
          <w:sz w:val="23"/>
          <w:szCs w:val="23"/>
        </w:rPr>
        <w:t>、大气污染物达标排放，有效控制臭气浓度、</w:t>
      </w:r>
      <w:r>
        <w:rPr>
          <w:rFonts w:ascii="Times New Roman" w:hAnsi="Times New Roman" w:eastAsia="Times New Roman" w:cs="Times New Roman"/>
          <w:spacing w:val="11"/>
          <w:sz w:val="23"/>
          <w:szCs w:val="23"/>
        </w:rPr>
        <w:t>H</w:t>
      </w:r>
      <w:r>
        <w:rPr>
          <w:rFonts w:ascii="Times New Roman" w:hAnsi="Times New Roman" w:eastAsia="Times New Roman" w:cs="Times New Roman"/>
          <w:spacing w:val="11"/>
          <w:position w:val="-1"/>
          <w:sz w:val="15"/>
          <w:szCs w:val="15"/>
        </w:rPr>
        <w:t>2</w:t>
      </w:r>
      <w:r>
        <w:rPr>
          <w:rFonts w:ascii="Times New Roman" w:hAnsi="Times New Roman" w:eastAsia="Times New Roman" w:cs="Times New Roman"/>
          <w:spacing w:val="11"/>
          <w:sz w:val="23"/>
          <w:szCs w:val="23"/>
        </w:rPr>
        <w:t>S</w:t>
      </w:r>
      <w:r>
        <w:rPr>
          <w:rFonts w:ascii="Times New Roman" w:hAnsi="Times New Roman" w:eastAsia="Times New Roman" w:cs="Times New Roman"/>
          <w:spacing w:val="-18"/>
          <w:sz w:val="23"/>
          <w:szCs w:val="23"/>
        </w:rPr>
        <w:t xml:space="preserve"> </w:t>
      </w:r>
      <w:r>
        <w:rPr>
          <w:rFonts w:ascii="宋体" w:hAnsi="宋体" w:eastAsia="宋体" w:cs="宋体"/>
          <w:spacing w:val="11"/>
          <w:sz w:val="23"/>
          <w:szCs w:val="23"/>
        </w:rPr>
        <w:t xml:space="preserve">、 </w:t>
      </w:r>
      <w:r>
        <w:rPr>
          <w:rFonts w:ascii="Times New Roman" w:hAnsi="Times New Roman" w:eastAsia="Times New Roman" w:cs="Times New Roman"/>
          <w:sz w:val="23"/>
          <w:szCs w:val="23"/>
        </w:rPr>
        <w:t>NH</w:t>
      </w:r>
      <w:r>
        <w:rPr>
          <w:rFonts w:ascii="Times New Roman" w:hAnsi="Times New Roman" w:eastAsia="Times New Roman" w:cs="Times New Roman"/>
          <w:spacing w:val="11"/>
          <w:position w:val="-1"/>
          <w:sz w:val="15"/>
          <w:szCs w:val="15"/>
        </w:rPr>
        <w:t>3</w:t>
      </w:r>
      <w:r>
        <w:rPr>
          <w:rFonts w:ascii="Times New Roman" w:hAnsi="Times New Roman" w:eastAsia="Times New Roman" w:cs="Times New Roman"/>
          <w:spacing w:val="-5"/>
          <w:position w:val="-1"/>
          <w:sz w:val="15"/>
          <w:szCs w:val="15"/>
        </w:rPr>
        <w:t xml:space="preserve"> </w:t>
      </w:r>
      <w:r>
        <w:rPr>
          <w:rFonts w:ascii="宋体" w:hAnsi="宋体" w:eastAsia="宋体" w:cs="宋体"/>
          <w:spacing w:val="11"/>
          <w:sz w:val="23"/>
          <w:szCs w:val="23"/>
        </w:rPr>
        <w:t>、</w:t>
      </w:r>
      <w:r>
        <w:rPr>
          <w:rFonts w:ascii="Times New Roman" w:hAnsi="Times New Roman" w:eastAsia="Times New Roman" w:cs="Times New Roman"/>
          <w:sz w:val="23"/>
          <w:szCs w:val="23"/>
        </w:rPr>
        <w:t>SO</w:t>
      </w:r>
      <w:r>
        <w:rPr>
          <w:rFonts w:ascii="Times New Roman" w:hAnsi="Times New Roman" w:eastAsia="Times New Roman" w:cs="Times New Roman"/>
          <w:spacing w:val="11"/>
          <w:position w:val="-1"/>
          <w:sz w:val="15"/>
          <w:szCs w:val="15"/>
        </w:rPr>
        <w:t>2</w:t>
      </w:r>
      <w:r>
        <w:rPr>
          <w:rFonts w:ascii="Times New Roman" w:hAnsi="Times New Roman" w:eastAsia="Times New Roman" w:cs="Times New Roman"/>
          <w:spacing w:val="-6"/>
          <w:position w:val="-1"/>
          <w:sz w:val="15"/>
          <w:szCs w:val="15"/>
        </w:rPr>
        <w:t xml:space="preserve"> </w:t>
      </w:r>
      <w:r>
        <w:rPr>
          <w:rFonts w:ascii="宋体" w:hAnsi="宋体" w:eastAsia="宋体" w:cs="宋体"/>
          <w:spacing w:val="11"/>
          <w:sz w:val="23"/>
          <w:szCs w:val="23"/>
        </w:rPr>
        <w:t>、</w:t>
      </w:r>
      <w:r>
        <w:rPr>
          <w:rFonts w:ascii="Times New Roman" w:hAnsi="Times New Roman" w:eastAsia="Times New Roman" w:cs="Times New Roman"/>
          <w:sz w:val="23"/>
          <w:szCs w:val="23"/>
        </w:rPr>
        <w:t>NO</w:t>
      </w:r>
      <w:r>
        <w:rPr>
          <w:rFonts w:ascii="Times New Roman" w:hAnsi="Times New Roman" w:eastAsia="Times New Roman" w:cs="Times New Roman"/>
          <w:position w:val="-1"/>
          <w:sz w:val="15"/>
          <w:szCs w:val="15"/>
        </w:rPr>
        <w:t>X</w:t>
      </w:r>
      <w:r>
        <w:rPr>
          <w:rFonts w:ascii="Times New Roman" w:hAnsi="Times New Roman" w:eastAsia="Times New Roman" w:cs="Times New Roman"/>
          <w:spacing w:val="11"/>
          <w:position w:val="-1"/>
          <w:sz w:val="15"/>
          <w:szCs w:val="15"/>
        </w:rPr>
        <w:t xml:space="preserve"> </w:t>
      </w:r>
      <w:r>
        <w:rPr>
          <w:rFonts w:ascii="宋体" w:hAnsi="宋体" w:eastAsia="宋体" w:cs="宋体"/>
          <w:spacing w:val="11"/>
          <w:sz w:val="23"/>
          <w:szCs w:val="23"/>
        </w:rPr>
        <w:t>、</w:t>
      </w:r>
      <w:r>
        <w:rPr>
          <w:rFonts w:ascii="Times New Roman" w:hAnsi="Times New Roman" w:eastAsia="Times New Roman" w:cs="Times New Roman"/>
          <w:sz w:val="23"/>
          <w:szCs w:val="23"/>
        </w:rPr>
        <w:t xml:space="preserve">TSP </w:t>
      </w:r>
      <w:r>
        <w:rPr>
          <w:rFonts w:ascii="宋体" w:hAnsi="宋体" w:eastAsia="宋体" w:cs="宋体"/>
          <w:spacing w:val="8"/>
          <w:sz w:val="23"/>
          <w:szCs w:val="23"/>
        </w:rPr>
        <w:t>等大气污染物的排放，保护项目区域及周边区域的环境空气质量。</w:t>
      </w:r>
    </w:p>
    <w:p w14:paraId="1AA26328">
      <w:pPr>
        <w:spacing w:before="170" w:line="325" w:lineRule="auto"/>
        <w:ind w:left="121" w:right="113" w:firstLine="476"/>
        <w:rPr>
          <w:rFonts w:ascii="宋体" w:hAnsi="宋体" w:eastAsia="宋体" w:cs="宋体"/>
          <w:sz w:val="23"/>
          <w:szCs w:val="23"/>
        </w:rPr>
      </w:pPr>
      <w:r>
        <w:rPr>
          <w:rFonts w:ascii="Times New Roman" w:hAnsi="Times New Roman" w:eastAsia="Times New Roman" w:cs="Times New Roman"/>
          <w:spacing w:val="8"/>
          <w:sz w:val="23"/>
          <w:szCs w:val="23"/>
        </w:rPr>
        <w:t>2</w:t>
      </w:r>
      <w:r>
        <w:rPr>
          <w:rFonts w:ascii="Times New Roman" w:hAnsi="Times New Roman" w:eastAsia="Times New Roman" w:cs="Times New Roman"/>
          <w:spacing w:val="-30"/>
          <w:sz w:val="23"/>
          <w:szCs w:val="23"/>
        </w:rPr>
        <w:t xml:space="preserve"> </w:t>
      </w:r>
      <w:r>
        <w:rPr>
          <w:rFonts w:ascii="宋体" w:hAnsi="宋体" w:eastAsia="宋体" w:cs="宋体"/>
          <w:spacing w:val="8"/>
          <w:sz w:val="23"/>
          <w:szCs w:val="23"/>
        </w:rPr>
        <w:t>、控制项目噪声的排放，保护项目区域及周边近距离内噪声敏感点声环境质量</w:t>
      </w:r>
      <w:r>
        <w:rPr>
          <w:rFonts w:ascii="宋体" w:hAnsi="宋体" w:eastAsia="宋体" w:cs="宋体"/>
          <w:sz w:val="23"/>
          <w:szCs w:val="23"/>
        </w:rPr>
        <w:t xml:space="preserve"> </w:t>
      </w:r>
      <w:r>
        <w:rPr>
          <w:rFonts w:ascii="宋体" w:hAnsi="宋体" w:eastAsia="宋体" w:cs="宋体"/>
          <w:spacing w:val="4"/>
          <w:sz w:val="23"/>
          <w:szCs w:val="23"/>
        </w:rPr>
        <w:t>达到相应标准要求。</w:t>
      </w:r>
    </w:p>
    <w:p w14:paraId="3DD25630">
      <w:pPr>
        <w:spacing w:before="167" w:line="315" w:lineRule="exact"/>
        <w:ind w:left="603"/>
        <w:rPr>
          <w:rFonts w:ascii="宋体" w:hAnsi="宋体" w:eastAsia="宋体" w:cs="宋体"/>
          <w:sz w:val="23"/>
          <w:szCs w:val="23"/>
        </w:rPr>
      </w:pPr>
      <w:r>
        <w:rPr>
          <w:rFonts w:ascii="Times New Roman" w:hAnsi="Times New Roman" w:eastAsia="Times New Roman" w:cs="Times New Roman"/>
          <w:spacing w:val="9"/>
          <w:position w:val="1"/>
          <w:sz w:val="23"/>
          <w:szCs w:val="23"/>
        </w:rPr>
        <w:t>3</w:t>
      </w:r>
      <w:r>
        <w:rPr>
          <w:rFonts w:ascii="宋体" w:hAnsi="宋体" w:eastAsia="宋体" w:cs="宋体"/>
          <w:spacing w:val="9"/>
          <w:position w:val="1"/>
          <w:sz w:val="23"/>
          <w:szCs w:val="23"/>
        </w:rPr>
        <w:t>、有效控制项目固体废物的污染，使其项目地所在区</w:t>
      </w:r>
      <w:r>
        <w:rPr>
          <w:rFonts w:ascii="宋体" w:hAnsi="宋体" w:eastAsia="宋体" w:cs="宋体"/>
          <w:spacing w:val="8"/>
          <w:position w:val="1"/>
          <w:sz w:val="23"/>
          <w:szCs w:val="23"/>
        </w:rPr>
        <w:t>域生态环境得到保护。</w:t>
      </w:r>
    </w:p>
    <w:p w14:paraId="370D1538">
      <w:pPr>
        <w:spacing w:before="173" w:line="328" w:lineRule="auto"/>
        <w:ind w:left="122" w:right="113" w:firstLine="474"/>
        <w:rPr>
          <w:rFonts w:ascii="宋体" w:hAnsi="宋体" w:eastAsia="宋体" w:cs="宋体"/>
          <w:sz w:val="23"/>
          <w:szCs w:val="23"/>
        </w:rPr>
      </w:pPr>
      <w:r>
        <w:rPr>
          <w:rFonts w:ascii="Times New Roman" w:hAnsi="Times New Roman" w:eastAsia="Times New Roman" w:cs="Times New Roman"/>
          <w:spacing w:val="8"/>
          <w:sz w:val="23"/>
          <w:szCs w:val="23"/>
        </w:rPr>
        <w:t>4</w:t>
      </w:r>
      <w:r>
        <w:rPr>
          <w:rFonts w:ascii="Times New Roman" w:hAnsi="Times New Roman" w:eastAsia="Times New Roman" w:cs="Times New Roman"/>
          <w:spacing w:val="-29"/>
          <w:sz w:val="23"/>
          <w:szCs w:val="23"/>
        </w:rPr>
        <w:t xml:space="preserve"> </w:t>
      </w:r>
      <w:r>
        <w:rPr>
          <w:rFonts w:ascii="宋体" w:hAnsi="宋体" w:eastAsia="宋体" w:cs="宋体"/>
          <w:spacing w:val="8"/>
          <w:sz w:val="23"/>
          <w:szCs w:val="23"/>
        </w:rPr>
        <w:t>、达标排放，做好硬地化、防渗措施，保护项目选址及周边区域的土壤环境质</w:t>
      </w:r>
      <w:r>
        <w:rPr>
          <w:rFonts w:ascii="宋体" w:hAnsi="宋体" w:eastAsia="宋体" w:cs="宋体"/>
          <w:sz w:val="23"/>
          <w:szCs w:val="23"/>
        </w:rPr>
        <w:t xml:space="preserve"> </w:t>
      </w:r>
      <w:r>
        <w:rPr>
          <w:rFonts w:ascii="宋体" w:hAnsi="宋体" w:eastAsia="宋体" w:cs="宋体"/>
          <w:spacing w:val="-8"/>
          <w:sz w:val="23"/>
          <w:szCs w:val="23"/>
        </w:rPr>
        <w:t>量。</w:t>
      </w:r>
    </w:p>
    <w:p w14:paraId="2617FF8B">
      <w:pPr>
        <w:spacing w:before="199" w:line="229" w:lineRule="auto"/>
        <w:ind w:left="119"/>
        <w:outlineLvl w:val="2"/>
        <w:rPr>
          <w:rFonts w:ascii="宋体" w:hAnsi="宋体" w:eastAsia="宋体" w:cs="宋体"/>
          <w:sz w:val="23"/>
          <w:szCs w:val="23"/>
        </w:rPr>
      </w:pPr>
      <w:r>
        <w:rPr>
          <w:rFonts w:ascii="Times New Roman" w:hAnsi="Times New Roman" w:eastAsia="Times New Roman" w:cs="Times New Roman"/>
          <w:b/>
          <w:bCs/>
          <w:spacing w:val="5"/>
          <w:sz w:val="23"/>
          <w:szCs w:val="23"/>
        </w:rPr>
        <w:t>2.8.1</w:t>
      </w:r>
      <w:r>
        <w:rPr>
          <w:rFonts w:ascii="宋体" w:hAnsi="宋体" w:eastAsia="宋体" w:cs="宋体"/>
          <w:b/>
          <w:bCs/>
          <w:spacing w:val="5"/>
          <w:sz w:val="23"/>
          <w:szCs w:val="23"/>
        </w:rPr>
        <w:t>环境保护目标</w:t>
      </w:r>
    </w:p>
    <w:p w14:paraId="7BB695B6">
      <w:pPr>
        <w:spacing w:before="166" w:line="315" w:lineRule="exact"/>
        <w:ind w:left="621"/>
        <w:rPr>
          <w:rFonts w:ascii="宋体" w:hAnsi="宋体" w:eastAsia="宋体" w:cs="宋体"/>
          <w:sz w:val="23"/>
          <w:szCs w:val="23"/>
        </w:rPr>
      </w:pPr>
      <w:r>
        <w:rPr>
          <w:rFonts w:ascii="Times New Roman" w:hAnsi="Times New Roman" w:eastAsia="Times New Roman" w:cs="Times New Roman"/>
          <w:spacing w:val="4"/>
          <w:position w:val="1"/>
          <w:sz w:val="23"/>
          <w:szCs w:val="23"/>
        </w:rPr>
        <w:t>1</w:t>
      </w:r>
      <w:r>
        <w:rPr>
          <w:rFonts w:ascii="Times New Roman" w:hAnsi="Times New Roman" w:eastAsia="Times New Roman" w:cs="Times New Roman"/>
          <w:spacing w:val="-32"/>
          <w:position w:val="1"/>
          <w:sz w:val="23"/>
          <w:szCs w:val="23"/>
        </w:rPr>
        <w:t xml:space="preserve"> </w:t>
      </w:r>
      <w:r>
        <w:rPr>
          <w:rFonts w:ascii="宋体" w:hAnsi="宋体" w:eastAsia="宋体" w:cs="宋体"/>
          <w:spacing w:val="4"/>
          <w:position w:val="1"/>
          <w:sz w:val="23"/>
          <w:szCs w:val="23"/>
        </w:rPr>
        <w:t>、环境空气保护目标</w:t>
      </w:r>
    </w:p>
    <w:p w14:paraId="09F40216">
      <w:pPr>
        <w:spacing w:line="315" w:lineRule="exact"/>
        <w:rPr>
          <w:rFonts w:ascii="宋体" w:hAnsi="宋体" w:eastAsia="宋体" w:cs="宋体"/>
          <w:sz w:val="23"/>
          <w:szCs w:val="23"/>
        </w:rPr>
        <w:sectPr>
          <w:footerReference r:id="rId54" w:type="default"/>
          <w:pgSz w:w="11906" w:h="16839"/>
          <w:pgMar w:top="1418" w:right="1475" w:bottom="1485" w:left="1475" w:header="0" w:footer="1249" w:gutter="0"/>
          <w:cols w:space="720" w:num="1"/>
        </w:sectPr>
      </w:pPr>
    </w:p>
    <w:p w14:paraId="2A051222">
      <w:pPr>
        <w:spacing w:before="110" w:line="367" w:lineRule="auto"/>
        <w:ind w:left="123" w:right="18" w:firstLine="482"/>
        <w:jc w:val="both"/>
        <w:rPr>
          <w:rFonts w:ascii="宋体" w:hAnsi="宋体" w:eastAsia="宋体" w:cs="宋体"/>
          <w:sz w:val="24"/>
          <w:szCs w:val="24"/>
        </w:rPr>
      </w:pPr>
      <w:r>
        <w:rPr>
          <w:rFonts w:ascii="宋体" w:hAnsi="宋体" w:eastAsia="宋体" w:cs="宋体"/>
          <w:spacing w:val="-2"/>
          <w:sz w:val="24"/>
          <w:szCs w:val="24"/>
        </w:rPr>
        <w:t>项目区附近的居民点等主要环境敏感点的空气质量不会受到本项目的明显影响，</w:t>
      </w:r>
      <w:r>
        <w:rPr>
          <w:rFonts w:ascii="宋体" w:hAnsi="宋体" w:eastAsia="宋体" w:cs="宋体"/>
          <w:sz w:val="24"/>
          <w:szCs w:val="24"/>
        </w:rPr>
        <w:t xml:space="preserve"> </w:t>
      </w:r>
      <w:r>
        <w:rPr>
          <w:rFonts w:ascii="宋体" w:hAnsi="宋体" w:eastAsia="宋体" w:cs="宋体"/>
          <w:spacing w:val="2"/>
          <w:sz w:val="24"/>
          <w:szCs w:val="24"/>
        </w:rPr>
        <w:t>不致出现严重的扰民问题。本项目所在地及周围的环境空气质量应符合《环境空气</w:t>
      </w:r>
      <w:r>
        <w:rPr>
          <w:rFonts w:ascii="宋体" w:hAnsi="宋体" w:eastAsia="宋体" w:cs="宋体"/>
          <w:spacing w:val="5"/>
          <w:sz w:val="24"/>
          <w:szCs w:val="24"/>
        </w:rPr>
        <w:t xml:space="preserve"> </w:t>
      </w:r>
      <w:r>
        <w:rPr>
          <w:rFonts w:ascii="宋体" w:hAnsi="宋体" w:eastAsia="宋体" w:cs="宋体"/>
          <w:sz w:val="24"/>
          <w:szCs w:val="24"/>
        </w:rPr>
        <w:t>质量标准》（</w:t>
      </w:r>
      <w:r>
        <w:rPr>
          <w:rFonts w:ascii="Times New Roman" w:hAnsi="Times New Roman" w:eastAsia="Times New Roman" w:cs="Times New Roman"/>
          <w:sz w:val="24"/>
          <w:szCs w:val="24"/>
        </w:rPr>
        <w:t>GB3095-2012</w:t>
      </w:r>
      <w:r>
        <w:rPr>
          <w:rFonts w:ascii="宋体" w:hAnsi="宋体" w:eastAsia="宋体" w:cs="宋体"/>
          <w:sz w:val="24"/>
          <w:szCs w:val="24"/>
        </w:rPr>
        <w:t>）及其</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2018 </w:t>
      </w:r>
      <w:r>
        <w:rPr>
          <w:rFonts w:ascii="宋体" w:hAnsi="宋体" w:eastAsia="宋体" w:cs="宋体"/>
          <w:spacing w:val="-1"/>
          <w:sz w:val="24"/>
          <w:szCs w:val="24"/>
        </w:rPr>
        <w:t>年修改单二级标准的要求。</w:t>
      </w:r>
    </w:p>
    <w:p w14:paraId="3ACD6B48">
      <w:pPr>
        <w:spacing w:line="361" w:lineRule="exact"/>
        <w:ind w:left="598"/>
        <w:rPr>
          <w:rFonts w:ascii="宋体" w:hAnsi="宋体" w:eastAsia="宋体" w:cs="宋体"/>
          <w:sz w:val="24"/>
          <w:szCs w:val="24"/>
        </w:rPr>
      </w:pP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4"/>
          <w:position w:val="2"/>
          <w:sz w:val="24"/>
          <w:szCs w:val="24"/>
        </w:rPr>
        <w:t>、声环境保护目标</w:t>
      </w:r>
    </w:p>
    <w:p w14:paraId="27BCD0CC">
      <w:pPr>
        <w:spacing w:before="128" w:line="374" w:lineRule="auto"/>
        <w:ind w:left="142" w:right="113" w:firstLine="464"/>
        <w:rPr>
          <w:rFonts w:ascii="宋体" w:hAnsi="宋体" w:eastAsia="宋体" w:cs="宋体"/>
          <w:sz w:val="24"/>
          <w:szCs w:val="24"/>
        </w:rPr>
      </w:pPr>
      <w:r>
        <w:rPr>
          <w:rFonts w:ascii="宋体" w:hAnsi="宋体" w:eastAsia="宋体" w:cs="宋体"/>
          <w:spacing w:val="2"/>
          <w:sz w:val="24"/>
          <w:szCs w:val="24"/>
        </w:rPr>
        <w:t>项目区域声环境质量，项目边界符合《声环境质量标准》（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 xml:space="preserve"> 3096-2008</w:t>
      </w:r>
      <w:r>
        <w:rPr>
          <w:rFonts w:ascii="宋体" w:hAnsi="宋体" w:eastAsia="宋体" w:cs="宋体"/>
          <w:spacing w:val="2"/>
          <w:sz w:val="24"/>
          <w:szCs w:val="24"/>
        </w:rPr>
        <w:t>）中</w:t>
      </w:r>
      <w:r>
        <w:rPr>
          <w:rFonts w:ascii="宋体" w:hAnsi="宋体" w:eastAsia="宋体" w:cs="宋体"/>
          <w:spacing w:val="5"/>
          <w:sz w:val="24"/>
          <w:szCs w:val="24"/>
        </w:rPr>
        <w:t xml:space="preserve"> </w:t>
      </w:r>
      <w:r>
        <w:rPr>
          <w:rFonts w:ascii="宋体" w:hAnsi="宋体" w:eastAsia="宋体" w:cs="宋体"/>
          <w:spacing w:val="-5"/>
          <w:sz w:val="24"/>
          <w:szCs w:val="24"/>
        </w:rPr>
        <w:t>的</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类标准。</w:t>
      </w:r>
    </w:p>
    <w:p w14:paraId="7F34DBD8">
      <w:pPr>
        <w:spacing w:before="4" w:line="360" w:lineRule="exact"/>
        <w:ind w:left="548"/>
        <w:rPr>
          <w:rFonts w:ascii="宋体" w:hAnsi="宋体" w:eastAsia="宋体" w:cs="宋体"/>
          <w:sz w:val="24"/>
          <w:szCs w:val="24"/>
        </w:rPr>
      </w:pPr>
      <w:r>
        <w:rPr>
          <w:rFonts w:ascii="Times New Roman" w:hAnsi="Times New Roman" w:eastAsia="Times New Roman" w:cs="Times New Roman"/>
          <w:spacing w:val="-4"/>
          <w:position w:val="2"/>
          <w:sz w:val="24"/>
          <w:szCs w:val="24"/>
        </w:rPr>
        <w:t>3</w:t>
      </w:r>
      <w:r>
        <w:rPr>
          <w:rFonts w:ascii="Times New Roman" w:hAnsi="Times New Roman" w:eastAsia="Times New Roman" w:cs="Times New Roman"/>
          <w:spacing w:val="-27"/>
          <w:position w:val="2"/>
          <w:sz w:val="24"/>
          <w:szCs w:val="24"/>
        </w:rPr>
        <w:t xml:space="preserve"> </w:t>
      </w:r>
      <w:r>
        <w:rPr>
          <w:rFonts w:ascii="宋体" w:hAnsi="宋体" w:eastAsia="宋体" w:cs="宋体"/>
          <w:spacing w:val="-4"/>
          <w:position w:val="2"/>
          <w:sz w:val="24"/>
          <w:szCs w:val="24"/>
        </w:rPr>
        <w:t>、地下水环境保护目标</w:t>
      </w:r>
    </w:p>
    <w:p w14:paraId="2D92FC3F">
      <w:pPr>
        <w:spacing w:before="129" w:line="374" w:lineRule="auto"/>
        <w:ind w:left="122" w:right="113" w:firstLine="480"/>
        <w:rPr>
          <w:rFonts w:ascii="宋体" w:hAnsi="宋体" w:eastAsia="宋体" w:cs="宋体"/>
          <w:sz w:val="24"/>
          <w:szCs w:val="24"/>
        </w:rPr>
      </w:pPr>
      <w:r>
        <w:rPr>
          <w:rFonts w:ascii="宋体" w:hAnsi="宋体" w:eastAsia="宋体" w:cs="宋体"/>
          <w:spacing w:val="-1"/>
          <w:sz w:val="24"/>
          <w:szCs w:val="24"/>
        </w:rPr>
        <w:t>保护项目周边</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1km</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范围内的潜水层和含水层不受本项目的明显影响。项目所在</w:t>
      </w:r>
      <w:r>
        <w:rPr>
          <w:rFonts w:ascii="宋体" w:hAnsi="宋体" w:eastAsia="宋体" w:cs="宋体"/>
          <w:sz w:val="24"/>
          <w:szCs w:val="24"/>
        </w:rPr>
        <w:t xml:space="preserve"> </w:t>
      </w:r>
      <w:r>
        <w:rPr>
          <w:rFonts w:ascii="宋体" w:hAnsi="宋体" w:eastAsia="宋体" w:cs="宋体"/>
          <w:spacing w:val="-1"/>
          <w:sz w:val="24"/>
          <w:szCs w:val="24"/>
        </w:rPr>
        <w:t>地地下水符合《地下水质量标准》（</w:t>
      </w:r>
      <w:r>
        <w:rPr>
          <w:rFonts w:ascii="Times New Roman" w:hAnsi="Times New Roman" w:eastAsia="Times New Roman" w:cs="Times New Roman"/>
          <w:spacing w:val="-1"/>
          <w:sz w:val="24"/>
          <w:szCs w:val="24"/>
        </w:rPr>
        <w:t>GB/T</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
          <w:sz w:val="24"/>
          <w:szCs w:val="24"/>
        </w:rPr>
        <w:t>14848-93</w:t>
      </w:r>
      <w:r>
        <w:rPr>
          <w:rFonts w:ascii="宋体" w:hAnsi="宋体" w:eastAsia="宋体" w:cs="宋体"/>
          <w:spacing w:val="-1"/>
          <w:sz w:val="24"/>
          <w:szCs w:val="24"/>
        </w:rPr>
        <w:t>）中</w:t>
      </w:r>
      <w:r>
        <w:rPr>
          <w:rFonts w:ascii="宋体" w:hAnsi="宋体" w:eastAsia="宋体" w:cs="宋体"/>
          <w:spacing w:val="-2"/>
          <w:sz w:val="24"/>
          <w:szCs w:val="24"/>
        </w:rPr>
        <w:t>的Ⅲ类标准。</w:t>
      </w:r>
    </w:p>
    <w:p w14:paraId="05BDA5C1">
      <w:pPr>
        <w:pStyle w:val="2"/>
        <w:spacing w:line="260" w:lineRule="auto"/>
      </w:pPr>
    </w:p>
    <w:p w14:paraId="094D7EB3">
      <w:pPr>
        <w:spacing w:before="78" w:line="220"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2.8.2</w:t>
      </w:r>
      <w:r>
        <w:rPr>
          <w:rFonts w:ascii="宋体" w:hAnsi="宋体" w:eastAsia="宋体" w:cs="宋体"/>
          <w:b/>
          <w:bCs/>
          <w:spacing w:val="-2"/>
          <w:sz w:val="24"/>
          <w:szCs w:val="24"/>
        </w:rPr>
        <w:t>敏感点保护目标</w:t>
      </w:r>
    </w:p>
    <w:p w14:paraId="78EBE40E">
      <w:pPr>
        <w:pStyle w:val="2"/>
        <w:spacing w:line="244" w:lineRule="auto"/>
      </w:pPr>
    </w:p>
    <w:p w14:paraId="3EBF8820">
      <w:pPr>
        <w:spacing w:before="79" w:line="358" w:lineRule="exact"/>
        <w:ind w:left="603"/>
        <w:rPr>
          <w:rFonts w:ascii="宋体" w:hAnsi="宋体" w:eastAsia="宋体" w:cs="宋体"/>
          <w:sz w:val="24"/>
          <w:szCs w:val="24"/>
        </w:rPr>
      </w:pPr>
      <w:r>
        <w:rPr>
          <w:rFonts w:ascii="宋体" w:hAnsi="宋体" w:eastAsia="宋体" w:cs="宋体"/>
          <w:spacing w:val="4"/>
          <w:position w:val="2"/>
          <w:sz w:val="24"/>
          <w:szCs w:val="24"/>
        </w:rPr>
        <w:t>本项目评价范围内主要的环境敏感点如表</w:t>
      </w:r>
      <w:r>
        <w:rPr>
          <w:rFonts w:ascii="Times New Roman" w:hAnsi="Times New Roman" w:eastAsia="Times New Roman" w:cs="Times New Roman"/>
          <w:spacing w:val="4"/>
          <w:position w:val="2"/>
          <w:sz w:val="24"/>
          <w:szCs w:val="24"/>
        </w:rPr>
        <w:t>2.8-1</w:t>
      </w:r>
      <w:r>
        <w:rPr>
          <w:rFonts w:ascii="宋体" w:hAnsi="宋体" w:eastAsia="宋体" w:cs="宋体"/>
          <w:spacing w:val="4"/>
          <w:position w:val="2"/>
          <w:sz w:val="24"/>
          <w:szCs w:val="24"/>
        </w:rPr>
        <w:t>所示，敏感点分布见图</w:t>
      </w:r>
      <w:r>
        <w:rPr>
          <w:rFonts w:ascii="Times New Roman" w:hAnsi="Times New Roman" w:eastAsia="Times New Roman" w:cs="Times New Roman"/>
          <w:spacing w:val="4"/>
          <w:position w:val="2"/>
          <w:sz w:val="24"/>
          <w:szCs w:val="24"/>
        </w:rPr>
        <w:t>2.8-1</w:t>
      </w:r>
      <w:r>
        <w:rPr>
          <w:rFonts w:ascii="宋体" w:hAnsi="宋体" w:eastAsia="宋体" w:cs="宋体"/>
          <w:spacing w:val="4"/>
          <w:position w:val="2"/>
          <w:sz w:val="24"/>
          <w:szCs w:val="24"/>
        </w:rPr>
        <w:t>。</w:t>
      </w:r>
    </w:p>
    <w:p w14:paraId="2B04EB84">
      <w:pPr>
        <w:spacing w:before="181" w:line="228" w:lineRule="auto"/>
        <w:ind w:left="2823"/>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6"/>
          <w:sz w:val="20"/>
          <w:szCs w:val="20"/>
        </w:rPr>
        <w:t xml:space="preserve">2.8-1  </w:t>
      </w:r>
      <w:r>
        <w:rPr>
          <w:rFonts w:ascii="宋体" w:hAnsi="宋体" w:eastAsia="宋体" w:cs="宋体"/>
          <w:b/>
          <w:bCs/>
          <w:spacing w:val="6"/>
          <w:sz w:val="20"/>
          <w:szCs w:val="20"/>
        </w:rPr>
        <w:t>建设项目附近主要环境敏感目标</w:t>
      </w:r>
    </w:p>
    <w:p w14:paraId="38B7FFB6">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5"/>
        <w:gridCol w:w="996"/>
        <w:gridCol w:w="1175"/>
        <w:gridCol w:w="950"/>
        <w:gridCol w:w="1221"/>
        <w:gridCol w:w="1378"/>
        <w:gridCol w:w="898"/>
        <w:gridCol w:w="1017"/>
      </w:tblGrid>
      <w:tr w14:paraId="3B9E9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15" w:type="dxa"/>
            <w:vMerge w:val="restart"/>
            <w:tcBorders>
              <w:bottom w:val="nil"/>
            </w:tcBorders>
            <w:vAlign w:val="top"/>
          </w:tcPr>
          <w:p w14:paraId="1BBB9995">
            <w:pPr>
              <w:spacing w:line="321" w:lineRule="auto"/>
              <w:rPr>
                <w:rFonts w:ascii="Arial"/>
                <w:sz w:val="21"/>
              </w:rPr>
            </w:pPr>
          </w:p>
          <w:p w14:paraId="76BD4BEF">
            <w:pPr>
              <w:pStyle w:val="6"/>
              <w:spacing w:before="65" w:line="231" w:lineRule="auto"/>
              <w:ind w:left="455"/>
            </w:pPr>
            <w:r>
              <w:rPr>
                <w:b/>
                <w:bCs/>
                <w:spacing w:val="2"/>
              </w:rPr>
              <w:t>名称</w:t>
            </w:r>
          </w:p>
        </w:tc>
        <w:tc>
          <w:tcPr>
            <w:tcW w:w="2171" w:type="dxa"/>
            <w:gridSpan w:val="2"/>
            <w:vAlign w:val="top"/>
          </w:tcPr>
          <w:p w14:paraId="73CBBE83">
            <w:pPr>
              <w:pStyle w:val="6"/>
              <w:spacing w:before="70" w:line="229" w:lineRule="auto"/>
              <w:ind w:left="765"/>
              <w:rPr>
                <w:rFonts w:ascii="Times New Roman" w:hAnsi="Times New Roman" w:eastAsia="Times New Roman" w:cs="Times New Roman"/>
              </w:rPr>
            </w:pPr>
            <w:r>
              <w:rPr>
                <w:b/>
                <w:bCs/>
                <w:spacing w:val="4"/>
              </w:rPr>
              <w:t>坐标</w:t>
            </w:r>
            <w:r>
              <w:rPr>
                <w:rFonts w:ascii="Times New Roman" w:hAnsi="Times New Roman" w:eastAsia="Times New Roman" w:cs="Times New Roman"/>
                <w:b/>
                <w:bCs/>
                <w:spacing w:val="4"/>
              </w:rPr>
              <w:t>/m</w:t>
            </w:r>
          </w:p>
        </w:tc>
        <w:tc>
          <w:tcPr>
            <w:tcW w:w="950" w:type="dxa"/>
            <w:vMerge w:val="restart"/>
            <w:tcBorders>
              <w:bottom w:val="nil"/>
            </w:tcBorders>
            <w:vAlign w:val="top"/>
          </w:tcPr>
          <w:p w14:paraId="35C920B3">
            <w:pPr>
              <w:pStyle w:val="6"/>
              <w:spacing w:before="225" w:line="229" w:lineRule="auto"/>
              <w:ind w:left="166"/>
            </w:pPr>
            <w:r>
              <w:rPr>
                <w:b/>
                <w:bCs/>
                <w:spacing w:val="5"/>
              </w:rPr>
              <w:t>保护对</w:t>
            </w:r>
          </w:p>
          <w:p w14:paraId="163200FA">
            <w:pPr>
              <w:pStyle w:val="6"/>
              <w:spacing w:before="78" w:line="228" w:lineRule="auto"/>
              <w:ind w:left="382"/>
            </w:pPr>
            <w:r>
              <w:rPr>
                <w:b/>
                <w:bCs/>
                <w:spacing w:val="-3"/>
              </w:rPr>
              <w:t>象</w:t>
            </w:r>
          </w:p>
        </w:tc>
        <w:tc>
          <w:tcPr>
            <w:tcW w:w="1221" w:type="dxa"/>
            <w:vMerge w:val="restart"/>
            <w:tcBorders>
              <w:bottom w:val="nil"/>
            </w:tcBorders>
            <w:vAlign w:val="top"/>
          </w:tcPr>
          <w:p w14:paraId="7DA36615">
            <w:pPr>
              <w:spacing w:line="322" w:lineRule="auto"/>
              <w:rPr>
                <w:rFonts w:ascii="Arial"/>
                <w:sz w:val="21"/>
              </w:rPr>
            </w:pPr>
          </w:p>
          <w:p w14:paraId="36DD9237">
            <w:pPr>
              <w:pStyle w:val="6"/>
              <w:spacing w:before="65" w:line="228" w:lineRule="auto"/>
              <w:ind w:left="198"/>
            </w:pPr>
            <w:r>
              <w:rPr>
                <w:b/>
                <w:bCs/>
                <w:spacing w:val="6"/>
              </w:rPr>
              <w:t>保护内容</w:t>
            </w:r>
          </w:p>
        </w:tc>
        <w:tc>
          <w:tcPr>
            <w:tcW w:w="1378" w:type="dxa"/>
            <w:vMerge w:val="restart"/>
            <w:tcBorders>
              <w:bottom w:val="nil"/>
            </w:tcBorders>
            <w:vAlign w:val="top"/>
          </w:tcPr>
          <w:p w14:paraId="0C5EE2B7">
            <w:pPr>
              <w:spacing w:line="322" w:lineRule="auto"/>
              <w:rPr>
                <w:rFonts w:ascii="Arial"/>
                <w:sz w:val="21"/>
              </w:rPr>
            </w:pPr>
          </w:p>
          <w:p w14:paraId="54B672B8">
            <w:pPr>
              <w:pStyle w:val="6"/>
              <w:spacing w:before="65" w:line="229" w:lineRule="auto"/>
              <w:ind w:left="171"/>
            </w:pPr>
            <w:r>
              <w:rPr>
                <w:b/>
                <w:bCs/>
                <w:spacing w:val="6"/>
              </w:rPr>
              <w:t>环境功能区</w:t>
            </w:r>
          </w:p>
        </w:tc>
        <w:tc>
          <w:tcPr>
            <w:tcW w:w="898" w:type="dxa"/>
            <w:vMerge w:val="restart"/>
            <w:tcBorders>
              <w:bottom w:val="nil"/>
            </w:tcBorders>
            <w:vAlign w:val="top"/>
          </w:tcPr>
          <w:p w14:paraId="7BEE9E2A">
            <w:pPr>
              <w:pStyle w:val="6"/>
              <w:spacing w:before="225" w:line="229" w:lineRule="auto"/>
              <w:ind w:left="142"/>
            </w:pPr>
            <w:r>
              <w:rPr>
                <w:b/>
                <w:bCs/>
                <w:spacing w:val="5"/>
              </w:rPr>
              <w:t>相对厂</w:t>
            </w:r>
          </w:p>
          <w:p w14:paraId="08AEE9D8">
            <w:pPr>
              <w:pStyle w:val="6"/>
              <w:spacing w:before="78" w:line="230" w:lineRule="auto"/>
              <w:ind w:left="143"/>
            </w:pPr>
            <w:r>
              <w:rPr>
                <w:b/>
                <w:bCs/>
                <w:spacing w:val="5"/>
              </w:rPr>
              <w:t>址方位</w:t>
            </w:r>
          </w:p>
        </w:tc>
        <w:tc>
          <w:tcPr>
            <w:tcW w:w="1017" w:type="dxa"/>
            <w:vMerge w:val="restart"/>
            <w:tcBorders>
              <w:bottom w:val="nil"/>
            </w:tcBorders>
            <w:vAlign w:val="top"/>
          </w:tcPr>
          <w:p w14:paraId="2AC37A81">
            <w:pPr>
              <w:pStyle w:val="6"/>
              <w:spacing w:before="62" w:line="229" w:lineRule="auto"/>
              <w:ind w:left="199"/>
            </w:pPr>
            <w:r>
              <w:rPr>
                <w:b/>
                <w:bCs/>
                <w:spacing w:val="5"/>
              </w:rPr>
              <w:t>相对厂</w:t>
            </w:r>
          </w:p>
          <w:p w14:paraId="5DE07251">
            <w:pPr>
              <w:pStyle w:val="6"/>
              <w:spacing w:before="78" w:line="229" w:lineRule="auto"/>
              <w:ind w:left="204"/>
            </w:pPr>
            <w:r>
              <w:rPr>
                <w:b/>
                <w:bCs/>
                <w:spacing w:val="3"/>
              </w:rPr>
              <w:t>界距离</w:t>
            </w:r>
          </w:p>
          <w:p w14:paraId="05B8C5F3">
            <w:pPr>
              <w:spacing w:before="114" w:line="195" w:lineRule="auto"/>
              <w:ind w:left="391"/>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/m</w:t>
            </w:r>
          </w:p>
        </w:tc>
      </w:tr>
      <w:tr w14:paraId="06595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315" w:type="dxa"/>
            <w:vMerge w:val="continue"/>
            <w:tcBorders>
              <w:top w:val="nil"/>
            </w:tcBorders>
            <w:vAlign w:val="top"/>
          </w:tcPr>
          <w:p w14:paraId="13EC8EF1">
            <w:pPr>
              <w:rPr>
                <w:rFonts w:ascii="Arial"/>
                <w:sz w:val="21"/>
              </w:rPr>
            </w:pPr>
          </w:p>
        </w:tc>
        <w:tc>
          <w:tcPr>
            <w:tcW w:w="996" w:type="dxa"/>
            <w:vAlign w:val="top"/>
          </w:tcPr>
          <w:p w14:paraId="5140FE4E">
            <w:pPr>
              <w:spacing w:before="249" w:line="192" w:lineRule="auto"/>
              <w:ind w:left="419"/>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X</w:t>
            </w:r>
          </w:p>
        </w:tc>
        <w:tc>
          <w:tcPr>
            <w:tcW w:w="1175" w:type="dxa"/>
            <w:vAlign w:val="top"/>
          </w:tcPr>
          <w:p w14:paraId="36990D6F">
            <w:pPr>
              <w:spacing w:before="249" w:line="192" w:lineRule="auto"/>
              <w:ind w:left="511"/>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Y</w:t>
            </w:r>
          </w:p>
        </w:tc>
        <w:tc>
          <w:tcPr>
            <w:tcW w:w="950" w:type="dxa"/>
            <w:vMerge w:val="continue"/>
            <w:tcBorders>
              <w:top w:val="nil"/>
            </w:tcBorders>
            <w:vAlign w:val="top"/>
          </w:tcPr>
          <w:p w14:paraId="718F5261">
            <w:pPr>
              <w:rPr>
                <w:rFonts w:ascii="Arial"/>
                <w:sz w:val="21"/>
              </w:rPr>
            </w:pPr>
          </w:p>
        </w:tc>
        <w:tc>
          <w:tcPr>
            <w:tcW w:w="1221" w:type="dxa"/>
            <w:vMerge w:val="continue"/>
            <w:tcBorders>
              <w:top w:val="nil"/>
            </w:tcBorders>
            <w:vAlign w:val="top"/>
          </w:tcPr>
          <w:p w14:paraId="4A858F55">
            <w:pPr>
              <w:rPr>
                <w:rFonts w:ascii="Arial"/>
                <w:sz w:val="21"/>
              </w:rPr>
            </w:pPr>
          </w:p>
        </w:tc>
        <w:tc>
          <w:tcPr>
            <w:tcW w:w="1378" w:type="dxa"/>
            <w:vMerge w:val="continue"/>
            <w:tcBorders>
              <w:top w:val="nil"/>
            </w:tcBorders>
            <w:vAlign w:val="top"/>
          </w:tcPr>
          <w:p w14:paraId="2BB4FF2C">
            <w:pPr>
              <w:rPr>
                <w:rFonts w:ascii="Arial"/>
                <w:sz w:val="21"/>
              </w:rPr>
            </w:pPr>
          </w:p>
        </w:tc>
        <w:tc>
          <w:tcPr>
            <w:tcW w:w="898" w:type="dxa"/>
            <w:vMerge w:val="continue"/>
            <w:tcBorders>
              <w:top w:val="nil"/>
            </w:tcBorders>
            <w:vAlign w:val="top"/>
          </w:tcPr>
          <w:p w14:paraId="5005567B">
            <w:pPr>
              <w:rPr>
                <w:rFonts w:ascii="Arial"/>
                <w:sz w:val="21"/>
              </w:rPr>
            </w:pPr>
          </w:p>
        </w:tc>
        <w:tc>
          <w:tcPr>
            <w:tcW w:w="1017" w:type="dxa"/>
            <w:vMerge w:val="continue"/>
            <w:tcBorders>
              <w:top w:val="nil"/>
            </w:tcBorders>
            <w:vAlign w:val="top"/>
          </w:tcPr>
          <w:p w14:paraId="00491799">
            <w:pPr>
              <w:rPr>
                <w:rFonts w:ascii="Arial"/>
                <w:sz w:val="21"/>
              </w:rPr>
            </w:pPr>
          </w:p>
        </w:tc>
      </w:tr>
      <w:tr w14:paraId="5A55E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15" w:type="dxa"/>
            <w:vAlign w:val="top"/>
          </w:tcPr>
          <w:p w14:paraId="144EA74E">
            <w:pPr>
              <w:pStyle w:val="6"/>
              <w:spacing w:before="65" w:line="228" w:lineRule="auto"/>
              <w:ind w:left="347"/>
            </w:pPr>
            <w:r>
              <w:rPr>
                <w:spacing w:val="6"/>
              </w:rPr>
              <w:t>柴头崛</w:t>
            </w:r>
          </w:p>
        </w:tc>
        <w:tc>
          <w:tcPr>
            <w:tcW w:w="996" w:type="dxa"/>
            <w:vAlign w:val="top"/>
          </w:tcPr>
          <w:p w14:paraId="068D216A">
            <w:pPr>
              <w:spacing w:before="34"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-596</w:t>
            </w:r>
          </w:p>
        </w:tc>
        <w:tc>
          <w:tcPr>
            <w:tcW w:w="1175" w:type="dxa"/>
            <w:vAlign w:val="top"/>
          </w:tcPr>
          <w:p w14:paraId="5896888A">
            <w:pPr>
              <w:spacing w:before="34" w:line="274" w:lineRule="exact"/>
              <w:ind w:left="4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-285</w:t>
            </w:r>
          </w:p>
        </w:tc>
        <w:tc>
          <w:tcPr>
            <w:tcW w:w="950" w:type="dxa"/>
            <w:vAlign w:val="top"/>
          </w:tcPr>
          <w:p w14:paraId="3063CB09">
            <w:pPr>
              <w:pStyle w:val="6"/>
              <w:spacing w:before="65" w:line="229" w:lineRule="auto"/>
              <w:ind w:left="273"/>
            </w:pPr>
            <w:r>
              <w:rPr>
                <w:spacing w:val="3"/>
              </w:rPr>
              <w:t>居民</w:t>
            </w:r>
          </w:p>
        </w:tc>
        <w:tc>
          <w:tcPr>
            <w:tcW w:w="1221" w:type="dxa"/>
            <w:vAlign w:val="top"/>
          </w:tcPr>
          <w:p w14:paraId="47EBBADB">
            <w:pPr>
              <w:pStyle w:val="6"/>
              <w:spacing w:before="34" w:line="274" w:lineRule="exact"/>
              <w:ind w:left="202"/>
            </w:pPr>
            <w:r>
              <w:rPr>
                <w:position w:val="1"/>
              </w:rPr>
              <w:t>约</w:t>
            </w:r>
            <w:r>
              <w:rPr>
                <w:spacing w:val="-37"/>
                <w:position w:val="1"/>
              </w:rPr>
              <w:t xml:space="preserve"> </w:t>
            </w:r>
            <w:r>
              <w:rPr>
                <w:rFonts w:ascii="Times New Roman" w:hAnsi="Times New Roman" w:eastAsia="Times New Roman" w:cs="Times New Roman"/>
                <w:position w:val="1"/>
              </w:rPr>
              <w:t>500</w:t>
            </w:r>
            <w:r>
              <w:rPr>
                <w:rFonts w:ascii="Times New Roman" w:hAnsi="Times New Roman" w:eastAsia="Times New Roman" w:cs="Times New Roman"/>
                <w:spacing w:val="11"/>
                <w:position w:val="1"/>
              </w:rPr>
              <w:t xml:space="preserve"> </w:t>
            </w:r>
            <w:r>
              <w:rPr>
                <w:position w:val="1"/>
              </w:rPr>
              <w:t>人</w:t>
            </w:r>
          </w:p>
        </w:tc>
        <w:tc>
          <w:tcPr>
            <w:tcW w:w="1378" w:type="dxa"/>
            <w:vMerge w:val="restart"/>
            <w:tcBorders>
              <w:bottom w:val="nil"/>
            </w:tcBorders>
            <w:vAlign w:val="top"/>
          </w:tcPr>
          <w:p w14:paraId="7C9AD7EB">
            <w:pPr>
              <w:spacing w:line="251" w:lineRule="auto"/>
              <w:rPr>
                <w:rFonts w:ascii="Arial"/>
                <w:sz w:val="21"/>
              </w:rPr>
            </w:pPr>
          </w:p>
          <w:p w14:paraId="6B5DC974">
            <w:pPr>
              <w:spacing w:line="251" w:lineRule="auto"/>
              <w:rPr>
                <w:rFonts w:ascii="Arial"/>
                <w:sz w:val="21"/>
              </w:rPr>
            </w:pPr>
          </w:p>
          <w:p w14:paraId="05F96507">
            <w:pPr>
              <w:spacing w:line="251" w:lineRule="auto"/>
              <w:rPr>
                <w:rFonts w:ascii="Arial"/>
                <w:sz w:val="21"/>
              </w:rPr>
            </w:pPr>
          </w:p>
          <w:p w14:paraId="0443FE49">
            <w:pPr>
              <w:spacing w:line="252" w:lineRule="auto"/>
              <w:rPr>
                <w:rFonts w:ascii="Arial"/>
                <w:sz w:val="21"/>
              </w:rPr>
            </w:pPr>
          </w:p>
          <w:p w14:paraId="6D818664">
            <w:pPr>
              <w:spacing w:line="252" w:lineRule="auto"/>
              <w:rPr>
                <w:rFonts w:ascii="Arial"/>
                <w:sz w:val="21"/>
              </w:rPr>
            </w:pPr>
          </w:p>
          <w:p w14:paraId="128CAC98">
            <w:pPr>
              <w:spacing w:line="252" w:lineRule="auto"/>
              <w:rPr>
                <w:rFonts w:ascii="Arial"/>
                <w:sz w:val="21"/>
              </w:rPr>
            </w:pPr>
          </w:p>
          <w:p w14:paraId="7906F729">
            <w:pPr>
              <w:spacing w:line="252" w:lineRule="auto"/>
              <w:rPr>
                <w:rFonts w:ascii="Arial"/>
                <w:sz w:val="21"/>
              </w:rPr>
            </w:pPr>
          </w:p>
          <w:p w14:paraId="616DDFFF">
            <w:pPr>
              <w:spacing w:line="252" w:lineRule="auto"/>
              <w:rPr>
                <w:rFonts w:ascii="Arial"/>
                <w:sz w:val="21"/>
              </w:rPr>
            </w:pPr>
          </w:p>
          <w:p w14:paraId="084503C9">
            <w:pPr>
              <w:spacing w:line="252" w:lineRule="auto"/>
              <w:rPr>
                <w:rFonts w:ascii="Arial"/>
                <w:sz w:val="21"/>
              </w:rPr>
            </w:pPr>
          </w:p>
          <w:p w14:paraId="23D5F1B8">
            <w:pPr>
              <w:spacing w:line="252" w:lineRule="auto"/>
              <w:rPr>
                <w:rFonts w:ascii="Arial"/>
                <w:sz w:val="21"/>
              </w:rPr>
            </w:pPr>
          </w:p>
          <w:p w14:paraId="0C1AD957">
            <w:pPr>
              <w:spacing w:line="252" w:lineRule="auto"/>
              <w:rPr>
                <w:rFonts w:ascii="Arial"/>
                <w:sz w:val="21"/>
              </w:rPr>
            </w:pPr>
          </w:p>
          <w:p w14:paraId="7EAB5EAA">
            <w:pPr>
              <w:pStyle w:val="6"/>
              <w:spacing w:before="65" w:line="229" w:lineRule="auto"/>
              <w:ind w:left="171"/>
            </w:pPr>
            <w:r>
              <w:rPr>
                <w:spacing w:val="8"/>
              </w:rPr>
              <w:t>环境空气二</w:t>
            </w:r>
          </w:p>
          <w:p w14:paraId="00D55E9D">
            <w:pPr>
              <w:pStyle w:val="6"/>
              <w:spacing w:before="78" w:line="228" w:lineRule="auto"/>
              <w:ind w:left="486"/>
            </w:pPr>
            <w:r>
              <w:rPr>
                <w:spacing w:val="4"/>
              </w:rPr>
              <w:t>类区</w:t>
            </w:r>
          </w:p>
        </w:tc>
        <w:tc>
          <w:tcPr>
            <w:tcW w:w="898" w:type="dxa"/>
            <w:vAlign w:val="top"/>
          </w:tcPr>
          <w:p w14:paraId="4BD92BFC">
            <w:pPr>
              <w:pStyle w:val="6"/>
              <w:spacing w:before="64" w:line="231" w:lineRule="auto"/>
              <w:ind w:left="250"/>
            </w:pPr>
            <w:r>
              <w:rPr>
                <w:spacing w:val="2"/>
              </w:rPr>
              <w:t>西南</w:t>
            </w:r>
          </w:p>
        </w:tc>
        <w:tc>
          <w:tcPr>
            <w:tcW w:w="1017" w:type="dxa"/>
            <w:vAlign w:val="top"/>
          </w:tcPr>
          <w:p w14:paraId="29BDD496">
            <w:pPr>
              <w:spacing w:before="34"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560</w:t>
            </w:r>
          </w:p>
        </w:tc>
      </w:tr>
      <w:tr w14:paraId="0BCAE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5471512B">
            <w:pPr>
              <w:pStyle w:val="6"/>
              <w:spacing w:before="66" w:line="228" w:lineRule="auto"/>
              <w:ind w:left="348"/>
            </w:pPr>
            <w:r>
              <w:rPr>
                <w:spacing w:val="6"/>
              </w:rPr>
              <w:t>龙岗村</w:t>
            </w:r>
          </w:p>
        </w:tc>
        <w:tc>
          <w:tcPr>
            <w:tcW w:w="996" w:type="dxa"/>
            <w:vAlign w:val="top"/>
          </w:tcPr>
          <w:p w14:paraId="1A185C81">
            <w:pPr>
              <w:spacing w:before="35" w:line="275"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-310</w:t>
            </w:r>
          </w:p>
        </w:tc>
        <w:tc>
          <w:tcPr>
            <w:tcW w:w="1175" w:type="dxa"/>
            <w:vAlign w:val="top"/>
          </w:tcPr>
          <w:p w14:paraId="1B8457BB">
            <w:pPr>
              <w:spacing w:before="35" w:line="275"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179</w:t>
            </w:r>
          </w:p>
        </w:tc>
        <w:tc>
          <w:tcPr>
            <w:tcW w:w="950" w:type="dxa"/>
            <w:vAlign w:val="top"/>
          </w:tcPr>
          <w:p w14:paraId="4A7D5BA3">
            <w:pPr>
              <w:pStyle w:val="6"/>
              <w:spacing w:before="66" w:line="229" w:lineRule="auto"/>
              <w:ind w:left="273"/>
            </w:pPr>
            <w:r>
              <w:rPr>
                <w:spacing w:val="3"/>
              </w:rPr>
              <w:t>居民</w:t>
            </w:r>
          </w:p>
        </w:tc>
        <w:tc>
          <w:tcPr>
            <w:tcW w:w="1221" w:type="dxa"/>
            <w:vAlign w:val="top"/>
          </w:tcPr>
          <w:p w14:paraId="172B86D6">
            <w:pPr>
              <w:pStyle w:val="6"/>
              <w:spacing w:before="35" w:line="275" w:lineRule="exact"/>
              <w:ind w:left="149"/>
            </w:pPr>
            <w:r>
              <w:rPr>
                <w:spacing w:val="-2"/>
                <w:position w:val="1"/>
              </w:rPr>
              <w:t>约</w:t>
            </w:r>
            <w:r>
              <w:rPr>
                <w:spacing w:val="-20"/>
                <w:position w:val="1"/>
              </w:rPr>
              <w:t xml:space="preserve"> </w:t>
            </w:r>
            <w:r>
              <w:rPr>
                <w:rFonts w:ascii="Times New Roman" w:hAnsi="Times New Roman" w:eastAsia="Times New Roman" w:cs="Times New Roman"/>
                <w:spacing w:val="-2"/>
                <w:position w:val="1"/>
              </w:rPr>
              <w:t>1300</w:t>
            </w:r>
            <w:r>
              <w:rPr>
                <w:rFonts w:ascii="Times New Roman" w:hAnsi="Times New Roman" w:eastAsia="Times New Roman" w:cs="Times New Roman"/>
                <w:spacing w:val="12"/>
                <w:position w:val="1"/>
              </w:rPr>
              <w:t xml:space="preserve"> </w:t>
            </w:r>
            <w:r>
              <w:rPr>
                <w:spacing w:val="-2"/>
                <w:position w:val="1"/>
              </w:rPr>
              <w:t>人</w:t>
            </w:r>
          </w:p>
        </w:tc>
        <w:tc>
          <w:tcPr>
            <w:tcW w:w="1378" w:type="dxa"/>
            <w:vMerge w:val="continue"/>
            <w:tcBorders>
              <w:top w:val="nil"/>
              <w:bottom w:val="nil"/>
            </w:tcBorders>
            <w:vAlign w:val="top"/>
          </w:tcPr>
          <w:p w14:paraId="21394C88">
            <w:pPr>
              <w:rPr>
                <w:rFonts w:ascii="Arial"/>
                <w:sz w:val="21"/>
              </w:rPr>
            </w:pPr>
          </w:p>
        </w:tc>
        <w:tc>
          <w:tcPr>
            <w:tcW w:w="898" w:type="dxa"/>
            <w:vAlign w:val="top"/>
          </w:tcPr>
          <w:p w14:paraId="26B0808E">
            <w:pPr>
              <w:pStyle w:val="6"/>
              <w:spacing w:before="66" w:line="232" w:lineRule="auto"/>
              <w:ind w:left="250"/>
            </w:pPr>
            <w:r>
              <w:rPr>
                <w:spacing w:val="2"/>
              </w:rPr>
              <w:t>西北</w:t>
            </w:r>
          </w:p>
        </w:tc>
        <w:tc>
          <w:tcPr>
            <w:tcW w:w="1017" w:type="dxa"/>
            <w:vAlign w:val="top"/>
          </w:tcPr>
          <w:p w14:paraId="4A03F435">
            <w:pPr>
              <w:spacing w:before="35" w:line="275"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r>
      <w:tr w14:paraId="02BA6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62DD63FF">
            <w:pPr>
              <w:pStyle w:val="6"/>
              <w:spacing w:before="67" w:line="228" w:lineRule="auto"/>
              <w:ind w:left="454"/>
            </w:pPr>
            <w:r>
              <w:rPr>
                <w:spacing w:val="3"/>
              </w:rPr>
              <w:t>龙寨</w:t>
            </w:r>
          </w:p>
        </w:tc>
        <w:tc>
          <w:tcPr>
            <w:tcW w:w="996" w:type="dxa"/>
            <w:vAlign w:val="top"/>
          </w:tcPr>
          <w:p w14:paraId="7EB637E3">
            <w:pPr>
              <w:spacing w:before="36"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-692</w:t>
            </w:r>
          </w:p>
        </w:tc>
        <w:tc>
          <w:tcPr>
            <w:tcW w:w="1175" w:type="dxa"/>
            <w:vAlign w:val="top"/>
          </w:tcPr>
          <w:p w14:paraId="1E01EB4E">
            <w:pPr>
              <w:spacing w:before="36" w:line="274" w:lineRule="exact"/>
              <w:ind w:left="4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370</w:t>
            </w:r>
          </w:p>
        </w:tc>
        <w:tc>
          <w:tcPr>
            <w:tcW w:w="950" w:type="dxa"/>
            <w:vAlign w:val="top"/>
          </w:tcPr>
          <w:p w14:paraId="2F93D656">
            <w:pPr>
              <w:pStyle w:val="6"/>
              <w:spacing w:before="67" w:line="229" w:lineRule="auto"/>
              <w:ind w:left="273"/>
            </w:pPr>
            <w:r>
              <w:rPr>
                <w:spacing w:val="3"/>
              </w:rPr>
              <w:t>居民</w:t>
            </w:r>
          </w:p>
        </w:tc>
        <w:tc>
          <w:tcPr>
            <w:tcW w:w="1221" w:type="dxa"/>
            <w:vAlign w:val="top"/>
          </w:tcPr>
          <w:p w14:paraId="40AD87BD">
            <w:pPr>
              <w:pStyle w:val="6"/>
              <w:spacing w:before="36" w:line="274" w:lineRule="exact"/>
              <w:ind w:left="202"/>
            </w:pPr>
            <w:r>
              <w:rPr>
                <w:spacing w:val="-3"/>
                <w:position w:val="1"/>
              </w:rPr>
              <w:t>约</w:t>
            </w:r>
            <w:r>
              <w:rPr>
                <w:spacing w:val="-22"/>
                <w:position w:val="1"/>
              </w:rPr>
              <w:t xml:space="preserve"> </w:t>
            </w:r>
            <w:r>
              <w:rPr>
                <w:rFonts w:ascii="Times New Roman" w:hAnsi="Times New Roman" w:eastAsia="Times New Roman" w:cs="Times New Roman"/>
                <w:spacing w:val="-3"/>
                <w:position w:val="1"/>
              </w:rPr>
              <w:t>150</w:t>
            </w:r>
            <w:r>
              <w:rPr>
                <w:rFonts w:ascii="Times New Roman" w:hAnsi="Times New Roman" w:eastAsia="Times New Roman" w:cs="Times New Roman"/>
                <w:spacing w:val="11"/>
                <w:position w:val="1"/>
              </w:rPr>
              <w:t xml:space="preserve"> </w:t>
            </w:r>
            <w:r>
              <w:rPr>
                <w:spacing w:val="-3"/>
                <w:position w:val="1"/>
              </w:rPr>
              <w:t>人</w:t>
            </w:r>
          </w:p>
        </w:tc>
        <w:tc>
          <w:tcPr>
            <w:tcW w:w="1378" w:type="dxa"/>
            <w:vMerge w:val="continue"/>
            <w:tcBorders>
              <w:top w:val="nil"/>
              <w:bottom w:val="nil"/>
            </w:tcBorders>
            <w:vAlign w:val="top"/>
          </w:tcPr>
          <w:p w14:paraId="126E6CD3">
            <w:pPr>
              <w:rPr>
                <w:rFonts w:ascii="Arial"/>
                <w:sz w:val="21"/>
              </w:rPr>
            </w:pPr>
          </w:p>
        </w:tc>
        <w:tc>
          <w:tcPr>
            <w:tcW w:w="898" w:type="dxa"/>
            <w:vAlign w:val="top"/>
          </w:tcPr>
          <w:p w14:paraId="3F27FD50">
            <w:pPr>
              <w:pStyle w:val="6"/>
              <w:spacing w:before="67" w:line="232" w:lineRule="auto"/>
              <w:ind w:left="250"/>
            </w:pPr>
            <w:r>
              <w:rPr>
                <w:spacing w:val="2"/>
              </w:rPr>
              <w:t>西北</w:t>
            </w:r>
          </w:p>
        </w:tc>
        <w:tc>
          <w:tcPr>
            <w:tcW w:w="1017" w:type="dxa"/>
            <w:vAlign w:val="top"/>
          </w:tcPr>
          <w:p w14:paraId="055965FC">
            <w:pPr>
              <w:spacing w:before="36" w:line="274" w:lineRule="exact"/>
              <w:ind w:left="3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722</w:t>
            </w:r>
          </w:p>
        </w:tc>
      </w:tr>
      <w:tr w14:paraId="25D50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198E07C9">
            <w:pPr>
              <w:pStyle w:val="6"/>
              <w:spacing w:before="67" w:line="229" w:lineRule="auto"/>
              <w:ind w:left="348"/>
            </w:pPr>
            <w:r>
              <w:rPr>
                <w:spacing w:val="6"/>
              </w:rPr>
              <w:t>后垅尾</w:t>
            </w:r>
          </w:p>
        </w:tc>
        <w:tc>
          <w:tcPr>
            <w:tcW w:w="996" w:type="dxa"/>
            <w:vAlign w:val="top"/>
          </w:tcPr>
          <w:p w14:paraId="4A99075E">
            <w:pPr>
              <w:spacing w:before="36"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-378</w:t>
            </w:r>
          </w:p>
        </w:tc>
        <w:tc>
          <w:tcPr>
            <w:tcW w:w="1175" w:type="dxa"/>
            <w:vAlign w:val="top"/>
          </w:tcPr>
          <w:p w14:paraId="47542979">
            <w:pPr>
              <w:spacing w:before="36" w:line="274" w:lineRule="exact"/>
              <w:ind w:left="43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569</w:t>
            </w:r>
          </w:p>
        </w:tc>
        <w:tc>
          <w:tcPr>
            <w:tcW w:w="950" w:type="dxa"/>
            <w:vAlign w:val="top"/>
          </w:tcPr>
          <w:p w14:paraId="786D9793">
            <w:pPr>
              <w:pStyle w:val="6"/>
              <w:spacing w:before="67" w:line="229" w:lineRule="auto"/>
              <w:ind w:left="273"/>
            </w:pPr>
            <w:r>
              <w:rPr>
                <w:spacing w:val="3"/>
              </w:rPr>
              <w:t>居民</w:t>
            </w:r>
          </w:p>
        </w:tc>
        <w:tc>
          <w:tcPr>
            <w:tcW w:w="1221" w:type="dxa"/>
            <w:vAlign w:val="top"/>
          </w:tcPr>
          <w:p w14:paraId="3C39D1E8">
            <w:pPr>
              <w:pStyle w:val="6"/>
              <w:spacing w:before="36" w:line="274" w:lineRule="exact"/>
              <w:ind w:left="202"/>
            </w:pPr>
            <w:r>
              <w:rPr>
                <w:spacing w:val="1"/>
                <w:position w:val="1"/>
              </w:rPr>
              <w:t>约</w:t>
            </w:r>
            <w:r>
              <w:rPr>
                <w:spacing w:val="-42"/>
                <w:position w:val="1"/>
              </w:rPr>
              <w:t xml:space="preserve"> </w:t>
            </w:r>
            <w:r>
              <w:rPr>
                <w:rFonts w:ascii="Times New Roman" w:hAnsi="Times New Roman" w:eastAsia="Times New Roman" w:cs="Times New Roman"/>
                <w:spacing w:val="1"/>
                <w:position w:val="1"/>
              </w:rPr>
              <w:t>200</w:t>
            </w:r>
            <w:r>
              <w:rPr>
                <w:rFonts w:ascii="Times New Roman" w:hAnsi="Times New Roman" w:eastAsia="Times New Roman" w:cs="Times New Roman"/>
                <w:spacing w:val="11"/>
                <w:position w:val="1"/>
              </w:rPr>
              <w:t xml:space="preserve"> </w:t>
            </w:r>
            <w:r>
              <w:rPr>
                <w:spacing w:val="1"/>
                <w:position w:val="1"/>
              </w:rPr>
              <w:t>人</w:t>
            </w:r>
          </w:p>
        </w:tc>
        <w:tc>
          <w:tcPr>
            <w:tcW w:w="1378" w:type="dxa"/>
            <w:vMerge w:val="continue"/>
            <w:tcBorders>
              <w:top w:val="nil"/>
              <w:bottom w:val="nil"/>
            </w:tcBorders>
            <w:vAlign w:val="top"/>
          </w:tcPr>
          <w:p w14:paraId="2C9B1FB1">
            <w:pPr>
              <w:rPr>
                <w:rFonts w:ascii="Arial"/>
                <w:sz w:val="21"/>
              </w:rPr>
            </w:pPr>
          </w:p>
        </w:tc>
        <w:tc>
          <w:tcPr>
            <w:tcW w:w="898" w:type="dxa"/>
            <w:vAlign w:val="top"/>
          </w:tcPr>
          <w:p w14:paraId="5FCDDB0F">
            <w:pPr>
              <w:pStyle w:val="6"/>
              <w:spacing w:before="67" w:line="232" w:lineRule="auto"/>
              <w:ind w:left="250"/>
            </w:pPr>
            <w:r>
              <w:rPr>
                <w:spacing w:val="2"/>
              </w:rPr>
              <w:t>西北</w:t>
            </w:r>
          </w:p>
        </w:tc>
        <w:tc>
          <w:tcPr>
            <w:tcW w:w="1017" w:type="dxa"/>
            <w:vAlign w:val="top"/>
          </w:tcPr>
          <w:p w14:paraId="69C316F1">
            <w:pPr>
              <w:spacing w:before="36"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614</w:t>
            </w:r>
          </w:p>
        </w:tc>
      </w:tr>
      <w:tr w14:paraId="1E54D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1B7F149A">
            <w:pPr>
              <w:pStyle w:val="6"/>
              <w:spacing w:before="67" w:line="228" w:lineRule="auto"/>
              <w:ind w:left="356"/>
            </w:pPr>
            <w:r>
              <w:rPr>
                <w:spacing w:val="3"/>
              </w:rPr>
              <w:t>笏雅村</w:t>
            </w:r>
          </w:p>
        </w:tc>
        <w:tc>
          <w:tcPr>
            <w:tcW w:w="996" w:type="dxa"/>
            <w:vAlign w:val="top"/>
          </w:tcPr>
          <w:p w14:paraId="04F7199B">
            <w:pPr>
              <w:spacing w:before="37"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-474</w:t>
            </w:r>
          </w:p>
        </w:tc>
        <w:tc>
          <w:tcPr>
            <w:tcW w:w="1175" w:type="dxa"/>
            <w:vAlign w:val="top"/>
          </w:tcPr>
          <w:p w14:paraId="5B04788D">
            <w:pPr>
              <w:spacing w:before="37"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762</w:t>
            </w:r>
          </w:p>
        </w:tc>
        <w:tc>
          <w:tcPr>
            <w:tcW w:w="950" w:type="dxa"/>
            <w:vAlign w:val="top"/>
          </w:tcPr>
          <w:p w14:paraId="08BC40E8">
            <w:pPr>
              <w:pStyle w:val="6"/>
              <w:spacing w:before="67" w:line="229" w:lineRule="auto"/>
              <w:ind w:left="273"/>
            </w:pPr>
            <w:r>
              <w:rPr>
                <w:spacing w:val="3"/>
              </w:rPr>
              <w:t>居民</w:t>
            </w:r>
          </w:p>
        </w:tc>
        <w:tc>
          <w:tcPr>
            <w:tcW w:w="1221" w:type="dxa"/>
            <w:vAlign w:val="top"/>
          </w:tcPr>
          <w:p w14:paraId="495DFCEA">
            <w:pPr>
              <w:pStyle w:val="6"/>
              <w:spacing w:before="37" w:line="274" w:lineRule="exact"/>
              <w:ind w:left="149"/>
            </w:pPr>
            <w:r>
              <w:rPr>
                <w:spacing w:val="2"/>
                <w:position w:val="1"/>
              </w:rPr>
              <w:t>约</w:t>
            </w:r>
            <w:r>
              <w:rPr>
                <w:spacing w:val="-44"/>
                <w:position w:val="1"/>
              </w:rPr>
              <w:t xml:space="preserve"> </w:t>
            </w:r>
            <w:r>
              <w:rPr>
                <w:rFonts w:ascii="Times New Roman" w:hAnsi="Times New Roman" w:eastAsia="Times New Roman" w:cs="Times New Roman"/>
                <w:spacing w:val="2"/>
                <w:position w:val="1"/>
              </w:rPr>
              <w:t>2000</w:t>
            </w:r>
            <w:r>
              <w:rPr>
                <w:rFonts w:ascii="Times New Roman" w:hAnsi="Times New Roman" w:eastAsia="Times New Roman" w:cs="Times New Roman"/>
                <w:spacing w:val="12"/>
                <w:position w:val="1"/>
              </w:rPr>
              <w:t xml:space="preserve"> </w:t>
            </w:r>
            <w:r>
              <w:rPr>
                <w:spacing w:val="2"/>
                <w:position w:val="1"/>
              </w:rPr>
              <w:t>人</w:t>
            </w:r>
          </w:p>
        </w:tc>
        <w:tc>
          <w:tcPr>
            <w:tcW w:w="1378" w:type="dxa"/>
            <w:vMerge w:val="continue"/>
            <w:tcBorders>
              <w:top w:val="nil"/>
              <w:bottom w:val="nil"/>
            </w:tcBorders>
            <w:vAlign w:val="top"/>
          </w:tcPr>
          <w:p w14:paraId="3A32DDAE">
            <w:pPr>
              <w:rPr>
                <w:rFonts w:ascii="Arial"/>
                <w:sz w:val="21"/>
              </w:rPr>
            </w:pPr>
          </w:p>
        </w:tc>
        <w:tc>
          <w:tcPr>
            <w:tcW w:w="898" w:type="dxa"/>
            <w:vAlign w:val="top"/>
          </w:tcPr>
          <w:p w14:paraId="6F7A1123">
            <w:pPr>
              <w:pStyle w:val="6"/>
              <w:spacing w:before="67" w:line="232" w:lineRule="auto"/>
              <w:ind w:left="250"/>
            </w:pPr>
            <w:r>
              <w:rPr>
                <w:spacing w:val="2"/>
              </w:rPr>
              <w:t>西北</w:t>
            </w:r>
          </w:p>
        </w:tc>
        <w:tc>
          <w:tcPr>
            <w:tcW w:w="1017" w:type="dxa"/>
            <w:vAlign w:val="top"/>
          </w:tcPr>
          <w:p w14:paraId="59D4B198">
            <w:pPr>
              <w:spacing w:before="37" w:line="274" w:lineRule="exact"/>
              <w:ind w:left="36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832</w:t>
            </w:r>
          </w:p>
        </w:tc>
      </w:tr>
      <w:tr w14:paraId="50187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75FA8195">
            <w:pPr>
              <w:pStyle w:val="6"/>
              <w:spacing w:before="68" w:line="229" w:lineRule="auto"/>
              <w:ind w:left="348"/>
            </w:pPr>
            <w:r>
              <w:rPr>
                <w:spacing w:val="6"/>
              </w:rPr>
              <w:t>洪厝围</w:t>
            </w:r>
          </w:p>
        </w:tc>
        <w:tc>
          <w:tcPr>
            <w:tcW w:w="996" w:type="dxa"/>
            <w:vAlign w:val="top"/>
          </w:tcPr>
          <w:p w14:paraId="2F814711">
            <w:pPr>
              <w:spacing w:before="37"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-337</w:t>
            </w:r>
          </w:p>
        </w:tc>
        <w:tc>
          <w:tcPr>
            <w:tcW w:w="1175" w:type="dxa"/>
            <w:vAlign w:val="top"/>
          </w:tcPr>
          <w:p w14:paraId="64D26A17">
            <w:pPr>
              <w:spacing w:before="37" w:line="274"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1125</w:t>
            </w:r>
          </w:p>
        </w:tc>
        <w:tc>
          <w:tcPr>
            <w:tcW w:w="950" w:type="dxa"/>
            <w:vAlign w:val="top"/>
          </w:tcPr>
          <w:p w14:paraId="1C2D88B6">
            <w:pPr>
              <w:pStyle w:val="6"/>
              <w:spacing w:before="68" w:line="229" w:lineRule="auto"/>
              <w:ind w:left="273"/>
            </w:pPr>
            <w:r>
              <w:rPr>
                <w:spacing w:val="3"/>
              </w:rPr>
              <w:t>居民</w:t>
            </w:r>
          </w:p>
        </w:tc>
        <w:tc>
          <w:tcPr>
            <w:tcW w:w="1221" w:type="dxa"/>
            <w:vAlign w:val="top"/>
          </w:tcPr>
          <w:p w14:paraId="7A9B4944">
            <w:pPr>
              <w:pStyle w:val="6"/>
              <w:spacing w:before="37" w:line="274" w:lineRule="exact"/>
              <w:ind w:left="202"/>
            </w:pPr>
            <w:r>
              <w:rPr>
                <w:position w:val="1"/>
              </w:rPr>
              <w:t>约</w:t>
            </w:r>
            <w:r>
              <w:rPr>
                <w:spacing w:val="-37"/>
                <w:position w:val="1"/>
              </w:rPr>
              <w:t xml:space="preserve"> </w:t>
            </w:r>
            <w:r>
              <w:rPr>
                <w:rFonts w:ascii="Times New Roman" w:hAnsi="Times New Roman" w:eastAsia="Times New Roman" w:cs="Times New Roman"/>
                <w:position w:val="1"/>
              </w:rPr>
              <w:t>500</w:t>
            </w:r>
            <w:r>
              <w:rPr>
                <w:rFonts w:ascii="Times New Roman" w:hAnsi="Times New Roman" w:eastAsia="Times New Roman" w:cs="Times New Roman"/>
                <w:spacing w:val="11"/>
                <w:position w:val="1"/>
              </w:rPr>
              <w:t xml:space="preserve"> </w:t>
            </w:r>
            <w:r>
              <w:rPr>
                <w:position w:val="1"/>
              </w:rPr>
              <w:t>人</w:t>
            </w:r>
          </w:p>
        </w:tc>
        <w:tc>
          <w:tcPr>
            <w:tcW w:w="1378" w:type="dxa"/>
            <w:vMerge w:val="continue"/>
            <w:tcBorders>
              <w:top w:val="nil"/>
              <w:bottom w:val="nil"/>
            </w:tcBorders>
            <w:vAlign w:val="top"/>
          </w:tcPr>
          <w:p w14:paraId="155EA20A">
            <w:pPr>
              <w:rPr>
                <w:rFonts w:ascii="Arial"/>
                <w:sz w:val="21"/>
              </w:rPr>
            </w:pPr>
          </w:p>
        </w:tc>
        <w:tc>
          <w:tcPr>
            <w:tcW w:w="898" w:type="dxa"/>
            <w:vAlign w:val="top"/>
          </w:tcPr>
          <w:p w14:paraId="76D1C78F">
            <w:pPr>
              <w:pStyle w:val="6"/>
              <w:spacing w:before="68" w:line="232" w:lineRule="auto"/>
              <w:ind w:left="354"/>
            </w:pPr>
            <w:r>
              <w:t>北</w:t>
            </w:r>
          </w:p>
        </w:tc>
        <w:tc>
          <w:tcPr>
            <w:tcW w:w="1017" w:type="dxa"/>
            <w:vAlign w:val="top"/>
          </w:tcPr>
          <w:p w14:paraId="3210AFFE">
            <w:pPr>
              <w:spacing w:before="37" w:line="274" w:lineRule="exact"/>
              <w:ind w:left="32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1125</w:t>
            </w:r>
          </w:p>
        </w:tc>
      </w:tr>
      <w:tr w14:paraId="13125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20AA1565">
            <w:pPr>
              <w:pStyle w:val="6"/>
              <w:spacing w:before="65" w:line="228" w:lineRule="auto"/>
              <w:ind w:left="452"/>
            </w:pPr>
            <w:r>
              <w:rPr>
                <w:spacing w:val="4"/>
              </w:rPr>
              <w:t>青湖</w:t>
            </w:r>
          </w:p>
        </w:tc>
        <w:tc>
          <w:tcPr>
            <w:tcW w:w="996" w:type="dxa"/>
            <w:vAlign w:val="top"/>
          </w:tcPr>
          <w:p w14:paraId="2D806C4E">
            <w:pPr>
              <w:spacing w:before="35"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-1944</w:t>
            </w:r>
          </w:p>
        </w:tc>
        <w:tc>
          <w:tcPr>
            <w:tcW w:w="1175" w:type="dxa"/>
            <w:vAlign w:val="top"/>
          </w:tcPr>
          <w:p w14:paraId="57B30EA6">
            <w:pPr>
              <w:spacing w:before="35" w:line="274" w:lineRule="exact"/>
              <w:ind w:left="39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1382</w:t>
            </w:r>
          </w:p>
        </w:tc>
        <w:tc>
          <w:tcPr>
            <w:tcW w:w="950" w:type="dxa"/>
            <w:vAlign w:val="top"/>
          </w:tcPr>
          <w:p w14:paraId="7D4A45D7">
            <w:pPr>
              <w:pStyle w:val="6"/>
              <w:spacing w:before="66" w:line="229" w:lineRule="auto"/>
              <w:ind w:left="273"/>
            </w:pPr>
            <w:r>
              <w:rPr>
                <w:spacing w:val="3"/>
              </w:rPr>
              <w:t>居民</w:t>
            </w:r>
          </w:p>
        </w:tc>
        <w:tc>
          <w:tcPr>
            <w:tcW w:w="1221" w:type="dxa"/>
            <w:vAlign w:val="top"/>
          </w:tcPr>
          <w:p w14:paraId="4F651C8E">
            <w:pPr>
              <w:pStyle w:val="6"/>
              <w:spacing w:before="35" w:line="274" w:lineRule="exact"/>
              <w:ind w:left="149"/>
            </w:pPr>
            <w:r>
              <w:rPr>
                <w:spacing w:val="2"/>
                <w:position w:val="1"/>
              </w:rPr>
              <w:t>约</w:t>
            </w:r>
            <w:r>
              <w:rPr>
                <w:spacing w:val="-44"/>
                <w:position w:val="1"/>
              </w:rPr>
              <w:t xml:space="preserve"> </w:t>
            </w:r>
            <w:r>
              <w:rPr>
                <w:rFonts w:ascii="Times New Roman" w:hAnsi="Times New Roman" w:eastAsia="Times New Roman" w:cs="Times New Roman"/>
                <w:spacing w:val="2"/>
                <w:position w:val="1"/>
              </w:rPr>
              <w:t>2000</w:t>
            </w:r>
            <w:r>
              <w:rPr>
                <w:rFonts w:ascii="Times New Roman" w:hAnsi="Times New Roman" w:eastAsia="Times New Roman" w:cs="Times New Roman"/>
                <w:spacing w:val="12"/>
                <w:position w:val="1"/>
              </w:rPr>
              <w:t xml:space="preserve"> </w:t>
            </w:r>
            <w:r>
              <w:rPr>
                <w:spacing w:val="2"/>
                <w:position w:val="1"/>
              </w:rPr>
              <w:t>人</w:t>
            </w:r>
          </w:p>
        </w:tc>
        <w:tc>
          <w:tcPr>
            <w:tcW w:w="1378" w:type="dxa"/>
            <w:vMerge w:val="continue"/>
            <w:tcBorders>
              <w:top w:val="nil"/>
              <w:bottom w:val="nil"/>
            </w:tcBorders>
            <w:vAlign w:val="top"/>
          </w:tcPr>
          <w:p w14:paraId="505EABE4">
            <w:pPr>
              <w:rPr>
                <w:rFonts w:ascii="Arial"/>
                <w:sz w:val="21"/>
              </w:rPr>
            </w:pPr>
          </w:p>
        </w:tc>
        <w:tc>
          <w:tcPr>
            <w:tcW w:w="898" w:type="dxa"/>
            <w:vAlign w:val="top"/>
          </w:tcPr>
          <w:p w14:paraId="13953405">
            <w:pPr>
              <w:pStyle w:val="6"/>
              <w:spacing w:before="66" w:line="232" w:lineRule="auto"/>
              <w:ind w:left="250"/>
            </w:pPr>
            <w:r>
              <w:rPr>
                <w:spacing w:val="2"/>
              </w:rPr>
              <w:t>西北</w:t>
            </w:r>
          </w:p>
        </w:tc>
        <w:tc>
          <w:tcPr>
            <w:tcW w:w="1017" w:type="dxa"/>
            <w:vAlign w:val="top"/>
          </w:tcPr>
          <w:p w14:paraId="5F457E0C">
            <w:pPr>
              <w:spacing w:before="35"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2319</w:t>
            </w:r>
          </w:p>
        </w:tc>
      </w:tr>
      <w:tr w14:paraId="33926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72747067">
            <w:pPr>
              <w:pStyle w:val="6"/>
              <w:spacing w:before="66" w:line="228" w:lineRule="auto"/>
              <w:ind w:left="347"/>
            </w:pPr>
            <w:r>
              <w:rPr>
                <w:spacing w:val="6"/>
              </w:rPr>
              <w:t>青围村</w:t>
            </w:r>
          </w:p>
        </w:tc>
        <w:tc>
          <w:tcPr>
            <w:tcW w:w="996" w:type="dxa"/>
            <w:vAlign w:val="top"/>
          </w:tcPr>
          <w:p w14:paraId="4CCC22E1">
            <w:pPr>
              <w:spacing w:before="35" w:line="275"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-2221</w:t>
            </w:r>
          </w:p>
        </w:tc>
        <w:tc>
          <w:tcPr>
            <w:tcW w:w="1175" w:type="dxa"/>
            <w:vAlign w:val="top"/>
          </w:tcPr>
          <w:p w14:paraId="2CB8FC7D">
            <w:pPr>
              <w:spacing w:before="35" w:line="275" w:lineRule="exact"/>
              <w:ind w:left="39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1856</w:t>
            </w:r>
          </w:p>
        </w:tc>
        <w:tc>
          <w:tcPr>
            <w:tcW w:w="950" w:type="dxa"/>
            <w:vAlign w:val="top"/>
          </w:tcPr>
          <w:p w14:paraId="267EC25C">
            <w:pPr>
              <w:pStyle w:val="6"/>
              <w:spacing w:before="66" w:line="229" w:lineRule="auto"/>
              <w:ind w:left="273"/>
            </w:pPr>
            <w:r>
              <w:rPr>
                <w:spacing w:val="3"/>
              </w:rPr>
              <w:t>居民</w:t>
            </w:r>
          </w:p>
        </w:tc>
        <w:tc>
          <w:tcPr>
            <w:tcW w:w="1221" w:type="dxa"/>
            <w:vAlign w:val="top"/>
          </w:tcPr>
          <w:p w14:paraId="5D529341">
            <w:pPr>
              <w:pStyle w:val="6"/>
              <w:spacing w:before="35" w:line="275" w:lineRule="exact"/>
              <w:ind w:left="281"/>
              <w:rPr>
                <w:rFonts w:ascii="Times New Roman" w:hAnsi="Times New Roman" w:eastAsia="Times New Roman" w:cs="Times New Roman"/>
              </w:rPr>
            </w:pPr>
            <w:r>
              <w:rPr>
                <w:spacing w:val="-2"/>
                <w:position w:val="1"/>
              </w:rPr>
              <w:t>约</w:t>
            </w:r>
            <w:r>
              <w:rPr>
                <w:spacing w:val="-22"/>
                <w:position w:val="1"/>
              </w:rPr>
              <w:t xml:space="preserve"> </w:t>
            </w:r>
            <w:r>
              <w:rPr>
                <w:rFonts w:ascii="Times New Roman" w:hAnsi="Times New Roman" w:eastAsia="Times New Roman" w:cs="Times New Roman"/>
                <w:spacing w:val="-2"/>
                <w:position w:val="1"/>
              </w:rPr>
              <w:t>1800</w:t>
            </w:r>
          </w:p>
        </w:tc>
        <w:tc>
          <w:tcPr>
            <w:tcW w:w="1378" w:type="dxa"/>
            <w:vMerge w:val="continue"/>
            <w:tcBorders>
              <w:top w:val="nil"/>
              <w:bottom w:val="nil"/>
            </w:tcBorders>
            <w:vAlign w:val="top"/>
          </w:tcPr>
          <w:p w14:paraId="77E50E8C">
            <w:pPr>
              <w:rPr>
                <w:rFonts w:ascii="Arial"/>
                <w:sz w:val="21"/>
              </w:rPr>
            </w:pPr>
          </w:p>
        </w:tc>
        <w:tc>
          <w:tcPr>
            <w:tcW w:w="898" w:type="dxa"/>
            <w:vAlign w:val="top"/>
          </w:tcPr>
          <w:p w14:paraId="595E7E3B">
            <w:pPr>
              <w:pStyle w:val="6"/>
              <w:spacing w:before="66" w:line="232" w:lineRule="auto"/>
              <w:ind w:left="250"/>
            </w:pPr>
            <w:r>
              <w:rPr>
                <w:spacing w:val="2"/>
              </w:rPr>
              <w:t>西北</w:t>
            </w:r>
          </w:p>
        </w:tc>
        <w:tc>
          <w:tcPr>
            <w:tcW w:w="1017" w:type="dxa"/>
            <w:vAlign w:val="top"/>
          </w:tcPr>
          <w:p w14:paraId="1E5A9250">
            <w:pPr>
              <w:spacing w:before="35" w:line="275"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2841</w:t>
            </w:r>
          </w:p>
        </w:tc>
      </w:tr>
      <w:tr w14:paraId="08D43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3C9AC58F">
            <w:pPr>
              <w:pStyle w:val="6"/>
              <w:spacing w:before="61" w:line="222" w:lineRule="auto"/>
              <w:ind w:left="444"/>
              <w:rPr>
                <w:sz w:val="22"/>
                <w:szCs w:val="22"/>
              </w:rPr>
            </w:pPr>
            <w:r>
              <w:rPr>
                <w:spacing w:val="-4"/>
                <w:sz w:val="22"/>
                <w:szCs w:val="22"/>
              </w:rPr>
              <w:t>新围</w:t>
            </w:r>
          </w:p>
        </w:tc>
        <w:tc>
          <w:tcPr>
            <w:tcW w:w="996" w:type="dxa"/>
            <w:vAlign w:val="top"/>
          </w:tcPr>
          <w:p w14:paraId="29C52749">
            <w:pPr>
              <w:spacing w:before="36"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-1990</w:t>
            </w:r>
          </w:p>
        </w:tc>
        <w:tc>
          <w:tcPr>
            <w:tcW w:w="1175" w:type="dxa"/>
            <w:vAlign w:val="top"/>
          </w:tcPr>
          <w:p w14:paraId="7B3E74F4">
            <w:pPr>
              <w:spacing w:before="36" w:line="274" w:lineRule="exact"/>
              <w:ind w:left="37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2149</w:t>
            </w:r>
          </w:p>
        </w:tc>
        <w:tc>
          <w:tcPr>
            <w:tcW w:w="950" w:type="dxa"/>
            <w:vAlign w:val="top"/>
          </w:tcPr>
          <w:p w14:paraId="4773D5D2">
            <w:pPr>
              <w:pStyle w:val="6"/>
              <w:spacing w:before="67" w:line="229" w:lineRule="auto"/>
              <w:ind w:left="273"/>
            </w:pPr>
            <w:r>
              <w:rPr>
                <w:spacing w:val="3"/>
              </w:rPr>
              <w:t>居民</w:t>
            </w:r>
          </w:p>
        </w:tc>
        <w:tc>
          <w:tcPr>
            <w:tcW w:w="1221" w:type="dxa"/>
            <w:vAlign w:val="top"/>
          </w:tcPr>
          <w:p w14:paraId="06D086FE">
            <w:pPr>
              <w:pStyle w:val="6"/>
              <w:spacing w:before="36" w:line="274" w:lineRule="exact"/>
              <w:ind w:left="332"/>
              <w:rPr>
                <w:rFonts w:ascii="Times New Roman" w:hAnsi="Times New Roman" w:eastAsia="Times New Roman" w:cs="Times New Roman"/>
              </w:rPr>
            </w:pPr>
            <w:r>
              <w:rPr>
                <w:spacing w:val="-1"/>
                <w:position w:val="1"/>
              </w:rPr>
              <w:t>约</w:t>
            </w:r>
            <w:r>
              <w:rPr>
                <w:spacing w:val="-33"/>
                <w:position w:val="1"/>
              </w:rPr>
              <w:t xml:space="preserve"> </w:t>
            </w:r>
            <w:r>
              <w:rPr>
                <w:rFonts w:ascii="Times New Roman" w:hAnsi="Times New Roman" w:eastAsia="Times New Roman" w:cs="Times New Roman"/>
                <w:spacing w:val="-1"/>
                <w:position w:val="1"/>
              </w:rPr>
              <w:t>800</w:t>
            </w:r>
          </w:p>
        </w:tc>
        <w:tc>
          <w:tcPr>
            <w:tcW w:w="1378" w:type="dxa"/>
            <w:vMerge w:val="continue"/>
            <w:tcBorders>
              <w:top w:val="nil"/>
              <w:bottom w:val="nil"/>
            </w:tcBorders>
            <w:vAlign w:val="top"/>
          </w:tcPr>
          <w:p w14:paraId="5F2E6230">
            <w:pPr>
              <w:rPr>
                <w:rFonts w:ascii="Arial"/>
                <w:sz w:val="21"/>
              </w:rPr>
            </w:pPr>
          </w:p>
        </w:tc>
        <w:tc>
          <w:tcPr>
            <w:tcW w:w="898" w:type="dxa"/>
            <w:vAlign w:val="top"/>
          </w:tcPr>
          <w:p w14:paraId="6CA2E8BC">
            <w:pPr>
              <w:pStyle w:val="6"/>
              <w:spacing w:before="67" w:line="232" w:lineRule="auto"/>
              <w:ind w:left="250"/>
            </w:pPr>
            <w:r>
              <w:rPr>
                <w:spacing w:val="2"/>
              </w:rPr>
              <w:t>西北</w:t>
            </w:r>
          </w:p>
        </w:tc>
        <w:tc>
          <w:tcPr>
            <w:tcW w:w="1017" w:type="dxa"/>
            <w:vAlign w:val="top"/>
          </w:tcPr>
          <w:p w14:paraId="080F5DEC">
            <w:pPr>
              <w:spacing w:before="36"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2891</w:t>
            </w:r>
          </w:p>
        </w:tc>
      </w:tr>
      <w:tr w14:paraId="632E2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315" w:type="dxa"/>
            <w:vAlign w:val="top"/>
          </w:tcPr>
          <w:p w14:paraId="1DBA378A">
            <w:pPr>
              <w:pStyle w:val="6"/>
              <w:spacing w:before="54" w:line="221" w:lineRule="auto"/>
              <w:ind w:left="229"/>
              <w:rPr>
                <w:sz w:val="22"/>
                <w:szCs w:val="22"/>
              </w:rPr>
            </w:pPr>
            <w:r>
              <w:rPr>
                <w:spacing w:val="-4"/>
                <w:sz w:val="22"/>
                <w:szCs w:val="22"/>
              </w:rPr>
              <w:t>公平水库</w:t>
            </w:r>
          </w:p>
          <w:p w14:paraId="7C7A23FE">
            <w:pPr>
              <w:pStyle w:val="6"/>
              <w:spacing w:before="63" w:line="220" w:lineRule="auto"/>
              <w:ind w:left="554"/>
              <w:rPr>
                <w:sz w:val="22"/>
                <w:szCs w:val="22"/>
              </w:rPr>
            </w:pPr>
            <w:r>
              <w:rPr>
                <w:sz w:val="22"/>
                <w:szCs w:val="22"/>
              </w:rPr>
              <w:t>村</w:t>
            </w:r>
          </w:p>
        </w:tc>
        <w:tc>
          <w:tcPr>
            <w:tcW w:w="996" w:type="dxa"/>
            <w:vAlign w:val="top"/>
          </w:tcPr>
          <w:p w14:paraId="5E64A8E4">
            <w:pPr>
              <w:spacing w:before="192"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-301</w:t>
            </w:r>
          </w:p>
        </w:tc>
        <w:tc>
          <w:tcPr>
            <w:tcW w:w="1175" w:type="dxa"/>
            <w:vAlign w:val="top"/>
          </w:tcPr>
          <w:p w14:paraId="42113BD5">
            <w:pPr>
              <w:spacing w:before="192" w:line="274" w:lineRule="exact"/>
              <w:ind w:left="39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1605</w:t>
            </w:r>
          </w:p>
        </w:tc>
        <w:tc>
          <w:tcPr>
            <w:tcW w:w="950" w:type="dxa"/>
            <w:vAlign w:val="top"/>
          </w:tcPr>
          <w:p w14:paraId="3092BC21">
            <w:pPr>
              <w:pStyle w:val="6"/>
              <w:spacing w:before="223" w:line="229" w:lineRule="auto"/>
              <w:ind w:left="273"/>
            </w:pPr>
            <w:r>
              <w:rPr>
                <w:spacing w:val="3"/>
              </w:rPr>
              <w:t>居民</w:t>
            </w:r>
          </w:p>
        </w:tc>
        <w:tc>
          <w:tcPr>
            <w:tcW w:w="1221" w:type="dxa"/>
            <w:vAlign w:val="top"/>
          </w:tcPr>
          <w:p w14:paraId="12425778">
            <w:pPr>
              <w:pStyle w:val="6"/>
              <w:spacing w:before="192" w:line="274" w:lineRule="exact"/>
              <w:ind w:left="281"/>
              <w:rPr>
                <w:rFonts w:ascii="Times New Roman" w:hAnsi="Times New Roman" w:eastAsia="Times New Roman" w:cs="Times New Roman"/>
              </w:rPr>
            </w:pPr>
            <w:r>
              <w:rPr>
                <w:spacing w:val="2"/>
                <w:position w:val="1"/>
              </w:rPr>
              <w:t>约</w:t>
            </w:r>
            <w:r>
              <w:rPr>
                <w:spacing w:val="-42"/>
                <w:position w:val="1"/>
              </w:rPr>
              <w:t xml:space="preserve"> </w:t>
            </w:r>
            <w:r>
              <w:rPr>
                <w:rFonts w:ascii="Times New Roman" w:hAnsi="Times New Roman" w:eastAsia="Times New Roman" w:cs="Times New Roman"/>
                <w:spacing w:val="2"/>
                <w:position w:val="1"/>
              </w:rPr>
              <w:t>2500</w:t>
            </w:r>
          </w:p>
        </w:tc>
        <w:tc>
          <w:tcPr>
            <w:tcW w:w="1378" w:type="dxa"/>
            <w:vMerge w:val="continue"/>
            <w:tcBorders>
              <w:top w:val="nil"/>
              <w:bottom w:val="nil"/>
            </w:tcBorders>
            <w:vAlign w:val="top"/>
          </w:tcPr>
          <w:p w14:paraId="4B030941">
            <w:pPr>
              <w:rPr>
                <w:rFonts w:ascii="Arial"/>
                <w:sz w:val="21"/>
              </w:rPr>
            </w:pPr>
          </w:p>
        </w:tc>
        <w:tc>
          <w:tcPr>
            <w:tcW w:w="898" w:type="dxa"/>
            <w:vAlign w:val="top"/>
          </w:tcPr>
          <w:p w14:paraId="07BE18DD">
            <w:pPr>
              <w:pStyle w:val="6"/>
              <w:spacing w:before="223" w:line="232" w:lineRule="auto"/>
              <w:ind w:left="354"/>
            </w:pPr>
            <w:r>
              <w:t>北</w:t>
            </w:r>
          </w:p>
        </w:tc>
        <w:tc>
          <w:tcPr>
            <w:tcW w:w="1017" w:type="dxa"/>
            <w:vAlign w:val="top"/>
          </w:tcPr>
          <w:p w14:paraId="69056A99">
            <w:pPr>
              <w:spacing w:before="192"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1577</w:t>
            </w:r>
          </w:p>
        </w:tc>
      </w:tr>
      <w:tr w14:paraId="5A26F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5BE6E0AF">
            <w:pPr>
              <w:pStyle w:val="6"/>
              <w:spacing w:before="63" w:line="221" w:lineRule="auto"/>
              <w:ind w:left="333"/>
              <w:rPr>
                <w:sz w:val="22"/>
                <w:szCs w:val="22"/>
              </w:rPr>
            </w:pPr>
            <w:r>
              <w:rPr>
                <w:spacing w:val="-3"/>
                <w:sz w:val="22"/>
                <w:szCs w:val="22"/>
              </w:rPr>
              <w:t>胜高楼</w:t>
            </w:r>
          </w:p>
        </w:tc>
        <w:tc>
          <w:tcPr>
            <w:tcW w:w="996" w:type="dxa"/>
            <w:vAlign w:val="top"/>
          </w:tcPr>
          <w:p w14:paraId="2EB5EBD6">
            <w:pPr>
              <w:spacing w:before="28" w:line="290" w:lineRule="exact"/>
              <w:ind w:left="337"/>
              <w:rPr>
                <w:rFonts w:ascii="Times New Roman" w:hAnsi="Times New Roman" w:eastAsia="Times New Roman" w:cs="Times New Roman"/>
                <w:sz w:val="22"/>
                <w:szCs w:val="22"/>
              </w:rPr>
            </w:pPr>
            <w:r>
              <w:rPr>
                <w:rFonts w:ascii="Times New Roman" w:hAnsi="Times New Roman" w:eastAsia="Times New Roman" w:cs="Times New Roman"/>
                <w:spacing w:val="-3"/>
                <w:position w:val="1"/>
                <w:sz w:val="22"/>
                <w:szCs w:val="22"/>
              </w:rPr>
              <w:t>731</w:t>
            </w:r>
          </w:p>
        </w:tc>
        <w:tc>
          <w:tcPr>
            <w:tcW w:w="1175" w:type="dxa"/>
            <w:vAlign w:val="top"/>
          </w:tcPr>
          <w:p w14:paraId="4AE1DFDE">
            <w:pPr>
              <w:spacing w:before="28" w:line="290" w:lineRule="exact"/>
              <w:ind w:left="391"/>
              <w:rPr>
                <w:rFonts w:ascii="Times New Roman" w:hAnsi="Times New Roman" w:eastAsia="Times New Roman" w:cs="Times New Roman"/>
                <w:sz w:val="22"/>
                <w:szCs w:val="22"/>
              </w:rPr>
            </w:pPr>
            <w:r>
              <w:rPr>
                <w:rFonts w:ascii="Times New Roman" w:hAnsi="Times New Roman" w:eastAsia="Times New Roman" w:cs="Times New Roman"/>
                <w:spacing w:val="-7"/>
                <w:position w:val="1"/>
                <w:sz w:val="22"/>
                <w:szCs w:val="22"/>
              </w:rPr>
              <w:t>1876</w:t>
            </w:r>
          </w:p>
        </w:tc>
        <w:tc>
          <w:tcPr>
            <w:tcW w:w="950" w:type="dxa"/>
            <w:vAlign w:val="top"/>
          </w:tcPr>
          <w:p w14:paraId="05A16A62">
            <w:pPr>
              <w:pStyle w:val="6"/>
              <w:spacing w:before="68" w:line="229" w:lineRule="auto"/>
              <w:ind w:left="273"/>
            </w:pPr>
            <w:r>
              <w:rPr>
                <w:spacing w:val="3"/>
              </w:rPr>
              <w:t>居民</w:t>
            </w:r>
          </w:p>
        </w:tc>
        <w:tc>
          <w:tcPr>
            <w:tcW w:w="1221" w:type="dxa"/>
            <w:vAlign w:val="top"/>
          </w:tcPr>
          <w:p w14:paraId="2884D961">
            <w:pPr>
              <w:pStyle w:val="6"/>
              <w:spacing w:before="38" w:line="274" w:lineRule="exact"/>
              <w:ind w:left="281"/>
              <w:rPr>
                <w:rFonts w:ascii="Times New Roman" w:hAnsi="Times New Roman" w:eastAsia="Times New Roman" w:cs="Times New Roman"/>
              </w:rPr>
            </w:pPr>
            <w:r>
              <w:rPr>
                <w:spacing w:val="-2"/>
                <w:position w:val="1"/>
              </w:rPr>
              <w:t>约</w:t>
            </w:r>
            <w:r>
              <w:rPr>
                <w:spacing w:val="-22"/>
                <w:position w:val="1"/>
              </w:rPr>
              <w:t xml:space="preserve"> </w:t>
            </w:r>
            <w:r>
              <w:rPr>
                <w:rFonts w:ascii="Times New Roman" w:hAnsi="Times New Roman" w:eastAsia="Times New Roman" w:cs="Times New Roman"/>
                <w:spacing w:val="-2"/>
                <w:position w:val="1"/>
              </w:rPr>
              <w:t>1000</w:t>
            </w:r>
          </w:p>
        </w:tc>
        <w:tc>
          <w:tcPr>
            <w:tcW w:w="1378" w:type="dxa"/>
            <w:vMerge w:val="continue"/>
            <w:tcBorders>
              <w:top w:val="nil"/>
              <w:bottom w:val="nil"/>
            </w:tcBorders>
            <w:vAlign w:val="top"/>
          </w:tcPr>
          <w:p w14:paraId="51BE18BD">
            <w:pPr>
              <w:rPr>
                <w:rFonts w:ascii="Arial"/>
                <w:sz w:val="21"/>
              </w:rPr>
            </w:pPr>
          </w:p>
        </w:tc>
        <w:tc>
          <w:tcPr>
            <w:tcW w:w="898" w:type="dxa"/>
            <w:vAlign w:val="top"/>
          </w:tcPr>
          <w:p w14:paraId="1D44949B">
            <w:pPr>
              <w:pStyle w:val="6"/>
              <w:spacing w:before="68" w:line="232" w:lineRule="auto"/>
              <w:ind w:left="354"/>
            </w:pPr>
            <w:r>
              <w:t>北</w:t>
            </w:r>
          </w:p>
        </w:tc>
        <w:tc>
          <w:tcPr>
            <w:tcW w:w="1017" w:type="dxa"/>
            <w:vAlign w:val="top"/>
          </w:tcPr>
          <w:p w14:paraId="459B9164">
            <w:pPr>
              <w:spacing w:before="38"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1916</w:t>
            </w:r>
          </w:p>
        </w:tc>
      </w:tr>
      <w:tr w14:paraId="588EB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1C71F05C">
            <w:pPr>
              <w:pStyle w:val="6"/>
              <w:spacing w:before="63" w:line="222" w:lineRule="auto"/>
              <w:ind w:left="334"/>
              <w:rPr>
                <w:sz w:val="22"/>
                <w:szCs w:val="22"/>
              </w:rPr>
            </w:pPr>
            <w:r>
              <w:rPr>
                <w:spacing w:val="-3"/>
                <w:sz w:val="22"/>
                <w:szCs w:val="22"/>
              </w:rPr>
              <w:t>彭厝寨</w:t>
            </w:r>
          </w:p>
        </w:tc>
        <w:tc>
          <w:tcPr>
            <w:tcW w:w="996" w:type="dxa"/>
            <w:vAlign w:val="top"/>
          </w:tcPr>
          <w:p w14:paraId="0D8C2197">
            <w:pPr>
              <w:spacing w:before="28" w:line="290" w:lineRule="exact"/>
              <w:ind w:left="300"/>
              <w:rPr>
                <w:rFonts w:ascii="Times New Roman" w:hAnsi="Times New Roman" w:eastAsia="Times New Roman" w:cs="Times New Roman"/>
                <w:sz w:val="22"/>
                <w:szCs w:val="22"/>
              </w:rPr>
            </w:pPr>
            <w:r>
              <w:rPr>
                <w:rFonts w:ascii="Times New Roman" w:hAnsi="Times New Roman" w:eastAsia="Times New Roman" w:cs="Times New Roman"/>
                <w:spacing w:val="-7"/>
                <w:position w:val="1"/>
                <w:sz w:val="22"/>
                <w:szCs w:val="22"/>
              </w:rPr>
              <w:t>1748</w:t>
            </w:r>
          </w:p>
        </w:tc>
        <w:tc>
          <w:tcPr>
            <w:tcW w:w="1175" w:type="dxa"/>
            <w:vAlign w:val="top"/>
          </w:tcPr>
          <w:p w14:paraId="56B15EB1">
            <w:pPr>
              <w:spacing w:before="28" w:line="290" w:lineRule="exact"/>
              <w:ind w:left="370"/>
              <w:rPr>
                <w:rFonts w:ascii="Times New Roman" w:hAnsi="Times New Roman" w:eastAsia="Times New Roman" w:cs="Times New Roman"/>
                <w:sz w:val="22"/>
                <w:szCs w:val="22"/>
              </w:rPr>
            </w:pPr>
            <w:r>
              <w:rPr>
                <w:rFonts w:ascii="Times New Roman" w:hAnsi="Times New Roman" w:eastAsia="Times New Roman" w:cs="Times New Roman"/>
                <w:spacing w:val="-1"/>
                <w:position w:val="1"/>
                <w:sz w:val="22"/>
                <w:szCs w:val="22"/>
              </w:rPr>
              <w:t>2121</w:t>
            </w:r>
          </w:p>
        </w:tc>
        <w:tc>
          <w:tcPr>
            <w:tcW w:w="950" w:type="dxa"/>
            <w:vAlign w:val="top"/>
          </w:tcPr>
          <w:p w14:paraId="392718BD">
            <w:pPr>
              <w:pStyle w:val="6"/>
              <w:spacing w:before="69" w:line="229" w:lineRule="auto"/>
              <w:ind w:left="273"/>
            </w:pPr>
            <w:r>
              <w:rPr>
                <w:spacing w:val="3"/>
              </w:rPr>
              <w:t>居民</w:t>
            </w:r>
          </w:p>
        </w:tc>
        <w:tc>
          <w:tcPr>
            <w:tcW w:w="1221" w:type="dxa"/>
            <w:vAlign w:val="top"/>
          </w:tcPr>
          <w:p w14:paraId="7488CF07">
            <w:pPr>
              <w:pStyle w:val="6"/>
              <w:spacing w:before="38" w:line="274" w:lineRule="exact"/>
              <w:ind w:left="332"/>
              <w:rPr>
                <w:rFonts w:ascii="Times New Roman" w:hAnsi="Times New Roman" w:eastAsia="Times New Roman" w:cs="Times New Roman"/>
              </w:rPr>
            </w:pPr>
            <w:r>
              <w:rPr>
                <w:spacing w:val="-1"/>
                <w:position w:val="1"/>
              </w:rPr>
              <w:t>约</w:t>
            </w:r>
            <w:r>
              <w:rPr>
                <w:spacing w:val="-33"/>
                <w:position w:val="1"/>
              </w:rPr>
              <w:t xml:space="preserve"> </w:t>
            </w:r>
            <w:r>
              <w:rPr>
                <w:rFonts w:ascii="Times New Roman" w:hAnsi="Times New Roman" w:eastAsia="Times New Roman" w:cs="Times New Roman"/>
                <w:spacing w:val="-1"/>
                <w:position w:val="1"/>
              </w:rPr>
              <w:t>800</w:t>
            </w:r>
          </w:p>
        </w:tc>
        <w:tc>
          <w:tcPr>
            <w:tcW w:w="1378" w:type="dxa"/>
            <w:vMerge w:val="continue"/>
            <w:tcBorders>
              <w:top w:val="nil"/>
              <w:bottom w:val="nil"/>
            </w:tcBorders>
            <w:vAlign w:val="top"/>
          </w:tcPr>
          <w:p w14:paraId="332DD0AA">
            <w:pPr>
              <w:rPr>
                <w:rFonts w:ascii="Arial"/>
                <w:sz w:val="21"/>
              </w:rPr>
            </w:pPr>
          </w:p>
        </w:tc>
        <w:tc>
          <w:tcPr>
            <w:tcW w:w="898" w:type="dxa"/>
            <w:vAlign w:val="top"/>
          </w:tcPr>
          <w:p w14:paraId="1BFC211C">
            <w:pPr>
              <w:pStyle w:val="6"/>
              <w:spacing w:before="69" w:line="228" w:lineRule="auto"/>
              <w:ind w:left="253"/>
            </w:pPr>
            <w:r>
              <w:rPr>
                <w:spacing w:val="1"/>
              </w:rPr>
              <w:t>东北</w:t>
            </w:r>
          </w:p>
        </w:tc>
        <w:tc>
          <w:tcPr>
            <w:tcW w:w="1017" w:type="dxa"/>
            <w:vAlign w:val="top"/>
          </w:tcPr>
          <w:p w14:paraId="22D77AF8">
            <w:pPr>
              <w:spacing w:before="38"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2606</w:t>
            </w:r>
          </w:p>
        </w:tc>
      </w:tr>
      <w:tr w14:paraId="3254F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315" w:type="dxa"/>
            <w:vAlign w:val="top"/>
          </w:tcPr>
          <w:p w14:paraId="2584535B">
            <w:pPr>
              <w:pStyle w:val="6"/>
              <w:spacing w:before="56" w:line="221" w:lineRule="auto"/>
              <w:ind w:left="222"/>
              <w:rPr>
                <w:sz w:val="22"/>
                <w:szCs w:val="22"/>
              </w:rPr>
            </w:pPr>
            <w:r>
              <w:rPr>
                <w:spacing w:val="-2"/>
                <w:sz w:val="22"/>
                <w:szCs w:val="22"/>
              </w:rPr>
              <w:t>潭头垅新</w:t>
            </w:r>
          </w:p>
          <w:p w14:paraId="6103C252">
            <w:pPr>
              <w:pStyle w:val="6"/>
              <w:spacing w:before="60" w:line="220" w:lineRule="auto"/>
              <w:ind w:left="554"/>
              <w:rPr>
                <w:sz w:val="22"/>
                <w:szCs w:val="22"/>
              </w:rPr>
            </w:pPr>
            <w:r>
              <w:rPr>
                <w:sz w:val="22"/>
                <w:szCs w:val="22"/>
              </w:rPr>
              <w:t>村</w:t>
            </w:r>
          </w:p>
        </w:tc>
        <w:tc>
          <w:tcPr>
            <w:tcW w:w="996" w:type="dxa"/>
            <w:vAlign w:val="top"/>
          </w:tcPr>
          <w:p w14:paraId="52184CDD">
            <w:pPr>
              <w:spacing w:before="185" w:line="290" w:lineRule="exact"/>
              <w:ind w:left="343"/>
              <w:rPr>
                <w:rFonts w:ascii="Times New Roman" w:hAnsi="Times New Roman" w:eastAsia="Times New Roman" w:cs="Times New Roman"/>
                <w:sz w:val="22"/>
                <w:szCs w:val="22"/>
              </w:rPr>
            </w:pPr>
            <w:r>
              <w:rPr>
                <w:rFonts w:ascii="Times New Roman" w:hAnsi="Times New Roman" w:eastAsia="Times New Roman" w:cs="Times New Roman"/>
                <w:spacing w:val="-5"/>
                <w:position w:val="1"/>
                <w:sz w:val="22"/>
                <w:szCs w:val="22"/>
              </w:rPr>
              <w:t>852</w:t>
            </w:r>
          </w:p>
        </w:tc>
        <w:tc>
          <w:tcPr>
            <w:tcW w:w="1175" w:type="dxa"/>
            <w:vAlign w:val="top"/>
          </w:tcPr>
          <w:p w14:paraId="59A557A3">
            <w:pPr>
              <w:spacing w:before="185" w:line="290" w:lineRule="exact"/>
              <w:ind w:left="391"/>
              <w:rPr>
                <w:rFonts w:ascii="Times New Roman" w:hAnsi="Times New Roman" w:eastAsia="Times New Roman" w:cs="Times New Roman"/>
                <w:sz w:val="22"/>
                <w:szCs w:val="22"/>
              </w:rPr>
            </w:pPr>
            <w:r>
              <w:rPr>
                <w:rFonts w:ascii="Times New Roman" w:hAnsi="Times New Roman" w:eastAsia="Times New Roman" w:cs="Times New Roman"/>
                <w:spacing w:val="-3"/>
                <w:position w:val="1"/>
                <w:sz w:val="22"/>
                <w:szCs w:val="22"/>
              </w:rPr>
              <w:t>-703</w:t>
            </w:r>
          </w:p>
        </w:tc>
        <w:tc>
          <w:tcPr>
            <w:tcW w:w="950" w:type="dxa"/>
            <w:vAlign w:val="top"/>
          </w:tcPr>
          <w:p w14:paraId="64496568">
            <w:pPr>
              <w:pStyle w:val="6"/>
              <w:spacing w:before="223" w:line="229" w:lineRule="auto"/>
              <w:ind w:left="273"/>
            </w:pPr>
            <w:r>
              <w:rPr>
                <w:spacing w:val="3"/>
              </w:rPr>
              <w:t>居民</w:t>
            </w:r>
          </w:p>
        </w:tc>
        <w:tc>
          <w:tcPr>
            <w:tcW w:w="1221" w:type="dxa"/>
            <w:vAlign w:val="top"/>
          </w:tcPr>
          <w:p w14:paraId="5C26A20F">
            <w:pPr>
              <w:pStyle w:val="6"/>
              <w:spacing w:before="192" w:line="274" w:lineRule="exact"/>
              <w:ind w:left="281"/>
              <w:rPr>
                <w:rFonts w:ascii="Times New Roman" w:hAnsi="Times New Roman" w:eastAsia="Times New Roman" w:cs="Times New Roman"/>
              </w:rPr>
            </w:pPr>
            <w:r>
              <w:rPr>
                <w:spacing w:val="-2"/>
                <w:position w:val="1"/>
              </w:rPr>
              <w:t>约</w:t>
            </w:r>
            <w:r>
              <w:rPr>
                <w:spacing w:val="-22"/>
                <w:position w:val="1"/>
              </w:rPr>
              <w:t xml:space="preserve"> </w:t>
            </w:r>
            <w:r>
              <w:rPr>
                <w:rFonts w:ascii="Times New Roman" w:hAnsi="Times New Roman" w:eastAsia="Times New Roman" w:cs="Times New Roman"/>
                <w:spacing w:val="-2"/>
                <w:position w:val="1"/>
              </w:rPr>
              <w:t>1000</w:t>
            </w:r>
          </w:p>
        </w:tc>
        <w:tc>
          <w:tcPr>
            <w:tcW w:w="1378" w:type="dxa"/>
            <w:vMerge w:val="continue"/>
            <w:tcBorders>
              <w:top w:val="nil"/>
              <w:bottom w:val="nil"/>
            </w:tcBorders>
            <w:vAlign w:val="top"/>
          </w:tcPr>
          <w:p w14:paraId="4EFD12C0">
            <w:pPr>
              <w:rPr>
                <w:rFonts w:ascii="Arial"/>
                <w:sz w:val="21"/>
              </w:rPr>
            </w:pPr>
          </w:p>
        </w:tc>
        <w:tc>
          <w:tcPr>
            <w:tcW w:w="898" w:type="dxa"/>
            <w:vAlign w:val="top"/>
          </w:tcPr>
          <w:p w14:paraId="459E9D10">
            <w:pPr>
              <w:pStyle w:val="6"/>
              <w:spacing w:before="223" w:line="228" w:lineRule="auto"/>
              <w:ind w:left="253"/>
            </w:pPr>
            <w:r>
              <w:rPr>
                <w:spacing w:val="1"/>
              </w:rPr>
              <w:t>东南</w:t>
            </w:r>
          </w:p>
        </w:tc>
        <w:tc>
          <w:tcPr>
            <w:tcW w:w="1017" w:type="dxa"/>
            <w:vAlign w:val="top"/>
          </w:tcPr>
          <w:p w14:paraId="4457CF28">
            <w:pPr>
              <w:spacing w:before="192"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1083</w:t>
            </w:r>
          </w:p>
        </w:tc>
      </w:tr>
      <w:tr w14:paraId="676F0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2A48F9B5">
            <w:pPr>
              <w:pStyle w:val="6"/>
              <w:spacing w:before="63" w:line="221" w:lineRule="auto"/>
              <w:ind w:left="333"/>
              <w:rPr>
                <w:sz w:val="22"/>
                <w:szCs w:val="22"/>
              </w:rPr>
            </w:pPr>
            <w:r>
              <w:rPr>
                <w:spacing w:val="-3"/>
                <w:sz w:val="22"/>
                <w:szCs w:val="22"/>
              </w:rPr>
              <w:t>潭头垅</w:t>
            </w:r>
          </w:p>
        </w:tc>
        <w:tc>
          <w:tcPr>
            <w:tcW w:w="996" w:type="dxa"/>
            <w:vAlign w:val="top"/>
          </w:tcPr>
          <w:p w14:paraId="01B74806">
            <w:pPr>
              <w:spacing w:before="30" w:line="290" w:lineRule="exact"/>
              <w:ind w:left="300"/>
              <w:rPr>
                <w:rFonts w:ascii="Times New Roman" w:hAnsi="Times New Roman" w:eastAsia="Times New Roman" w:cs="Times New Roman"/>
                <w:sz w:val="22"/>
                <w:szCs w:val="22"/>
              </w:rPr>
            </w:pPr>
            <w:r>
              <w:rPr>
                <w:rFonts w:ascii="Times New Roman" w:hAnsi="Times New Roman" w:eastAsia="Times New Roman" w:cs="Times New Roman"/>
                <w:spacing w:val="-7"/>
                <w:position w:val="1"/>
                <w:sz w:val="22"/>
                <w:szCs w:val="22"/>
              </w:rPr>
              <w:t>1261</w:t>
            </w:r>
          </w:p>
        </w:tc>
        <w:tc>
          <w:tcPr>
            <w:tcW w:w="1175" w:type="dxa"/>
            <w:vAlign w:val="top"/>
          </w:tcPr>
          <w:p w14:paraId="506F6A7F">
            <w:pPr>
              <w:spacing w:before="30" w:line="290" w:lineRule="exact"/>
              <w:ind w:left="336"/>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-1225</w:t>
            </w:r>
          </w:p>
        </w:tc>
        <w:tc>
          <w:tcPr>
            <w:tcW w:w="950" w:type="dxa"/>
            <w:vAlign w:val="top"/>
          </w:tcPr>
          <w:p w14:paraId="52E59D37">
            <w:pPr>
              <w:pStyle w:val="6"/>
              <w:spacing w:before="68" w:line="229" w:lineRule="auto"/>
              <w:ind w:left="273"/>
            </w:pPr>
            <w:r>
              <w:rPr>
                <w:spacing w:val="3"/>
              </w:rPr>
              <w:t>居民</w:t>
            </w:r>
          </w:p>
        </w:tc>
        <w:tc>
          <w:tcPr>
            <w:tcW w:w="1221" w:type="dxa"/>
            <w:vAlign w:val="top"/>
          </w:tcPr>
          <w:p w14:paraId="03E1F583">
            <w:pPr>
              <w:pStyle w:val="6"/>
              <w:spacing w:before="37" w:line="275" w:lineRule="exact"/>
              <w:ind w:left="332"/>
              <w:rPr>
                <w:rFonts w:ascii="Times New Roman" w:hAnsi="Times New Roman" w:eastAsia="Times New Roman" w:cs="Times New Roman"/>
              </w:rPr>
            </w:pPr>
            <w:r>
              <w:rPr>
                <w:position w:val="1"/>
              </w:rPr>
              <w:t>约</w:t>
            </w:r>
            <w:r>
              <w:rPr>
                <w:spacing w:val="-37"/>
                <w:position w:val="1"/>
              </w:rPr>
              <w:t xml:space="preserve"> </w:t>
            </w:r>
            <w:r>
              <w:rPr>
                <w:rFonts w:ascii="Times New Roman" w:hAnsi="Times New Roman" w:eastAsia="Times New Roman" w:cs="Times New Roman"/>
                <w:position w:val="1"/>
              </w:rPr>
              <w:t>600</w:t>
            </w:r>
          </w:p>
        </w:tc>
        <w:tc>
          <w:tcPr>
            <w:tcW w:w="1378" w:type="dxa"/>
            <w:vMerge w:val="continue"/>
            <w:tcBorders>
              <w:top w:val="nil"/>
              <w:bottom w:val="nil"/>
            </w:tcBorders>
            <w:vAlign w:val="top"/>
          </w:tcPr>
          <w:p w14:paraId="29C61E01">
            <w:pPr>
              <w:rPr>
                <w:rFonts w:ascii="Arial"/>
                <w:sz w:val="21"/>
              </w:rPr>
            </w:pPr>
          </w:p>
        </w:tc>
        <w:tc>
          <w:tcPr>
            <w:tcW w:w="898" w:type="dxa"/>
            <w:vAlign w:val="top"/>
          </w:tcPr>
          <w:p w14:paraId="6AFEB43A">
            <w:pPr>
              <w:pStyle w:val="6"/>
              <w:spacing w:before="69" w:line="228" w:lineRule="auto"/>
              <w:ind w:left="253"/>
            </w:pPr>
            <w:r>
              <w:rPr>
                <w:spacing w:val="1"/>
              </w:rPr>
              <w:t>东南</w:t>
            </w:r>
          </w:p>
        </w:tc>
        <w:tc>
          <w:tcPr>
            <w:tcW w:w="1017" w:type="dxa"/>
            <w:vAlign w:val="top"/>
          </w:tcPr>
          <w:p w14:paraId="462768FF">
            <w:pPr>
              <w:spacing w:before="37" w:line="275"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1722</w:t>
            </w:r>
          </w:p>
        </w:tc>
      </w:tr>
      <w:tr w14:paraId="28C35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1279CA63">
            <w:pPr>
              <w:pStyle w:val="6"/>
              <w:spacing w:before="63" w:line="220" w:lineRule="auto"/>
              <w:ind w:left="334"/>
              <w:rPr>
                <w:sz w:val="22"/>
                <w:szCs w:val="22"/>
              </w:rPr>
            </w:pPr>
            <w:r>
              <w:rPr>
                <w:spacing w:val="-3"/>
                <w:sz w:val="22"/>
                <w:szCs w:val="22"/>
              </w:rPr>
              <w:t>后山村</w:t>
            </w:r>
          </w:p>
        </w:tc>
        <w:tc>
          <w:tcPr>
            <w:tcW w:w="996" w:type="dxa"/>
            <w:vAlign w:val="top"/>
          </w:tcPr>
          <w:p w14:paraId="2CE9BEC8">
            <w:pPr>
              <w:spacing w:before="28" w:line="290" w:lineRule="exact"/>
              <w:ind w:left="302"/>
              <w:rPr>
                <w:rFonts w:ascii="Times New Roman" w:hAnsi="Times New Roman" w:eastAsia="Times New Roman" w:cs="Times New Roman"/>
                <w:sz w:val="22"/>
                <w:szCs w:val="22"/>
              </w:rPr>
            </w:pPr>
            <w:r>
              <w:rPr>
                <w:rFonts w:ascii="Times New Roman" w:hAnsi="Times New Roman" w:eastAsia="Times New Roman" w:cs="Times New Roman"/>
                <w:spacing w:val="-3"/>
                <w:position w:val="1"/>
                <w:sz w:val="22"/>
                <w:szCs w:val="22"/>
              </w:rPr>
              <w:t>-134</w:t>
            </w:r>
          </w:p>
        </w:tc>
        <w:tc>
          <w:tcPr>
            <w:tcW w:w="1175" w:type="dxa"/>
            <w:vAlign w:val="top"/>
          </w:tcPr>
          <w:p w14:paraId="0A99028A">
            <w:pPr>
              <w:spacing w:before="28" w:line="290" w:lineRule="exact"/>
              <w:ind w:left="336"/>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-1216</w:t>
            </w:r>
          </w:p>
        </w:tc>
        <w:tc>
          <w:tcPr>
            <w:tcW w:w="950" w:type="dxa"/>
            <w:vAlign w:val="top"/>
          </w:tcPr>
          <w:p w14:paraId="07C77F65">
            <w:pPr>
              <w:pStyle w:val="6"/>
              <w:spacing w:before="69" w:line="229" w:lineRule="auto"/>
              <w:ind w:left="273"/>
            </w:pPr>
            <w:r>
              <w:rPr>
                <w:spacing w:val="3"/>
              </w:rPr>
              <w:t>居民</w:t>
            </w:r>
          </w:p>
        </w:tc>
        <w:tc>
          <w:tcPr>
            <w:tcW w:w="1221" w:type="dxa"/>
            <w:vAlign w:val="top"/>
          </w:tcPr>
          <w:p w14:paraId="7405ABC1">
            <w:pPr>
              <w:pStyle w:val="6"/>
              <w:spacing w:before="38" w:line="274" w:lineRule="exact"/>
              <w:ind w:left="281"/>
              <w:rPr>
                <w:rFonts w:ascii="Times New Roman" w:hAnsi="Times New Roman" w:eastAsia="Times New Roman" w:cs="Times New Roman"/>
              </w:rPr>
            </w:pPr>
            <w:r>
              <w:rPr>
                <w:spacing w:val="-2"/>
                <w:position w:val="1"/>
              </w:rPr>
              <w:t>约</w:t>
            </w:r>
            <w:r>
              <w:rPr>
                <w:spacing w:val="-22"/>
                <w:position w:val="1"/>
              </w:rPr>
              <w:t xml:space="preserve"> </w:t>
            </w:r>
            <w:r>
              <w:rPr>
                <w:rFonts w:ascii="Times New Roman" w:hAnsi="Times New Roman" w:eastAsia="Times New Roman" w:cs="Times New Roman"/>
                <w:spacing w:val="-2"/>
                <w:position w:val="1"/>
              </w:rPr>
              <w:t>1500</w:t>
            </w:r>
          </w:p>
        </w:tc>
        <w:tc>
          <w:tcPr>
            <w:tcW w:w="1378" w:type="dxa"/>
            <w:vMerge w:val="continue"/>
            <w:tcBorders>
              <w:top w:val="nil"/>
              <w:bottom w:val="nil"/>
            </w:tcBorders>
            <w:vAlign w:val="top"/>
          </w:tcPr>
          <w:p w14:paraId="0F607518">
            <w:pPr>
              <w:rPr>
                <w:rFonts w:ascii="Arial"/>
                <w:sz w:val="21"/>
              </w:rPr>
            </w:pPr>
          </w:p>
        </w:tc>
        <w:tc>
          <w:tcPr>
            <w:tcW w:w="898" w:type="dxa"/>
            <w:vAlign w:val="top"/>
          </w:tcPr>
          <w:p w14:paraId="7805F391">
            <w:pPr>
              <w:pStyle w:val="6"/>
              <w:spacing w:before="68" w:line="231" w:lineRule="auto"/>
              <w:ind w:left="353"/>
            </w:pPr>
            <w:r>
              <w:t>南</w:t>
            </w:r>
          </w:p>
        </w:tc>
        <w:tc>
          <w:tcPr>
            <w:tcW w:w="1017" w:type="dxa"/>
            <w:vAlign w:val="top"/>
          </w:tcPr>
          <w:p w14:paraId="5D3D2CFF">
            <w:pPr>
              <w:spacing w:before="38" w:line="274" w:lineRule="exact"/>
              <w:ind w:left="32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1115</w:t>
            </w:r>
          </w:p>
        </w:tc>
      </w:tr>
      <w:tr w14:paraId="66130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15" w:type="dxa"/>
            <w:vAlign w:val="top"/>
          </w:tcPr>
          <w:p w14:paraId="6856251D">
            <w:pPr>
              <w:pStyle w:val="6"/>
              <w:spacing w:before="63" w:line="222" w:lineRule="auto"/>
              <w:ind w:left="333"/>
              <w:rPr>
                <w:sz w:val="22"/>
                <w:szCs w:val="22"/>
              </w:rPr>
            </w:pPr>
            <w:r>
              <w:rPr>
                <w:spacing w:val="-3"/>
                <w:sz w:val="22"/>
                <w:szCs w:val="22"/>
              </w:rPr>
              <w:t>徐厝园</w:t>
            </w:r>
          </w:p>
        </w:tc>
        <w:tc>
          <w:tcPr>
            <w:tcW w:w="996" w:type="dxa"/>
            <w:vAlign w:val="top"/>
          </w:tcPr>
          <w:p w14:paraId="3F752DBE">
            <w:pPr>
              <w:spacing w:before="29" w:line="290" w:lineRule="exact"/>
              <w:ind w:left="302"/>
              <w:rPr>
                <w:rFonts w:ascii="Times New Roman" w:hAnsi="Times New Roman" w:eastAsia="Times New Roman" w:cs="Times New Roman"/>
                <w:sz w:val="22"/>
                <w:szCs w:val="22"/>
              </w:rPr>
            </w:pPr>
            <w:r>
              <w:rPr>
                <w:rFonts w:ascii="Times New Roman" w:hAnsi="Times New Roman" w:eastAsia="Times New Roman" w:cs="Times New Roman"/>
                <w:spacing w:val="-3"/>
                <w:position w:val="1"/>
                <w:sz w:val="22"/>
                <w:szCs w:val="22"/>
              </w:rPr>
              <w:t>-879</w:t>
            </w:r>
          </w:p>
        </w:tc>
        <w:tc>
          <w:tcPr>
            <w:tcW w:w="1175" w:type="dxa"/>
            <w:vAlign w:val="top"/>
          </w:tcPr>
          <w:p w14:paraId="381CC3F0">
            <w:pPr>
              <w:spacing w:before="29" w:line="290" w:lineRule="exact"/>
              <w:ind w:left="336"/>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-2140</w:t>
            </w:r>
          </w:p>
        </w:tc>
        <w:tc>
          <w:tcPr>
            <w:tcW w:w="950" w:type="dxa"/>
            <w:vAlign w:val="top"/>
          </w:tcPr>
          <w:p w14:paraId="2593D20A">
            <w:pPr>
              <w:pStyle w:val="6"/>
              <w:spacing w:before="69" w:line="229" w:lineRule="auto"/>
              <w:ind w:left="273"/>
            </w:pPr>
            <w:r>
              <w:rPr>
                <w:spacing w:val="3"/>
              </w:rPr>
              <w:t>居民</w:t>
            </w:r>
          </w:p>
        </w:tc>
        <w:tc>
          <w:tcPr>
            <w:tcW w:w="1221" w:type="dxa"/>
            <w:vAlign w:val="top"/>
          </w:tcPr>
          <w:p w14:paraId="43438B57">
            <w:pPr>
              <w:pStyle w:val="6"/>
              <w:spacing w:before="50" w:line="219" w:lineRule="auto"/>
              <w:ind w:left="314"/>
              <w:rPr>
                <w:rFonts w:ascii="Times New Roman" w:hAnsi="Times New Roman" w:eastAsia="Times New Roman" w:cs="Times New Roman"/>
              </w:rPr>
            </w:pPr>
            <w:r>
              <w:rPr>
                <w:spacing w:val="-4"/>
                <w:sz w:val="24"/>
                <w:szCs w:val="24"/>
              </w:rPr>
              <w:t>约</w:t>
            </w:r>
            <w:r>
              <w:rPr>
                <w:spacing w:val="-45"/>
                <w:sz w:val="24"/>
                <w:szCs w:val="24"/>
              </w:rPr>
              <w:t xml:space="preserve"> </w:t>
            </w:r>
            <w:r>
              <w:rPr>
                <w:rFonts w:ascii="Times New Roman" w:hAnsi="Times New Roman" w:eastAsia="Times New Roman" w:cs="Times New Roman"/>
                <w:spacing w:val="-4"/>
              </w:rPr>
              <w:t>800</w:t>
            </w:r>
          </w:p>
        </w:tc>
        <w:tc>
          <w:tcPr>
            <w:tcW w:w="1378" w:type="dxa"/>
            <w:vMerge w:val="continue"/>
            <w:tcBorders>
              <w:top w:val="nil"/>
              <w:bottom w:val="nil"/>
            </w:tcBorders>
            <w:vAlign w:val="top"/>
          </w:tcPr>
          <w:p w14:paraId="13C06146">
            <w:pPr>
              <w:rPr>
                <w:rFonts w:ascii="Arial"/>
                <w:sz w:val="21"/>
              </w:rPr>
            </w:pPr>
          </w:p>
        </w:tc>
        <w:tc>
          <w:tcPr>
            <w:tcW w:w="898" w:type="dxa"/>
            <w:vAlign w:val="top"/>
          </w:tcPr>
          <w:p w14:paraId="1447F340">
            <w:pPr>
              <w:pStyle w:val="6"/>
              <w:spacing w:before="69" w:line="231" w:lineRule="auto"/>
              <w:ind w:left="250"/>
            </w:pPr>
            <w:r>
              <w:rPr>
                <w:spacing w:val="2"/>
              </w:rPr>
              <w:t>西南</w:t>
            </w:r>
          </w:p>
        </w:tc>
        <w:tc>
          <w:tcPr>
            <w:tcW w:w="1017" w:type="dxa"/>
            <w:vAlign w:val="top"/>
          </w:tcPr>
          <w:p w14:paraId="330DE84E">
            <w:pPr>
              <w:spacing w:before="38"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2199</w:t>
            </w:r>
          </w:p>
        </w:tc>
      </w:tr>
      <w:tr w14:paraId="2A83D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315" w:type="dxa"/>
            <w:vAlign w:val="top"/>
          </w:tcPr>
          <w:p w14:paraId="10D64D15">
            <w:pPr>
              <w:pStyle w:val="6"/>
              <w:spacing w:before="63" w:line="222" w:lineRule="auto"/>
              <w:ind w:left="444"/>
              <w:rPr>
                <w:sz w:val="22"/>
                <w:szCs w:val="22"/>
              </w:rPr>
            </w:pPr>
            <w:r>
              <w:rPr>
                <w:spacing w:val="-4"/>
                <w:sz w:val="22"/>
                <w:szCs w:val="22"/>
              </w:rPr>
              <w:t>新埔</w:t>
            </w:r>
          </w:p>
        </w:tc>
        <w:tc>
          <w:tcPr>
            <w:tcW w:w="996" w:type="dxa"/>
            <w:vAlign w:val="top"/>
          </w:tcPr>
          <w:p w14:paraId="139A1E0A">
            <w:pPr>
              <w:spacing w:before="29" w:line="290" w:lineRule="exact"/>
              <w:ind w:left="247"/>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-1673</w:t>
            </w:r>
          </w:p>
        </w:tc>
        <w:tc>
          <w:tcPr>
            <w:tcW w:w="1175" w:type="dxa"/>
            <w:vAlign w:val="top"/>
          </w:tcPr>
          <w:p w14:paraId="011B4821">
            <w:pPr>
              <w:spacing w:before="29" w:line="290" w:lineRule="exact"/>
              <w:ind w:left="391"/>
              <w:rPr>
                <w:rFonts w:ascii="Times New Roman" w:hAnsi="Times New Roman" w:eastAsia="Times New Roman" w:cs="Times New Roman"/>
                <w:sz w:val="22"/>
                <w:szCs w:val="22"/>
              </w:rPr>
            </w:pPr>
            <w:r>
              <w:rPr>
                <w:rFonts w:ascii="Times New Roman" w:hAnsi="Times New Roman" w:eastAsia="Times New Roman" w:cs="Times New Roman"/>
                <w:spacing w:val="-3"/>
                <w:position w:val="1"/>
                <w:sz w:val="22"/>
                <w:szCs w:val="22"/>
              </w:rPr>
              <w:t>-892</w:t>
            </w:r>
          </w:p>
        </w:tc>
        <w:tc>
          <w:tcPr>
            <w:tcW w:w="950" w:type="dxa"/>
            <w:vAlign w:val="top"/>
          </w:tcPr>
          <w:p w14:paraId="17D65320">
            <w:pPr>
              <w:pStyle w:val="6"/>
              <w:spacing w:before="69" w:line="229" w:lineRule="auto"/>
              <w:ind w:left="273"/>
            </w:pPr>
            <w:r>
              <w:rPr>
                <w:spacing w:val="3"/>
              </w:rPr>
              <w:t>居民</w:t>
            </w:r>
          </w:p>
        </w:tc>
        <w:tc>
          <w:tcPr>
            <w:tcW w:w="1221" w:type="dxa"/>
            <w:vAlign w:val="top"/>
          </w:tcPr>
          <w:p w14:paraId="41A6194A">
            <w:pPr>
              <w:pStyle w:val="6"/>
              <w:spacing w:before="39" w:line="274" w:lineRule="exact"/>
              <w:ind w:left="332"/>
              <w:rPr>
                <w:rFonts w:ascii="Times New Roman" w:hAnsi="Times New Roman" w:eastAsia="Times New Roman" w:cs="Times New Roman"/>
              </w:rPr>
            </w:pPr>
            <w:r>
              <w:rPr>
                <w:position w:val="1"/>
              </w:rPr>
              <w:t>约</w:t>
            </w:r>
            <w:r>
              <w:rPr>
                <w:spacing w:val="-37"/>
                <w:position w:val="1"/>
              </w:rPr>
              <w:t xml:space="preserve"> </w:t>
            </w:r>
            <w:r>
              <w:rPr>
                <w:rFonts w:ascii="Times New Roman" w:hAnsi="Times New Roman" w:eastAsia="Times New Roman" w:cs="Times New Roman"/>
                <w:position w:val="1"/>
              </w:rPr>
              <w:t>500</w:t>
            </w:r>
          </w:p>
        </w:tc>
        <w:tc>
          <w:tcPr>
            <w:tcW w:w="1378" w:type="dxa"/>
            <w:vMerge w:val="continue"/>
            <w:tcBorders>
              <w:top w:val="nil"/>
            </w:tcBorders>
            <w:vAlign w:val="top"/>
          </w:tcPr>
          <w:p w14:paraId="1C6B234E">
            <w:pPr>
              <w:rPr>
                <w:rFonts w:ascii="Arial"/>
                <w:sz w:val="21"/>
              </w:rPr>
            </w:pPr>
          </w:p>
        </w:tc>
        <w:tc>
          <w:tcPr>
            <w:tcW w:w="898" w:type="dxa"/>
            <w:vAlign w:val="top"/>
          </w:tcPr>
          <w:p w14:paraId="7557CF4E">
            <w:pPr>
              <w:pStyle w:val="6"/>
              <w:spacing w:before="69" w:line="231" w:lineRule="auto"/>
              <w:ind w:left="250"/>
            </w:pPr>
            <w:r>
              <w:rPr>
                <w:spacing w:val="2"/>
              </w:rPr>
              <w:t>西南</w:t>
            </w:r>
          </w:p>
        </w:tc>
        <w:tc>
          <w:tcPr>
            <w:tcW w:w="1017" w:type="dxa"/>
            <w:vAlign w:val="top"/>
          </w:tcPr>
          <w:p w14:paraId="1CB4E1FA">
            <w:pPr>
              <w:spacing w:before="39"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1817</w:t>
            </w:r>
          </w:p>
        </w:tc>
      </w:tr>
    </w:tbl>
    <w:p w14:paraId="64881B41">
      <w:pPr>
        <w:pStyle w:val="2"/>
        <w:spacing w:line="32" w:lineRule="exact"/>
        <w:rPr>
          <w:sz w:val="2"/>
        </w:rPr>
      </w:pPr>
    </w:p>
    <w:p w14:paraId="54FCC038">
      <w:pPr>
        <w:spacing w:line="32" w:lineRule="exact"/>
        <w:rPr>
          <w:sz w:val="2"/>
          <w:szCs w:val="2"/>
        </w:rPr>
        <w:sectPr>
          <w:footerReference r:id="rId55" w:type="default"/>
          <w:pgSz w:w="11906" w:h="16839"/>
          <w:pgMar w:top="1431" w:right="1475" w:bottom="1485" w:left="1475" w:header="0" w:footer="1249" w:gutter="0"/>
          <w:cols w:space="720" w:num="1"/>
        </w:sectPr>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5"/>
        <w:gridCol w:w="996"/>
        <w:gridCol w:w="1175"/>
        <w:gridCol w:w="950"/>
        <w:gridCol w:w="1221"/>
        <w:gridCol w:w="1378"/>
        <w:gridCol w:w="898"/>
        <w:gridCol w:w="1017"/>
      </w:tblGrid>
      <w:tr w14:paraId="5B65D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15" w:type="dxa"/>
            <w:vAlign w:val="top"/>
          </w:tcPr>
          <w:p w14:paraId="34E2B1BE">
            <w:pPr>
              <w:pStyle w:val="6"/>
              <w:spacing w:before="65" w:line="220" w:lineRule="auto"/>
              <w:ind w:left="334"/>
              <w:rPr>
                <w:sz w:val="22"/>
                <w:szCs w:val="22"/>
              </w:rPr>
            </w:pPr>
            <w:r>
              <w:rPr>
                <w:spacing w:val="-3"/>
                <w:sz w:val="22"/>
                <w:szCs w:val="22"/>
              </w:rPr>
              <w:t>新塘村</w:t>
            </w:r>
          </w:p>
        </w:tc>
        <w:tc>
          <w:tcPr>
            <w:tcW w:w="996" w:type="dxa"/>
            <w:vAlign w:val="top"/>
          </w:tcPr>
          <w:p w14:paraId="5DB4D6EE">
            <w:pPr>
              <w:spacing w:before="30" w:line="290" w:lineRule="exact"/>
              <w:ind w:left="247"/>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-2206</w:t>
            </w:r>
          </w:p>
        </w:tc>
        <w:tc>
          <w:tcPr>
            <w:tcW w:w="1175" w:type="dxa"/>
            <w:vAlign w:val="top"/>
          </w:tcPr>
          <w:p w14:paraId="084CB29E">
            <w:pPr>
              <w:spacing w:before="30" w:line="290" w:lineRule="exact"/>
              <w:ind w:left="391"/>
              <w:rPr>
                <w:rFonts w:ascii="Times New Roman" w:hAnsi="Times New Roman" w:eastAsia="Times New Roman" w:cs="Times New Roman"/>
                <w:sz w:val="22"/>
                <w:szCs w:val="22"/>
              </w:rPr>
            </w:pPr>
            <w:r>
              <w:rPr>
                <w:rFonts w:ascii="Times New Roman" w:hAnsi="Times New Roman" w:eastAsia="Times New Roman" w:cs="Times New Roman"/>
                <w:spacing w:val="-3"/>
                <w:position w:val="1"/>
                <w:sz w:val="22"/>
                <w:szCs w:val="22"/>
              </w:rPr>
              <w:t>-652</w:t>
            </w:r>
          </w:p>
        </w:tc>
        <w:tc>
          <w:tcPr>
            <w:tcW w:w="950" w:type="dxa"/>
            <w:vAlign w:val="top"/>
          </w:tcPr>
          <w:p w14:paraId="48B7C59F">
            <w:pPr>
              <w:pStyle w:val="6"/>
              <w:spacing w:before="71" w:line="229" w:lineRule="auto"/>
              <w:ind w:left="273"/>
            </w:pPr>
            <w:r>
              <w:rPr>
                <w:spacing w:val="3"/>
              </w:rPr>
              <w:t>居民</w:t>
            </w:r>
          </w:p>
        </w:tc>
        <w:tc>
          <w:tcPr>
            <w:tcW w:w="1221" w:type="dxa"/>
            <w:vAlign w:val="top"/>
          </w:tcPr>
          <w:p w14:paraId="61DDE89C">
            <w:pPr>
              <w:pStyle w:val="6"/>
              <w:spacing w:before="40" w:line="274" w:lineRule="exact"/>
              <w:ind w:left="332"/>
              <w:rPr>
                <w:rFonts w:ascii="Times New Roman" w:hAnsi="Times New Roman" w:eastAsia="Times New Roman" w:cs="Times New Roman"/>
              </w:rPr>
            </w:pPr>
            <w:r>
              <w:rPr>
                <w:position w:val="1"/>
              </w:rPr>
              <w:t>约</w:t>
            </w:r>
            <w:r>
              <w:rPr>
                <w:spacing w:val="-37"/>
                <w:position w:val="1"/>
              </w:rPr>
              <w:t xml:space="preserve"> </w:t>
            </w:r>
            <w:r>
              <w:rPr>
                <w:rFonts w:ascii="Times New Roman" w:hAnsi="Times New Roman" w:eastAsia="Times New Roman" w:cs="Times New Roman"/>
                <w:position w:val="1"/>
              </w:rPr>
              <w:t>600</w:t>
            </w:r>
          </w:p>
        </w:tc>
        <w:tc>
          <w:tcPr>
            <w:tcW w:w="1378" w:type="dxa"/>
            <w:vAlign w:val="top"/>
          </w:tcPr>
          <w:p w14:paraId="3F3E0569">
            <w:pPr>
              <w:rPr>
                <w:rFonts w:ascii="Arial"/>
                <w:sz w:val="21"/>
              </w:rPr>
            </w:pPr>
          </w:p>
        </w:tc>
        <w:tc>
          <w:tcPr>
            <w:tcW w:w="898" w:type="dxa"/>
            <w:vAlign w:val="top"/>
          </w:tcPr>
          <w:p w14:paraId="33653A10">
            <w:pPr>
              <w:pStyle w:val="6"/>
              <w:spacing w:before="71" w:line="232" w:lineRule="auto"/>
              <w:ind w:left="356"/>
            </w:pPr>
            <w:r>
              <w:t>西</w:t>
            </w:r>
          </w:p>
        </w:tc>
        <w:tc>
          <w:tcPr>
            <w:tcW w:w="1017" w:type="dxa"/>
            <w:vAlign w:val="top"/>
          </w:tcPr>
          <w:p w14:paraId="04F5EF23">
            <w:pPr>
              <w:spacing w:before="40"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2207</w:t>
            </w:r>
          </w:p>
        </w:tc>
      </w:tr>
      <w:tr w14:paraId="78B40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315" w:type="dxa"/>
            <w:vAlign w:val="top"/>
          </w:tcPr>
          <w:p w14:paraId="3953F457">
            <w:pPr>
              <w:pStyle w:val="6"/>
              <w:spacing w:before="222" w:line="228" w:lineRule="auto"/>
              <w:ind w:left="451"/>
            </w:pPr>
            <w:r>
              <w:rPr>
                <w:spacing w:val="5"/>
              </w:rPr>
              <w:t>黄江</w:t>
            </w:r>
          </w:p>
        </w:tc>
        <w:tc>
          <w:tcPr>
            <w:tcW w:w="996" w:type="dxa"/>
            <w:vAlign w:val="top"/>
          </w:tcPr>
          <w:p w14:paraId="2F234889">
            <w:pPr>
              <w:spacing w:before="191"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-268</w:t>
            </w:r>
          </w:p>
        </w:tc>
        <w:tc>
          <w:tcPr>
            <w:tcW w:w="1175" w:type="dxa"/>
            <w:vAlign w:val="top"/>
          </w:tcPr>
          <w:p w14:paraId="4377611A">
            <w:pPr>
              <w:spacing w:before="184" w:line="290" w:lineRule="exact"/>
              <w:ind w:left="391"/>
              <w:rPr>
                <w:rFonts w:ascii="Times New Roman" w:hAnsi="Times New Roman" w:eastAsia="Times New Roman" w:cs="Times New Roman"/>
                <w:sz w:val="22"/>
                <w:szCs w:val="22"/>
              </w:rPr>
            </w:pPr>
            <w:r>
              <w:rPr>
                <w:rFonts w:ascii="Times New Roman" w:hAnsi="Times New Roman" w:eastAsia="Times New Roman" w:cs="Times New Roman"/>
                <w:spacing w:val="-3"/>
                <w:position w:val="1"/>
                <w:sz w:val="22"/>
                <w:szCs w:val="22"/>
              </w:rPr>
              <w:t>-339</w:t>
            </w:r>
          </w:p>
        </w:tc>
        <w:tc>
          <w:tcPr>
            <w:tcW w:w="950" w:type="dxa"/>
            <w:vAlign w:val="top"/>
          </w:tcPr>
          <w:p w14:paraId="3F344C75">
            <w:pPr>
              <w:pStyle w:val="6"/>
              <w:spacing w:before="221" w:line="231" w:lineRule="auto"/>
              <w:ind w:left="270"/>
            </w:pPr>
            <w:r>
              <w:rPr>
                <w:spacing w:val="5"/>
              </w:rPr>
              <w:t>河流</w:t>
            </w:r>
          </w:p>
        </w:tc>
        <w:tc>
          <w:tcPr>
            <w:tcW w:w="1221" w:type="dxa"/>
            <w:vAlign w:val="top"/>
          </w:tcPr>
          <w:p w14:paraId="073E292A">
            <w:pPr>
              <w:spacing w:before="191" w:line="274" w:lineRule="exact"/>
              <w:ind w:left="5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78" w:type="dxa"/>
            <w:vAlign w:val="top"/>
          </w:tcPr>
          <w:p w14:paraId="55143673">
            <w:pPr>
              <w:pStyle w:val="6"/>
              <w:spacing w:before="61" w:line="228" w:lineRule="auto"/>
              <w:ind w:left="171"/>
            </w:pPr>
            <w:r>
              <w:rPr>
                <w:spacing w:val="8"/>
              </w:rPr>
              <w:t>地表水Ⅲ类</w:t>
            </w:r>
          </w:p>
          <w:p w14:paraId="5C02F95B">
            <w:pPr>
              <w:pStyle w:val="6"/>
              <w:spacing w:before="77" w:line="233" w:lineRule="auto"/>
              <w:ind w:left="607"/>
            </w:pPr>
            <w:r>
              <w:t>区</w:t>
            </w:r>
          </w:p>
        </w:tc>
        <w:tc>
          <w:tcPr>
            <w:tcW w:w="898" w:type="dxa"/>
            <w:vAlign w:val="top"/>
          </w:tcPr>
          <w:p w14:paraId="35A07BB9">
            <w:pPr>
              <w:pStyle w:val="6"/>
              <w:spacing w:before="222" w:line="232" w:lineRule="auto"/>
              <w:ind w:left="356"/>
            </w:pPr>
            <w:r>
              <w:t>西</w:t>
            </w:r>
          </w:p>
        </w:tc>
        <w:tc>
          <w:tcPr>
            <w:tcW w:w="1017" w:type="dxa"/>
            <w:vAlign w:val="top"/>
          </w:tcPr>
          <w:p w14:paraId="56579028">
            <w:pPr>
              <w:spacing w:before="191"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1042</w:t>
            </w:r>
          </w:p>
        </w:tc>
      </w:tr>
      <w:tr w14:paraId="6801B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315" w:type="dxa"/>
            <w:vAlign w:val="top"/>
          </w:tcPr>
          <w:p w14:paraId="72240D6A">
            <w:pPr>
              <w:pStyle w:val="6"/>
              <w:spacing w:before="225" w:line="228" w:lineRule="auto"/>
              <w:ind w:left="250"/>
            </w:pPr>
            <w:r>
              <w:rPr>
                <w:spacing w:val="5"/>
              </w:rPr>
              <w:t>公平水库</w:t>
            </w:r>
          </w:p>
        </w:tc>
        <w:tc>
          <w:tcPr>
            <w:tcW w:w="996" w:type="dxa"/>
            <w:vAlign w:val="top"/>
          </w:tcPr>
          <w:p w14:paraId="2A5AE4E0">
            <w:pPr>
              <w:rPr>
                <w:rFonts w:ascii="Arial"/>
                <w:sz w:val="21"/>
              </w:rPr>
            </w:pPr>
          </w:p>
        </w:tc>
        <w:tc>
          <w:tcPr>
            <w:tcW w:w="1175" w:type="dxa"/>
            <w:vAlign w:val="top"/>
          </w:tcPr>
          <w:p w14:paraId="7ADB32BA">
            <w:pPr>
              <w:rPr>
                <w:rFonts w:ascii="Arial"/>
                <w:sz w:val="21"/>
              </w:rPr>
            </w:pPr>
          </w:p>
        </w:tc>
        <w:tc>
          <w:tcPr>
            <w:tcW w:w="950" w:type="dxa"/>
            <w:vAlign w:val="top"/>
          </w:tcPr>
          <w:p w14:paraId="2249E1B4">
            <w:pPr>
              <w:pStyle w:val="6"/>
              <w:spacing w:before="225" w:line="228" w:lineRule="auto"/>
              <w:ind w:left="274"/>
            </w:pPr>
            <w:r>
              <w:rPr>
                <w:spacing w:val="3"/>
              </w:rPr>
              <w:t>水库</w:t>
            </w:r>
          </w:p>
        </w:tc>
        <w:tc>
          <w:tcPr>
            <w:tcW w:w="1221" w:type="dxa"/>
            <w:vAlign w:val="top"/>
          </w:tcPr>
          <w:p w14:paraId="2A8DCE78">
            <w:pPr>
              <w:spacing w:before="193" w:line="275" w:lineRule="exact"/>
              <w:ind w:left="5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78" w:type="dxa"/>
            <w:vAlign w:val="top"/>
          </w:tcPr>
          <w:p w14:paraId="6D1E62DA">
            <w:pPr>
              <w:pStyle w:val="6"/>
              <w:spacing w:before="61" w:line="228" w:lineRule="auto"/>
              <w:ind w:left="171"/>
            </w:pPr>
            <w:r>
              <w:rPr>
                <w:spacing w:val="8"/>
              </w:rPr>
              <w:t>地表水Ⅱ类</w:t>
            </w:r>
          </w:p>
          <w:p w14:paraId="454C9E3C">
            <w:pPr>
              <w:pStyle w:val="6"/>
              <w:spacing w:before="79" w:line="233" w:lineRule="auto"/>
              <w:ind w:left="607"/>
            </w:pPr>
            <w:r>
              <w:t>区</w:t>
            </w:r>
          </w:p>
        </w:tc>
        <w:tc>
          <w:tcPr>
            <w:tcW w:w="898" w:type="dxa"/>
            <w:vAlign w:val="top"/>
          </w:tcPr>
          <w:p w14:paraId="5F5242FA">
            <w:pPr>
              <w:pStyle w:val="6"/>
              <w:spacing w:before="224" w:line="232" w:lineRule="auto"/>
              <w:ind w:left="354"/>
            </w:pPr>
            <w:r>
              <w:t>北</w:t>
            </w:r>
          </w:p>
        </w:tc>
        <w:tc>
          <w:tcPr>
            <w:tcW w:w="1017" w:type="dxa"/>
            <w:vAlign w:val="top"/>
          </w:tcPr>
          <w:p w14:paraId="2E6B50C5">
            <w:pPr>
              <w:spacing w:before="193" w:line="275"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2078</w:t>
            </w:r>
          </w:p>
        </w:tc>
      </w:tr>
    </w:tbl>
    <w:p w14:paraId="22B938F8">
      <w:pPr>
        <w:spacing w:before="140" w:line="229" w:lineRule="auto"/>
        <w:ind w:left="541"/>
        <w:rPr>
          <w:rFonts w:ascii="宋体" w:hAnsi="宋体" w:eastAsia="宋体" w:cs="宋体"/>
          <w:sz w:val="20"/>
          <w:szCs w:val="20"/>
        </w:rPr>
      </w:pPr>
      <w:r>
        <w:rPr>
          <w:rFonts w:ascii="宋体" w:hAnsi="宋体" w:eastAsia="宋体" w:cs="宋体"/>
          <w:b/>
          <w:bCs/>
          <w:spacing w:val="6"/>
          <w:sz w:val="20"/>
          <w:szCs w:val="20"/>
        </w:rPr>
        <w:t>注：取项目厂区中心为坐标原点（</w:t>
      </w:r>
      <w:r>
        <w:rPr>
          <w:rFonts w:ascii="Times New Roman" w:hAnsi="Times New Roman" w:eastAsia="Times New Roman" w:cs="Times New Roman"/>
          <w:b/>
          <w:bCs/>
          <w:spacing w:val="6"/>
          <w:sz w:val="20"/>
          <w:szCs w:val="20"/>
        </w:rPr>
        <w:t>0</w:t>
      </w:r>
      <w:r>
        <w:rPr>
          <w:rFonts w:ascii="Times New Roman" w:hAnsi="Times New Roman" w:eastAsia="Times New Roman" w:cs="Times New Roman"/>
          <w:b/>
          <w:bCs/>
          <w:spacing w:val="-27"/>
          <w:sz w:val="20"/>
          <w:szCs w:val="20"/>
        </w:rPr>
        <w:t xml:space="preserve"> </w:t>
      </w: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0</w:t>
      </w:r>
      <w:r>
        <w:rPr>
          <w:rFonts w:ascii="宋体" w:hAnsi="宋体" w:eastAsia="宋体" w:cs="宋体"/>
          <w:b/>
          <w:bCs/>
          <w:spacing w:val="6"/>
          <w:sz w:val="20"/>
          <w:szCs w:val="20"/>
        </w:rPr>
        <w:t>）</w:t>
      </w:r>
    </w:p>
    <w:p w14:paraId="087E5FB2">
      <w:pPr>
        <w:spacing w:line="229" w:lineRule="auto"/>
        <w:rPr>
          <w:rFonts w:ascii="宋体" w:hAnsi="宋体" w:eastAsia="宋体" w:cs="宋体"/>
          <w:sz w:val="20"/>
          <w:szCs w:val="20"/>
        </w:rPr>
        <w:sectPr>
          <w:footerReference r:id="rId56" w:type="default"/>
          <w:pgSz w:w="11906" w:h="16839"/>
          <w:pgMar w:top="1418" w:right="1475" w:bottom="1485" w:left="1475" w:header="0" w:footer="1249" w:gutter="0"/>
          <w:cols w:space="720" w:num="1"/>
        </w:sectPr>
      </w:pPr>
    </w:p>
    <w:p w14:paraId="2B66BC32">
      <w:pPr>
        <w:spacing w:line="7783" w:lineRule="exact"/>
        <w:ind w:firstLine="657"/>
      </w:pPr>
      <w:r>
        <w:rPr>
          <w:position w:val="-155"/>
        </w:rPr>
        <w:drawing>
          <wp:inline distT="0" distB="0" distL="0" distR="0">
            <wp:extent cx="7269480" cy="494220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06"/>
                    <a:stretch>
                      <a:fillRect/>
                    </a:stretch>
                  </pic:blipFill>
                  <pic:spPr>
                    <a:xfrm>
                      <a:off x="0" y="0"/>
                      <a:ext cx="7269480" cy="4942332"/>
                    </a:xfrm>
                    <a:prstGeom prst="rect">
                      <a:avLst/>
                    </a:prstGeom>
                  </pic:spPr>
                </pic:pic>
              </a:graphicData>
            </a:graphic>
          </wp:inline>
        </w:drawing>
      </w:r>
    </w:p>
    <w:p w14:paraId="34BF4375">
      <w:pPr>
        <w:spacing w:before="138" w:line="219" w:lineRule="auto"/>
        <w:ind w:left="3845"/>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49"/>
          <w:sz w:val="24"/>
          <w:szCs w:val="24"/>
        </w:rPr>
        <w:t xml:space="preserve"> </w:t>
      </w:r>
      <w:r>
        <w:rPr>
          <w:rFonts w:ascii="Times New Roman" w:hAnsi="Times New Roman" w:eastAsia="Times New Roman" w:cs="Times New Roman"/>
          <w:b/>
          <w:bCs/>
          <w:spacing w:val="-3"/>
          <w:sz w:val="24"/>
          <w:szCs w:val="24"/>
        </w:rPr>
        <w:t xml:space="preserve">2.8-1    </w:t>
      </w:r>
      <w:r>
        <w:rPr>
          <w:rFonts w:ascii="宋体" w:hAnsi="宋体" w:eastAsia="宋体" w:cs="宋体"/>
          <w:b/>
          <w:bCs/>
          <w:spacing w:val="-3"/>
          <w:sz w:val="24"/>
          <w:szCs w:val="24"/>
        </w:rPr>
        <w:t>项目评价范围内敏感点分布图</w:t>
      </w:r>
    </w:p>
    <w:p w14:paraId="1D708F67">
      <w:pPr>
        <w:spacing w:line="219" w:lineRule="auto"/>
        <w:rPr>
          <w:rFonts w:ascii="宋体" w:hAnsi="宋体" w:eastAsia="宋体" w:cs="宋体"/>
          <w:sz w:val="24"/>
          <w:szCs w:val="24"/>
        </w:rPr>
        <w:sectPr>
          <w:footerReference r:id="rId57" w:type="default"/>
          <w:pgSz w:w="16839" w:h="11906"/>
          <w:pgMar w:top="310" w:right="2206" w:bottom="1485" w:left="2525" w:header="0" w:footer="1249" w:gutter="0"/>
          <w:cols w:space="720" w:num="1"/>
        </w:sectPr>
      </w:pPr>
    </w:p>
    <w:p w14:paraId="5B6850D7">
      <w:pPr>
        <w:pStyle w:val="2"/>
        <w:spacing w:line="314" w:lineRule="auto"/>
      </w:pPr>
    </w:p>
    <w:p w14:paraId="33121A70">
      <w:pPr>
        <w:spacing w:before="139" w:line="636" w:lineRule="exact"/>
        <w:ind w:left="2408"/>
        <w:outlineLvl w:val="0"/>
        <w:rPr>
          <w:rFonts w:ascii="黑体" w:hAnsi="黑体" w:eastAsia="黑体" w:cs="黑体"/>
          <w:sz w:val="43"/>
          <w:szCs w:val="43"/>
        </w:rPr>
      </w:pPr>
      <w:bookmarkStart w:id="18" w:name="bookmark17"/>
      <w:bookmarkEnd w:id="18"/>
      <w:bookmarkStart w:id="19" w:name="bookmark18"/>
      <w:bookmarkEnd w:id="19"/>
      <w:r>
        <w:rPr>
          <w:rFonts w:ascii="Calibri" w:hAnsi="Calibri" w:eastAsia="Calibri" w:cs="Calibri"/>
          <w:spacing w:val="7"/>
          <w:position w:val="4"/>
          <w:sz w:val="43"/>
          <w:szCs w:val="43"/>
        </w:rPr>
        <w:t>3</w:t>
      </w:r>
      <w:r>
        <w:rPr>
          <w:rFonts w:ascii="黑体" w:hAnsi="黑体" w:eastAsia="黑体" w:cs="黑体"/>
          <w:spacing w:val="7"/>
          <w:position w:val="4"/>
          <w:sz w:val="43"/>
          <w:szCs w:val="43"/>
        </w:rPr>
        <w:t>项目概况及工程分析</w:t>
      </w:r>
    </w:p>
    <w:p w14:paraId="742549B7">
      <w:pPr>
        <w:pStyle w:val="2"/>
        <w:spacing w:line="416" w:lineRule="auto"/>
      </w:pPr>
    </w:p>
    <w:p w14:paraId="744A8528">
      <w:pPr>
        <w:spacing w:before="101" w:line="225" w:lineRule="auto"/>
        <w:ind w:left="118"/>
        <w:outlineLvl w:val="1"/>
        <w:rPr>
          <w:rFonts w:ascii="宋体" w:hAnsi="宋体" w:eastAsia="宋体" w:cs="宋体"/>
          <w:sz w:val="31"/>
          <w:szCs w:val="31"/>
        </w:rPr>
      </w:pPr>
      <w:bookmarkStart w:id="20" w:name="bookmark59"/>
      <w:bookmarkEnd w:id="20"/>
      <w:r>
        <w:rPr>
          <w:rFonts w:ascii="Times New Roman" w:hAnsi="Times New Roman" w:eastAsia="Times New Roman" w:cs="Times New Roman"/>
          <w:b/>
          <w:bCs/>
          <w:spacing w:val="5"/>
          <w:sz w:val="31"/>
          <w:szCs w:val="31"/>
        </w:rPr>
        <w:t>3.1</w:t>
      </w:r>
      <w:r>
        <w:rPr>
          <w:rFonts w:ascii="宋体" w:hAnsi="宋体" w:eastAsia="宋体" w:cs="宋体"/>
          <w:b/>
          <w:bCs/>
          <w:spacing w:val="5"/>
          <w:sz w:val="31"/>
          <w:szCs w:val="31"/>
        </w:rPr>
        <w:t>建设项目概况</w:t>
      </w:r>
    </w:p>
    <w:p w14:paraId="21E5AAFC">
      <w:pPr>
        <w:pStyle w:val="2"/>
        <w:spacing w:line="372" w:lineRule="auto"/>
      </w:pPr>
    </w:p>
    <w:p w14:paraId="7F511057">
      <w:pPr>
        <w:spacing w:before="78" w:line="361" w:lineRule="exact"/>
        <w:ind w:left="614"/>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w:t>
      </w:r>
      <w:r>
        <w:rPr>
          <w:rFonts w:ascii="宋体" w:hAnsi="宋体" w:eastAsia="宋体" w:cs="宋体"/>
          <w:spacing w:val="-1"/>
          <w:position w:val="2"/>
          <w:sz w:val="24"/>
          <w:szCs w:val="24"/>
        </w:rPr>
        <w:t>）项目名称：汕尾市天磊联信种养有限公司生猪养殖项目；</w:t>
      </w:r>
    </w:p>
    <w:p w14:paraId="119DC0C1">
      <w:pPr>
        <w:spacing w:before="129" w:line="360" w:lineRule="exact"/>
        <w:ind w:left="614"/>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w:t>
      </w:r>
      <w:r>
        <w:rPr>
          <w:rFonts w:ascii="宋体" w:hAnsi="宋体" w:eastAsia="宋体" w:cs="宋体"/>
          <w:spacing w:val="-1"/>
          <w:position w:val="2"/>
          <w:sz w:val="24"/>
          <w:szCs w:val="24"/>
        </w:rPr>
        <w:t>）建设单位：汕尾市天磊联信种养有限公司；</w:t>
      </w:r>
    </w:p>
    <w:p w14:paraId="6987E6AA">
      <w:pPr>
        <w:spacing w:before="129" w:line="360" w:lineRule="exact"/>
        <w:ind w:left="614"/>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3</w:t>
      </w:r>
      <w:r>
        <w:rPr>
          <w:rFonts w:ascii="宋体" w:hAnsi="宋体" w:eastAsia="宋体" w:cs="宋体"/>
          <w:spacing w:val="-1"/>
          <w:position w:val="2"/>
          <w:sz w:val="24"/>
          <w:szCs w:val="24"/>
        </w:rPr>
        <w:t>）项目建设地点：海丰县公平镇龙岗美月姑少山坡地；</w:t>
      </w:r>
    </w:p>
    <w:p w14:paraId="1381768A">
      <w:pPr>
        <w:spacing w:before="126" w:line="357" w:lineRule="exact"/>
        <w:ind w:left="614"/>
        <w:rPr>
          <w:rFonts w:ascii="宋体" w:hAnsi="宋体" w:eastAsia="宋体" w:cs="宋体"/>
          <w:sz w:val="24"/>
          <w:szCs w:val="24"/>
        </w:rPr>
      </w:pPr>
      <w:r>
        <w:rPr>
          <w:rFonts w:ascii="宋体" w:hAnsi="宋体" w:eastAsia="宋体" w:cs="宋体"/>
          <w:spacing w:val="-4"/>
          <w:position w:val="2"/>
          <w:sz w:val="24"/>
          <w:szCs w:val="24"/>
        </w:rPr>
        <w:t>（</w:t>
      </w:r>
      <w:r>
        <w:rPr>
          <w:rFonts w:ascii="Times New Roman" w:hAnsi="Times New Roman" w:eastAsia="Times New Roman" w:cs="Times New Roman"/>
          <w:spacing w:val="-4"/>
          <w:position w:val="2"/>
          <w:sz w:val="24"/>
          <w:szCs w:val="24"/>
        </w:rPr>
        <w:t>4</w:t>
      </w:r>
      <w:r>
        <w:rPr>
          <w:rFonts w:ascii="宋体" w:hAnsi="宋体" w:eastAsia="宋体" w:cs="宋体"/>
          <w:spacing w:val="-4"/>
          <w:position w:val="2"/>
          <w:sz w:val="24"/>
          <w:szCs w:val="24"/>
        </w:rPr>
        <w:t>）地理位置坐标：东经</w:t>
      </w:r>
      <w:r>
        <w:rPr>
          <w:rFonts w:ascii="宋体" w:hAnsi="宋体" w:eastAsia="宋体" w:cs="宋体"/>
          <w:spacing w:val="-32"/>
          <w:position w:val="2"/>
          <w:sz w:val="24"/>
          <w:szCs w:val="24"/>
        </w:rPr>
        <w:t xml:space="preserve"> </w:t>
      </w:r>
      <w:r>
        <w:rPr>
          <w:rFonts w:ascii="Times New Roman" w:hAnsi="Times New Roman" w:eastAsia="Times New Roman" w:cs="Times New Roman"/>
          <w:spacing w:val="-4"/>
          <w:position w:val="2"/>
          <w:sz w:val="24"/>
          <w:szCs w:val="24"/>
        </w:rPr>
        <w:t>115.407802°</w:t>
      </w:r>
      <w:r>
        <w:rPr>
          <w:rFonts w:ascii="Times New Roman" w:hAnsi="Times New Roman" w:eastAsia="Times New Roman" w:cs="Times New Roman"/>
          <w:spacing w:val="-34"/>
          <w:position w:val="2"/>
          <w:sz w:val="24"/>
          <w:szCs w:val="24"/>
        </w:rPr>
        <w:t xml:space="preserve"> </w:t>
      </w:r>
      <w:r>
        <w:rPr>
          <w:rFonts w:ascii="宋体" w:hAnsi="宋体" w:eastAsia="宋体" w:cs="宋体"/>
          <w:spacing w:val="-4"/>
          <w:position w:val="2"/>
          <w:sz w:val="24"/>
          <w:szCs w:val="24"/>
        </w:rPr>
        <w:t>,</w:t>
      </w:r>
      <w:r>
        <w:rPr>
          <w:rFonts w:ascii="宋体" w:hAnsi="宋体" w:eastAsia="宋体" w:cs="宋体"/>
          <w:spacing w:val="65"/>
          <w:position w:val="2"/>
          <w:sz w:val="24"/>
          <w:szCs w:val="24"/>
        </w:rPr>
        <w:t xml:space="preserve"> </w:t>
      </w:r>
      <w:r>
        <w:rPr>
          <w:rFonts w:ascii="宋体" w:hAnsi="宋体" w:eastAsia="宋体" w:cs="宋体"/>
          <w:spacing w:val="-4"/>
          <w:position w:val="2"/>
          <w:sz w:val="24"/>
          <w:szCs w:val="24"/>
        </w:rPr>
        <w:t>北纬</w:t>
      </w:r>
      <w:r>
        <w:rPr>
          <w:rFonts w:ascii="宋体" w:hAnsi="宋体" w:eastAsia="宋体" w:cs="宋体"/>
          <w:spacing w:val="-55"/>
          <w:position w:val="2"/>
          <w:sz w:val="24"/>
          <w:szCs w:val="24"/>
        </w:rPr>
        <w:t xml:space="preserve"> </w:t>
      </w:r>
      <w:r>
        <w:rPr>
          <w:rFonts w:ascii="Times New Roman" w:hAnsi="Times New Roman" w:eastAsia="Times New Roman" w:cs="Times New Roman"/>
          <w:spacing w:val="-4"/>
          <w:position w:val="2"/>
          <w:sz w:val="24"/>
          <w:szCs w:val="24"/>
        </w:rPr>
        <w:t>23.</w:t>
      </w:r>
      <w:r>
        <w:rPr>
          <w:rFonts w:ascii="Times New Roman" w:hAnsi="Times New Roman" w:eastAsia="Times New Roman" w:cs="Times New Roman"/>
          <w:spacing w:val="-5"/>
          <w:position w:val="2"/>
          <w:sz w:val="24"/>
          <w:szCs w:val="24"/>
        </w:rPr>
        <w:t>034166°</w:t>
      </w:r>
      <w:r>
        <w:rPr>
          <w:rFonts w:ascii="宋体" w:hAnsi="宋体" w:eastAsia="宋体" w:cs="宋体"/>
          <w:spacing w:val="-5"/>
          <w:position w:val="2"/>
          <w:sz w:val="24"/>
          <w:szCs w:val="24"/>
        </w:rPr>
        <w:t>;</w:t>
      </w:r>
    </w:p>
    <w:p w14:paraId="3AD106A9">
      <w:pPr>
        <w:spacing w:before="170" w:line="221" w:lineRule="auto"/>
        <w:ind w:left="6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）项目性质：新建；</w:t>
      </w:r>
    </w:p>
    <w:p w14:paraId="18BDE698">
      <w:pPr>
        <w:spacing w:before="165" w:line="361"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6</w:t>
      </w:r>
      <w:r>
        <w:rPr>
          <w:rFonts w:ascii="宋体" w:hAnsi="宋体" w:eastAsia="宋体" w:cs="宋体"/>
          <w:spacing w:val="-2"/>
          <w:position w:val="2"/>
          <w:sz w:val="24"/>
          <w:szCs w:val="24"/>
        </w:rPr>
        <w:t>）总投资：</w:t>
      </w:r>
      <w:r>
        <w:rPr>
          <w:rFonts w:ascii="Times New Roman" w:hAnsi="Times New Roman" w:eastAsia="Times New Roman" w:cs="Times New Roman"/>
          <w:spacing w:val="-2"/>
          <w:position w:val="2"/>
          <w:sz w:val="24"/>
          <w:szCs w:val="24"/>
        </w:rPr>
        <w:t>1300</w:t>
      </w:r>
      <w:r>
        <w:rPr>
          <w:rFonts w:ascii="Times New Roman" w:hAnsi="Times New Roman" w:eastAsia="Times New Roman" w:cs="Times New Roman"/>
          <w:spacing w:val="16"/>
          <w:position w:val="2"/>
          <w:sz w:val="24"/>
          <w:szCs w:val="24"/>
        </w:rPr>
        <w:t xml:space="preserve"> </w:t>
      </w:r>
      <w:r>
        <w:rPr>
          <w:rFonts w:ascii="宋体" w:hAnsi="宋体" w:eastAsia="宋体" w:cs="宋体"/>
          <w:spacing w:val="-2"/>
          <w:position w:val="2"/>
          <w:sz w:val="24"/>
          <w:szCs w:val="24"/>
        </w:rPr>
        <w:t>万，其中环保投资</w:t>
      </w:r>
      <w:r>
        <w:rPr>
          <w:rFonts w:ascii="宋体" w:hAnsi="宋体" w:eastAsia="宋体" w:cs="宋体"/>
          <w:spacing w:val="-51"/>
          <w:position w:val="2"/>
          <w:sz w:val="24"/>
          <w:szCs w:val="24"/>
        </w:rPr>
        <w:t xml:space="preserve"> </w:t>
      </w:r>
      <w:r>
        <w:rPr>
          <w:rFonts w:ascii="Times New Roman" w:hAnsi="Times New Roman" w:eastAsia="Times New Roman" w:cs="Times New Roman"/>
          <w:spacing w:val="-2"/>
          <w:position w:val="2"/>
          <w:sz w:val="24"/>
          <w:szCs w:val="24"/>
        </w:rPr>
        <w:t>320</w:t>
      </w:r>
      <w:r>
        <w:rPr>
          <w:rFonts w:ascii="Times New Roman" w:hAnsi="Times New Roman" w:eastAsia="Times New Roman" w:cs="Times New Roman"/>
          <w:spacing w:val="16"/>
          <w:position w:val="2"/>
          <w:sz w:val="24"/>
          <w:szCs w:val="24"/>
        </w:rPr>
        <w:t xml:space="preserve"> </w:t>
      </w:r>
      <w:r>
        <w:rPr>
          <w:rFonts w:ascii="宋体" w:hAnsi="宋体" w:eastAsia="宋体" w:cs="宋体"/>
          <w:spacing w:val="-2"/>
          <w:position w:val="2"/>
          <w:sz w:val="24"/>
          <w:szCs w:val="24"/>
        </w:rPr>
        <w:t>万，占总投资</w:t>
      </w:r>
      <w:r>
        <w:rPr>
          <w:rFonts w:ascii="宋体" w:hAnsi="宋体" w:eastAsia="宋体" w:cs="宋体"/>
          <w:spacing w:val="-55"/>
          <w:position w:val="2"/>
          <w:sz w:val="24"/>
          <w:szCs w:val="24"/>
        </w:rPr>
        <w:t xml:space="preserve"> </w:t>
      </w:r>
      <w:r>
        <w:rPr>
          <w:rFonts w:ascii="Times New Roman" w:hAnsi="Times New Roman" w:eastAsia="Times New Roman" w:cs="Times New Roman"/>
          <w:spacing w:val="-2"/>
          <w:position w:val="2"/>
          <w:sz w:val="24"/>
          <w:szCs w:val="24"/>
        </w:rPr>
        <w:t>24.6%</w:t>
      </w:r>
      <w:r>
        <w:rPr>
          <w:rFonts w:ascii="宋体" w:hAnsi="宋体" w:eastAsia="宋体" w:cs="宋体"/>
          <w:spacing w:val="-2"/>
          <w:position w:val="2"/>
          <w:sz w:val="24"/>
          <w:szCs w:val="24"/>
        </w:rPr>
        <w:t>；</w:t>
      </w:r>
    </w:p>
    <w:p w14:paraId="56B19E80">
      <w:pPr>
        <w:spacing w:before="129" w:line="361"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7</w:t>
      </w:r>
      <w:r>
        <w:rPr>
          <w:rFonts w:ascii="宋体" w:hAnsi="宋体" w:eastAsia="宋体" w:cs="宋体"/>
          <w:spacing w:val="-3"/>
          <w:position w:val="2"/>
          <w:sz w:val="24"/>
          <w:szCs w:val="24"/>
        </w:rPr>
        <w:t>）</w:t>
      </w:r>
      <w:r>
        <w:rPr>
          <w:rFonts w:ascii="宋体" w:hAnsi="宋体" w:eastAsia="宋体" w:cs="宋体"/>
          <w:spacing w:val="-71"/>
          <w:position w:val="2"/>
          <w:sz w:val="24"/>
          <w:szCs w:val="24"/>
        </w:rPr>
        <w:t xml:space="preserve"> </w:t>
      </w:r>
      <w:r>
        <w:rPr>
          <w:rFonts w:ascii="宋体" w:hAnsi="宋体" w:eastAsia="宋体" w:cs="宋体"/>
          <w:spacing w:val="-3"/>
          <w:position w:val="2"/>
          <w:sz w:val="24"/>
          <w:szCs w:val="24"/>
        </w:rPr>
        <w:t>占地面积：</w:t>
      </w:r>
      <w:r>
        <w:rPr>
          <w:rFonts w:ascii="Times New Roman" w:hAnsi="Times New Roman" w:eastAsia="Times New Roman" w:cs="Times New Roman"/>
          <w:spacing w:val="-3"/>
          <w:position w:val="2"/>
          <w:sz w:val="24"/>
          <w:szCs w:val="24"/>
        </w:rPr>
        <w:t>17194m</w:t>
      </w:r>
      <w:r>
        <w:rPr>
          <w:rFonts w:ascii="Times New Roman" w:hAnsi="Times New Roman" w:eastAsia="Times New Roman" w:cs="Times New Roman"/>
          <w:spacing w:val="-3"/>
          <w:position w:val="9"/>
          <w:sz w:val="15"/>
          <w:szCs w:val="15"/>
        </w:rPr>
        <w:t>2</w:t>
      </w:r>
      <w:r>
        <w:rPr>
          <w:rFonts w:ascii="宋体" w:hAnsi="宋体" w:eastAsia="宋体" w:cs="宋体"/>
          <w:spacing w:val="-3"/>
          <w:position w:val="2"/>
          <w:sz w:val="24"/>
          <w:szCs w:val="24"/>
        </w:rPr>
        <w:t>（约</w:t>
      </w:r>
      <w:r>
        <w:rPr>
          <w:rFonts w:ascii="宋体" w:hAnsi="宋体" w:eastAsia="宋体" w:cs="宋体"/>
          <w:spacing w:val="-55"/>
          <w:position w:val="2"/>
          <w:sz w:val="24"/>
          <w:szCs w:val="24"/>
        </w:rPr>
        <w:t xml:space="preserve"> </w:t>
      </w:r>
      <w:r>
        <w:rPr>
          <w:rFonts w:ascii="Times New Roman" w:hAnsi="Times New Roman" w:eastAsia="Times New Roman" w:cs="Times New Roman"/>
          <w:spacing w:val="-3"/>
          <w:position w:val="2"/>
          <w:sz w:val="24"/>
          <w:szCs w:val="24"/>
        </w:rPr>
        <w:t xml:space="preserve">25.79 </w:t>
      </w:r>
      <w:r>
        <w:rPr>
          <w:rFonts w:ascii="宋体" w:hAnsi="宋体" w:eastAsia="宋体" w:cs="宋体"/>
          <w:spacing w:val="-3"/>
          <w:position w:val="2"/>
          <w:sz w:val="24"/>
          <w:szCs w:val="24"/>
        </w:rPr>
        <w:t>亩</w:t>
      </w:r>
      <w:r>
        <w:rPr>
          <w:rFonts w:ascii="宋体" w:hAnsi="宋体" w:eastAsia="宋体" w:cs="宋体"/>
          <w:spacing w:val="10"/>
          <w:position w:val="2"/>
          <w:sz w:val="24"/>
          <w:szCs w:val="24"/>
        </w:rPr>
        <w:t>），</w:t>
      </w:r>
      <w:r>
        <w:rPr>
          <w:rFonts w:ascii="宋体" w:hAnsi="宋体" w:eastAsia="宋体" w:cs="宋体"/>
          <w:spacing w:val="-3"/>
          <w:position w:val="2"/>
          <w:sz w:val="24"/>
          <w:szCs w:val="24"/>
        </w:rPr>
        <w:t>建筑面积为</w:t>
      </w:r>
      <w:r>
        <w:rPr>
          <w:rFonts w:ascii="宋体" w:hAnsi="宋体" w:eastAsia="宋体" w:cs="宋体"/>
          <w:spacing w:val="-45"/>
          <w:position w:val="2"/>
          <w:sz w:val="24"/>
          <w:szCs w:val="24"/>
        </w:rPr>
        <w:t xml:space="preserve"> </w:t>
      </w:r>
      <w:r>
        <w:rPr>
          <w:rFonts w:ascii="Times New Roman" w:hAnsi="Times New Roman" w:eastAsia="Times New Roman" w:cs="Times New Roman"/>
          <w:spacing w:val="-3"/>
          <w:position w:val="2"/>
          <w:sz w:val="24"/>
          <w:szCs w:val="24"/>
        </w:rPr>
        <w:t>8346m</w:t>
      </w:r>
      <w:r>
        <w:rPr>
          <w:rFonts w:ascii="Times New Roman" w:hAnsi="Times New Roman" w:eastAsia="Times New Roman" w:cs="Times New Roman"/>
          <w:spacing w:val="-3"/>
          <w:position w:val="9"/>
          <w:sz w:val="15"/>
          <w:szCs w:val="15"/>
        </w:rPr>
        <w:t>2</w:t>
      </w:r>
      <w:r>
        <w:rPr>
          <w:rFonts w:ascii="宋体" w:hAnsi="宋体" w:eastAsia="宋体" w:cs="宋体"/>
          <w:spacing w:val="-3"/>
          <w:position w:val="2"/>
          <w:sz w:val="24"/>
          <w:szCs w:val="24"/>
        </w:rPr>
        <w:t>；</w:t>
      </w:r>
    </w:p>
    <w:p w14:paraId="27E06174">
      <w:pPr>
        <w:spacing w:before="126" w:line="360"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8</w:t>
      </w:r>
      <w:r>
        <w:rPr>
          <w:rFonts w:ascii="宋体" w:hAnsi="宋体" w:eastAsia="宋体" w:cs="宋体"/>
          <w:spacing w:val="-2"/>
          <w:position w:val="2"/>
          <w:sz w:val="24"/>
          <w:szCs w:val="24"/>
        </w:rPr>
        <w:t>）规模：各类猪只常年存栏量</w:t>
      </w:r>
      <w:r>
        <w:rPr>
          <w:rFonts w:ascii="宋体" w:hAnsi="宋体" w:eastAsia="宋体" w:cs="宋体"/>
          <w:spacing w:val="-51"/>
          <w:position w:val="2"/>
          <w:sz w:val="24"/>
          <w:szCs w:val="24"/>
        </w:rPr>
        <w:t xml:space="preserve"> </w:t>
      </w:r>
      <w:r>
        <w:rPr>
          <w:rFonts w:ascii="Times New Roman" w:hAnsi="Times New Roman" w:eastAsia="Times New Roman" w:cs="Times New Roman"/>
          <w:spacing w:val="-2"/>
          <w:position w:val="2"/>
          <w:sz w:val="24"/>
          <w:szCs w:val="24"/>
        </w:rPr>
        <w:t xml:space="preserve">7000 </w:t>
      </w:r>
      <w:r>
        <w:rPr>
          <w:rFonts w:ascii="宋体" w:hAnsi="宋体" w:eastAsia="宋体" w:cs="宋体"/>
          <w:spacing w:val="-2"/>
          <w:position w:val="2"/>
          <w:sz w:val="24"/>
          <w:szCs w:val="24"/>
        </w:rPr>
        <w:t>头，出栏量</w:t>
      </w:r>
      <w:r>
        <w:rPr>
          <w:rFonts w:ascii="宋体" w:hAnsi="宋体" w:eastAsia="宋体" w:cs="宋体"/>
          <w:spacing w:val="-32"/>
          <w:position w:val="2"/>
          <w:sz w:val="24"/>
          <w:szCs w:val="24"/>
        </w:rPr>
        <w:t xml:space="preserve"> </w:t>
      </w:r>
      <w:r>
        <w:rPr>
          <w:rFonts w:ascii="Times New Roman" w:hAnsi="Times New Roman" w:eastAsia="Times New Roman" w:cs="Times New Roman"/>
          <w:spacing w:val="-2"/>
          <w:position w:val="2"/>
          <w:sz w:val="24"/>
          <w:szCs w:val="24"/>
        </w:rPr>
        <w:t xml:space="preserve">15000 </w:t>
      </w:r>
      <w:r>
        <w:rPr>
          <w:rFonts w:ascii="宋体" w:hAnsi="宋体" w:eastAsia="宋体" w:cs="宋体"/>
          <w:spacing w:val="-2"/>
          <w:position w:val="2"/>
          <w:sz w:val="24"/>
          <w:szCs w:val="24"/>
        </w:rPr>
        <w:t>头</w:t>
      </w:r>
      <w:r>
        <w:rPr>
          <w:rFonts w:ascii="Times New Roman" w:hAnsi="Times New Roman" w:eastAsia="Times New Roman" w:cs="Times New Roman"/>
          <w:spacing w:val="-2"/>
          <w:position w:val="2"/>
          <w:sz w:val="24"/>
          <w:szCs w:val="24"/>
        </w:rPr>
        <w:t>/</w:t>
      </w:r>
      <w:r>
        <w:rPr>
          <w:rFonts w:ascii="宋体" w:hAnsi="宋体" w:eastAsia="宋体" w:cs="宋体"/>
          <w:spacing w:val="-2"/>
          <w:position w:val="2"/>
          <w:sz w:val="24"/>
          <w:szCs w:val="24"/>
        </w:rPr>
        <w:t>年（约</w:t>
      </w:r>
      <w:r>
        <w:rPr>
          <w:rFonts w:ascii="宋体" w:hAnsi="宋体" w:eastAsia="宋体" w:cs="宋体"/>
          <w:spacing w:val="-55"/>
          <w:position w:val="2"/>
          <w:sz w:val="24"/>
          <w:szCs w:val="24"/>
        </w:rPr>
        <w:t xml:space="preserve"> </w:t>
      </w:r>
      <w:r>
        <w:rPr>
          <w:rFonts w:ascii="Times New Roman" w:hAnsi="Times New Roman" w:eastAsia="Times New Roman" w:cs="Times New Roman"/>
          <w:spacing w:val="-3"/>
          <w:position w:val="2"/>
          <w:sz w:val="24"/>
          <w:szCs w:val="24"/>
        </w:rPr>
        <w:t>220</w:t>
      </w:r>
      <w:r>
        <w:rPr>
          <w:rFonts w:ascii="Times New Roman" w:hAnsi="Times New Roman" w:eastAsia="Times New Roman" w:cs="Times New Roman"/>
          <w:spacing w:val="18"/>
          <w:position w:val="2"/>
          <w:sz w:val="24"/>
          <w:szCs w:val="24"/>
        </w:rPr>
        <w:t xml:space="preserve"> </w:t>
      </w:r>
      <w:r>
        <w:rPr>
          <w:rFonts w:ascii="宋体" w:hAnsi="宋体" w:eastAsia="宋体" w:cs="宋体"/>
          <w:spacing w:val="-3"/>
          <w:position w:val="2"/>
          <w:sz w:val="24"/>
          <w:szCs w:val="24"/>
        </w:rPr>
        <w:t>斤</w:t>
      </w:r>
      <w:r>
        <w:rPr>
          <w:rFonts w:ascii="宋体" w:hAnsi="宋体" w:eastAsia="宋体" w:cs="宋体"/>
          <w:position w:val="2"/>
          <w:sz w:val="24"/>
          <w:szCs w:val="24"/>
        </w:rPr>
        <w:t>）；</w:t>
      </w:r>
    </w:p>
    <w:p w14:paraId="2B043723">
      <w:pPr>
        <w:spacing w:before="129" w:line="327" w:lineRule="auto"/>
        <w:ind w:left="164" w:right="110" w:firstLine="45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9</w:t>
      </w:r>
      <w:r>
        <w:rPr>
          <w:rFonts w:ascii="宋体" w:hAnsi="宋体" w:eastAsia="宋体" w:cs="宋体"/>
          <w:sz w:val="24"/>
          <w:szCs w:val="24"/>
        </w:rPr>
        <w:t>）劳动定员及工作制度：共有员工</w:t>
      </w:r>
      <w:r>
        <w:rPr>
          <w:rFonts w:ascii="宋体" w:hAnsi="宋体" w:eastAsia="宋体" w:cs="宋体"/>
          <w:spacing w:val="-32"/>
          <w:sz w:val="24"/>
          <w:szCs w:val="24"/>
        </w:rPr>
        <w:t xml:space="preserve"> </w:t>
      </w:r>
      <w:r>
        <w:rPr>
          <w:rFonts w:ascii="Times New Roman" w:hAnsi="Times New Roman" w:eastAsia="Times New Roman" w:cs="Times New Roman"/>
          <w:sz w:val="24"/>
          <w:szCs w:val="24"/>
        </w:rPr>
        <w:t xml:space="preserve">12 </w:t>
      </w:r>
      <w:r>
        <w:rPr>
          <w:rFonts w:ascii="宋体" w:hAnsi="宋体" w:eastAsia="宋体" w:cs="宋体"/>
          <w:spacing w:val="-1"/>
          <w:sz w:val="24"/>
          <w:szCs w:val="24"/>
        </w:rPr>
        <w:t>人，其中</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人厂区内住宿。年工作</w:t>
      </w:r>
      <w:r>
        <w:rPr>
          <w:rFonts w:ascii="Times New Roman" w:hAnsi="Times New Roman" w:eastAsia="Times New Roman" w:cs="Times New Roman"/>
          <w:spacing w:val="-1"/>
          <w:sz w:val="24"/>
          <w:szCs w:val="24"/>
        </w:rPr>
        <w:t>365</w:t>
      </w:r>
      <w:r>
        <w:rPr>
          <w:rFonts w:ascii="Times New Roman" w:hAnsi="Times New Roman" w:eastAsia="Times New Roman" w:cs="Times New Roman"/>
          <w:sz w:val="24"/>
          <w:szCs w:val="24"/>
        </w:rPr>
        <w:t xml:space="preserve"> </w:t>
      </w:r>
      <w:r>
        <w:rPr>
          <w:rFonts w:ascii="宋体" w:hAnsi="宋体" w:eastAsia="宋体" w:cs="宋体"/>
          <w:spacing w:val="-9"/>
          <w:sz w:val="24"/>
          <w:szCs w:val="24"/>
        </w:rPr>
        <w:t>日，每天工作</w:t>
      </w:r>
      <w:r>
        <w:rPr>
          <w:rFonts w:ascii="宋体" w:hAnsi="宋体" w:eastAsia="宋体" w:cs="宋体"/>
          <w:spacing w:val="-38"/>
          <w:sz w:val="24"/>
          <w:szCs w:val="24"/>
        </w:rPr>
        <w:t xml:space="preserve"> </w:t>
      </w:r>
      <w:r>
        <w:rPr>
          <w:rFonts w:ascii="Times New Roman" w:hAnsi="Times New Roman" w:eastAsia="Times New Roman" w:cs="Times New Roman"/>
          <w:spacing w:val="-9"/>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9"/>
          <w:sz w:val="24"/>
          <w:szCs w:val="24"/>
        </w:rPr>
        <w:t>小时。</w:t>
      </w:r>
    </w:p>
    <w:p w14:paraId="3739EF6A">
      <w:pPr>
        <w:spacing w:before="165" w:line="221"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3.1.1</w:t>
      </w:r>
      <w:r>
        <w:rPr>
          <w:rFonts w:ascii="宋体" w:hAnsi="宋体" w:eastAsia="宋体" w:cs="宋体"/>
          <w:b/>
          <w:bCs/>
          <w:spacing w:val="-2"/>
          <w:sz w:val="24"/>
          <w:szCs w:val="24"/>
        </w:rPr>
        <w:t>项目用地及四至情况</w:t>
      </w:r>
    </w:p>
    <w:p w14:paraId="305CA027">
      <w:pPr>
        <w:spacing w:before="166" w:line="359" w:lineRule="auto"/>
        <w:ind w:left="122" w:right="113" w:firstLine="480"/>
        <w:jc w:val="both"/>
        <w:rPr>
          <w:rFonts w:ascii="宋体" w:hAnsi="宋体" w:eastAsia="宋体" w:cs="宋体"/>
          <w:sz w:val="24"/>
          <w:szCs w:val="24"/>
        </w:rPr>
      </w:pPr>
      <w:r>
        <w:rPr>
          <w:rFonts w:ascii="宋体" w:hAnsi="宋体" w:eastAsia="宋体" w:cs="宋体"/>
          <w:spacing w:val="-1"/>
          <w:sz w:val="24"/>
          <w:szCs w:val="24"/>
        </w:rPr>
        <w:t>本项目选址于海丰县公平镇龙岗美月姑少山坡地，项目东面相隔</w:t>
      </w:r>
      <w:r>
        <w:rPr>
          <w:rFonts w:ascii="宋体" w:hAnsi="宋体" w:eastAsia="宋体" w:cs="宋体"/>
          <w:spacing w:val="-14"/>
          <w:sz w:val="24"/>
          <w:szCs w:val="24"/>
        </w:rPr>
        <w:t xml:space="preserve"> </w:t>
      </w:r>
      <w:r>
        <w:rPr>
          <w:rFonts w:ascii="Times New Roman" w:hAnsi="Times New Roman" w:eastAsia="Times New Roman" w:cs="Times New Roman"/>
          <w:spacing w:val="-1"/>
          <w:sz w:val="24"/>
          <w:szCs w:val="24"/>
        </w:rPr>
        <w:t xml:space="preserve">10m </w:t>
      </w:r>
      <w:r>
        <w:rPr>
          <w:rFonts w:ascii="宋体" w:hAnsi="宋体" w:eastAsia="宋体" w:cs="宋体"/>
          <w:spacing w:val="-1"/>
          <w:sz w:val="24"/>
          <w:szCs w:val="24"/>
        </w:rPr>
        <w:t>为海丰县</w:t>
      </w:r>
      <w:r>
        <w:rPr>
          <w:rFonts w:ascii="宋体" w:hAnsi="宋体" w:eastAsia="宋体" w:cs="宋体"/>
          <w:sz w:val="24"/>
          <w:szCs w:val="24"/>
        </w:rPr>
        <w:t xml:space="preserve"> </w:t>
      </w:r>
      <w:r>
        <w:rPr>
          <w:rFonts w:ascii="宋体" w:hAnsi="宋体" w:eastAsia="宋体" w:cs="宋体"/>
          <w:spacing w:val="2"/>
          <w:sz w:val="24"/>
          <w:szCs w:val="24"/>
        </w:rPr>
        <w:t>公平镇龙寨实成种养专业合作社养猪场，项目南、西、北面隔均为山林。项目病死</w:t>
      </w:r>
      <w:r>
        <w:rPr>
          <w:rFonts w:ascii="宋体" w:hAnsi="宋体" w:eastAsia="宋体" w:cs="宋体"/>
          <w:spacing w:val="6"/>
          <w:sz w:val="24"/>
          <w:szCs w:val="24"/>
        </w:rPr>
        <w:t xml:space="preserve"> </w:t>
      </w:r>
      <w:r>
        <w:rPr>
          <w:rFonts w:ascii="宋体" w:hAnsi="宋体" w:eastAsia="宋体" w:cs="宋体"/>
          <w:spacing w:val="2"/>
          <w:sz w:val="24"/>
          <w:szCs w:val="24"/>
        </w:rPr>
        <w:t>猪尸体依托海丰县公平镇龙寨实成种养专业合作社养猪场的安全填埋井进行填埋处</w:t>
      </w:r>
      <w:r>
        <w:rPr>
          <w:rFonts w:ascii="宋体" w:hAnsi="宋体" w:eastAsia="宋体" w:cs="宋体"/>
          <w:spacing w:val="6"/>
          <w:sz w:val="24"/>
          <w:szCs w:val="24"/>
        </w:rPr>
        <w:t xml:space="preserve"> </w:t>
      </w:r>
      <w:r>
        <w:rPr>
          <w:rFonts w:ascii="宋体" w:hAnsi="宋体" w:eastAsia="宋体" w:cs="宋体"/>
          <w:spacing w:val="-2"/>
          <w:sz w:val="24"/>
          <w:szCs w:val="24"/>
        </w:rPr>
        <w:t>理，安全填埋井位于项目东南面</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195m </w:t>
      </w:r>
      <w:r>
        <w:rPr>
          <w:rFonts w:ascii="宋体" w:hAnsi="宋体" w:eastAsia="宋体" w:cs="宋体"/>
          <w:spacing w:val="-2"/>
          <w:sz w:val="24"/>
          <w:szCs w:val="24"/>
        </w:rPr>
        <w:t>处。</w:t>
      </w: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5"/>
        <w:gridCol w:w="4445"/>
      </w:tblGrid>
      <w:tr w14:paraId="03A0C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5" w:hRule="atLeast"/>
        </w:trPr>
        <w:tc>
          <w:tcPr>
            <w:tcW w:w="4505" w:type="dxa"/>
            <w:vAlign w:val="top"/>
          </w:tcPr>
          <w:p w14:paraId="5C4ED553">
            <w:pPr>
              <w:spacing w:before="217" w:line="2834" w:lineRule="exact"/>
              <w:ind w:firstLine="360"/>
            </w:pPr>
            <w:r>
              <w:rPr>
                <w:position w:val="-56"/>
              </w:rPr>
              <w:drawing>
                <wp:inline distT="0" distB="0" distL="0" distR="0">
                  <wp:extent cx="2412365" cy="179959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7"/>
                          <a:stretch>
                            <a:fillRect/>
                          </a:stretch>
                        </pic:blipFill>
                        <pic:spPr>
                          <a:xfrm>
                            <a:off x="0" y="0"/>
                            <a:ext cx="2412491" cy="1799844"/>
                          </a:xfrm>
                          <a:prstGeom prst="rect">
                            <a:avLst/>
                          </a:prstGeom>
                        </pic:spPr>
                      </pic:pic>
                    </a:graphicData>
                  </a:graphic>
                </wp:inline>
              </w:drawing>
            </w:r>
          </w:p>
        </w:tc>
        <w:tc>
          <w:tcPr>
            <w:tcW w:w="4445" w:type="dxa"/>
            <w:vAlign w:val="top"/>
          </w:tcPr>
          <w:p w14:paraId="1C93EFA3">
            <w:pPr>
              <w:spacing w:before="162" w:line="2947" w:lineRule="exact"/>
              <w:ind w:firstLine="264"/>
            </w:pPr>
            <w:r>
              <w:rPr>
                <w:position w:val="-58"/>
              </w:rPr>
              <w:drawing>
                <wp:inline distT="0" distB="0" distL="0" distR="0">
                  <wp:extent cx="2501900" cy="18713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08"/>
                          <a:stretch>
                            <a:fillRect/>
                          </a:stretch>
                        </pic:blipFill>
                        <pic:spPr>
                          <a:xfrm>
                            <a:off x="0" y="0"/>
                            <a:ext cx="2502407" cy="1871471"/>
                          </a:xfrm>
                          <a:prstGeom prst="rect">
                            <a:avLst/>
                          </a:prstGeom>
                        </pic:spPr>
                      </pic:pic>
                    </a:graphicData>
                  </a:graphic>
                </wp:inline>
              </w:drawing>
            </w:r>
          </w:p>
        </w:tc>
      </w:tr>
      <w:tr w14:paraId="654E6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505" w:type="dxa"/>
            <w:vAlign w:val="top"/>
          </w:tcPr>
          <w:p w14:paraId="00805D3F">
            <w:pPr>
              <w:pStyle w:val="6"/>
              <w:spacing w:before="49" w:line="220" w:lineRule="auto"/>
              <w:ind w:left="188"/>
              <w:rPr>
                <w:sz w:val="24"/>
                <w:szCs w:val="24"/>
              </w:rPr>
            </w:pPr>
            <w:r>
              <w:rPr>
                <w:spacing w:val="-2"/>
                <w:sz w:val="24"/>
                <w:szCs w:val="24"/>
              </w:rPr>
              <w:t>东面</w:t>
            </w:r>
            <w:r>
              <w:rPr>
                <w:rFonts w:ascii="Times New Roman" w:hAnsi="Times New Roman" w:eastAsia="Times New Roman" w:cs="Times New Roman"/>
                <w:spacing w:val="-2"/>
                <w:sz w:val="24"/>
                <w:szCs w:val="24"/>
              </w:rPr>
              <w:t>-</w:t>
            </w:r>
            <w:r>
              <w:rPr>
                <w:spacing w:val="-2"/>
                <w:sz w:val="24"/>
                <w:szCs w:val="24"/>
              </w:rPr>
              <w:t>海丰县公平镇龙寨实成种养专业合</w:t>
            </w:r>
          </w:p>
          <w:p w14:paraId="4204108B">
            <w:pPr>
              <w:pStyle w:val="6"/>
              <w:spacing w:before="40" w:line="210" w:lineRule="auto"/>
              <w:ind w:left="1662"/>
              <w:rPr>
                <w:sz w:val="24"/>
                <w:szCs w:val="24"/>
              </w:rPr>
            </w:pPr>
            <w:r>
              <w:rPr>
                <w:spacing w:val="-3"/>
                <w:sz w:val="24"/>
                <w:szCs w:val="24"/>
              </w:rPr>
              <w:t>作社养猪场</w:t>
            </w:r>
          </w:p>
        </w:tc>
        <w:tc>
          <w:tcPr>
            <w:tcW w:w="4445" w:type="dxa"/>
            <w:vAlign w:val="top"/>
          </w:tcPr>
          <w:p w14:paraId="49A285E1">
            <w:pPr>
              <w:pStyle w:val="6"/>
              <w:spacing w:before="212" w:line="220" w:lineRule="auto"/>
              <w:ind w:left="1711"/>
              <w:rPr>
                <w:sz w:val="24"/>
                <w:szCs w:val="24"/>
              </w:rPr>
            </w:pPr>
            <w:r>
              <w:rPr>
                <w:spacing w:val="-3"/>
                <w:sz w:val="24"/>
                <w:szCs w:val="24"/>
              </w:rPr>
              <w:t>南面</w:t>
            </w:r>
            <w:r>
              <w:rPr>
                <w:rFonts w:ascii="Times New Roman" w:hAnsi="Times New Roman" w:eastAsia="Times New Roman" w:cs="Times New Roman"/>
                <w:spacing w:val="-3"/>
                <w:sz w:val="24"/>
                <w:szCs w:val="24"/>
              </w:rPr>
              <w:t>-</w:t>
            </w:r>
            <w:r>
              <w:rPr>
                <w:spacing w:val="-3"/>
                <w:sz w:val="24"/>
                <w:szCs w:val="24"/>
              </w:rPr>
              <w:t>山林</w:t>
            </w:r>
          </w:p>
        </w:tc>
      </w:tr>
    </w:tbl>
    <w:p w14:paraId="2024E312">
      <w:pPr>
        <w:pStyle w:val="2"/>
      </w:pPr>
    </w:p>
    <w:p w14:paraId="3B9F5879">
      <w:pPr>
        <w:sectPr>
          <w:footerReference r:id="rId58" w:type="default"/>
          <w:pgSz w:w="11906" w:h="16839"/>
          <w:pgMar w:top="1431" w:right="1475" w:bottom="1485" w:left="1475" w:header="0" w:footer="1249" w:gutter="0"/>
          <w:cols w:space="720" w:num="1"/>
        </w:sectPr>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5"/>
        <w:gridCol w:w="4445"/>
      </w:tblGrid>
      <w:tr w14:paraId="07EF1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4" w:hRule="atLeast"/>
        </w:trPr>
        <w:tc>
          <w:tcPr>
            <w:tcW w:w="4505" w:type="dxa"/>
            <w:vAlign w:val="top"/>
          </w:tcPr>
          <w:p w14:paraId="755A9E7C">
            <w:pPr>
              <w:spacing w:before="153" w:line="3288" w:lineRule="exact"/>
              <w:ind w:firstLine="137"/>
            </w:pPr>
            <w:r>
              <w:rPr>
                <w:position w:val="-65"/>
              </w:rPr>
              <w:drawing>
                <wp:inline distT="0" distB="0" distL="0" distR="0">
                  <wp:extent cx="2769870" cy="208788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09"/>
                          <a:stretch>
                            <a:fillRect/>
                          </a:stretch>
                        </pic:blipFill>
                        <pic:spPr>
                          <a:xfrm>
                            <a:off x="0" y="0"/>
                            <a:ext cx="2770251" cy="2087880"/>
                          </a:xfrm>
                          <a:prstGeom prst="rect">
                            <a:avLst/>
                          </a:prstGeom>
                        </pic:spPr>
                      </pic:pic>
                    </a:graphicData>
                  </a:graphic>
                </wp:inline>
              </w:drawing>
            </w:r>
          </w:p>
        </w:tc>
        <w:tc>
          <w:tcPr>
            <w:tcW w:w="4445" w:type="dxa"/>
            <w:vAlign w:val="top"/>
          </w:tcPr>
          <w:p w14:paraId="08221763">
            <w:pPr>
              <w:spacing w:line="291" w:lineRule="auto"/>
              <w:rPr>
                <w:rFonts w:ascii="Arial"/>
                <w:sz w:val="21"/>
              </w:rPr>
            </w:pPr>
          </w:p>
          <w:p w14:paraId="164AC91B">
            <w:pPr>
              <w:spacing w:line="3012" w:lineRule="exact"/>
              <w:ind w:firstLine="218"/>
            </w:pPr>
            <w:r>
              <w:rPr>
                <w:position w:val="-60"/>
              </w:rPr>
              <w:drawing>
                <wp:inline distT="0" distB="0" distL="0" distR="0">
                  <wp:extent cx="2557145" cy="19119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10"/>
                          <a:stretch>
                            <a:fillRect/>
                          </a:stretch>
                        </pic:blipFill>
                        <pic:spPr>
                          <a:xfrm>
                            <a:off x="0" y="0"/>
                            <a:ext cx="2557271" cy="1912619"/>
                          </a:xfrm>
                          <a:prstGeom prst="rect">
                            <a:avLst/>
                          </a:prstGeom>
                        </pic:spPr>
                      </pic:pic>
                    </a:graphicData>
                  </a:graphic>
                </wp:inline>
              </w:drawing>
            </w:r>
          </w:p>
        </w:tc>
      </w:tr>
      <w:tr w14:paraId="1097A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505" w:type="dxa"/>
            <w:vAlign w:val="top"/>
          </w:tcPr>
          <w:p w14:paraId="754C2F04">
            <w:pPr>
              <w:pStyle w:val="6"/>
              <w:spacing w:before="45" w:line="212" w:lineRule="auto"/>
              <w:ind w:left="1746"/>
              <w:rPr>
                <w:sz w:val="24"/>
                <w:szCs w:val="24"/>
              </w:rPr>
            </w:pPr>
            <w:r>
              <w:rPr>
                <w:spacing w:val="-4"/>
                <w:sz w:val="24"/>
                <w:szCs w:val="24"/>
              </w:rPr>
              <w:t>西面</w:t>
            </w:r>
            <w:r>
              <w:rPr>
                <w:rFonts w:ascii="Times New Roman" w:hAnsi="Times New Roman" w:eastAsia="Times New Roman" w:cs="Times New Roman"/>
                <w:spacing w:val="-4"/>
                <w:sz w:val="24"/>
                <w:szCs w:val="24"/>
              </w:rPr>
              <w:t>-</w:t>
            </w:r>
            <w:r>
              <w:rPr>
                <w:spacing w:val="-4"/>
                <w:sz w:val="24"/>
                <w:szCs w:val="24"/>
              </w:rPr>
              <w:t>山林</w:t>
            </w:r>
          </w:p>
        </w:tc>
        <w:tc>
          <w:tcPr>
            <w:tcW w:w="4445" w:type="dxa"/>
            <w:vAlign w:val="top"/>
          </w:tcPr>
          <w:p w14:paraId="06F83650">
            <w:pPr>
              <w:pStyle w:val="6"/>
              <w:spacing w:before="45" w:line="212" w:lineRule="auto"/>
              <w:ind w:left="1712"/>
              <w:rPr>
                <w:sz w:val="24"/>
                <w:szCs w:val="24"/>
              </w:rPr>
            </w:pPr>
            <w:r>
              <w:rPr>
                <w:spacing w:val="-3"/>
                <w:sz w:val="24"/>
                <w:szCs w:val="24"/>
              </w:rPr>
              <w:t>北面</w:t>
            </w:r>
            <w:r>
              <w:rPr>
                <w:rFonts w:ascii="Times New Roman" w:hAnsi="Times New Roman" w:eastAsia="Times New Roman" w:cs="Times New Roman"/>
                <w:spacing w:val="-3"/>
                <w:sz w:val="24"/>
                <w:szCs w:val="24"/>
              </w:rPr>
              <w:t>-</w:t>
            </w:r>
            <w:r>
              <w:rPr>
                <w:spacing w:val="-3"/>
                <w:sz w:val="24"/>
                <w:szCs w:val="24"/>
              </w:rPr>
              <w:t>山林</w:t>
            </w:r>
          </w:p>
        </w:tc>
      </w:tr>
      <w:tr w14:paraId="25716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4" w:hRule="atLeast"/>
        </w:trPr>
        <w:tc>
          <w:tcPr>
            <w:tcW w:w="8950" w:type="dxa"/>
            <w:gridSpan w:val="2"/>
            <w:vAlign w:val="top"/>
          </w:tcPr>
          <w:p w14:paraId="55C542A0">
            <w:pPr>
              <w:spacing w:before="25" w:line="5498" w:lineRule="exact"/>
              <w:ind w:firstLine="1078"/>
            </w:pPr>
            <w:r>
              <w:rPr>
                <w:position w:val="-109"/>
              </w:rPr>
              <w:drawing>
                <wp:inline distT="0" distB="0" distL="0" distR="0">
                  <wp:extent cx="4329430" cy="349123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11"/>
                          <a:stretch>
                            <a:fillRect/>
                          </a:stretch>
                        </pic:blipFill>
                        <pic:spPr>
                          <a:xfrm>
                            <a:off x="0" y="0"/>
                            <a:ext cx="4329683" cy="3491483"/>
                          </a:xfrm>
                          <a:prstGeom prst="rect">
                            <a:avLst/>
                          </a:prstGeom>
                        </pic:spPr>
                      </pic:pic>
                    </a:graphicData>
                  </a:graphic>
                </wp:inline>
              </w:drawing>
            </w:r>
          </w:p>
        </w:tc>
      </w:tr>
      <w:tr w14:paraId="70B7A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950" w:type="dxa"/>
            <w:gridSpan w:val="2"/>
            <w:vAlign w:val="top"/>
          </w:tcPr>
          <w:p w14:paraId="5B821734">
            <w:pPr>
              <w:pStyle w:val="6"/>
              <w:spacing w:before="48" w:line="213" w:lineRule="auto"/>
              <w:ind w:left="1331"/>
              <w:rPr>
                <w:sz w:val="24"/>
                <w:szCs w:val="24"/>
              </w:rPr>
            </w:pPr>
            <w:r>
              <w:rPr>
                <w:spacing w:val="-1"/>
                <w:sz w:val="24"/>
                <w:szCs w:val="24"/>
              </w:rPr>
              <w:t>东南面</w:t>
            </w:r>
            <w:r>
              <w:rPr>
                <w:rFonts w:ascii="Times New Roman" w:hAnsi="Times New Roman" w:eastAsia="Times New Roman" w:cs="Times New Roman"/>
                <w:spacing w:val="-1"/>
                <w:sz w:val="24"/>
                <w:szCs w:val="24"/>
              </w:rPr>
              <w:t>-</w:t>
            </w:r>
            <w:r>
              <w:rPr>
                <w:spacing w:val="-1"/>
                <w:sz w:val="24"/>
                <w:szCs w:val="24"/>
              </w:rPr>
              <w:t>海丰县公平镇龙寨实成种养专业合作社养猪场填埋井</w:t>
            </w:r>
          </w:p>
        </w:tc>
      </w:tr>
    </w:tbl>
    <w:p w14:paraId="28BB9CFD">
      <w:pPr>
        <w:spacing w:before="124" w:line="221" w:lineRule="auto"/>
        <w:ind w:left="3271"/>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44"/>
          <w:sz w:val="24"/>
          <w:szCs w:val="24"/>
        </w:rPr>
        <w:t xml:space="preserve"> </w:t>
      </w:r>
      <w:r>
        <w:rPr>
          <w:rFonts w:ascii="Times New Roman" w:hAnsi="Times New Roman" w:eastAsia="Times New Roman" w:cs="Times New Roman"/>
          <w:b/>
          <w:bCs/>
          <w:spacing w:val="-4"/>
          <w:sz w:val="24"/>
          <w:szCs w:val="24"/>
        </w:rPr>
        <w:t xml:space="preserve">3.1-1    </w:t>
      </w:r>
      <w:r>
        <w:rPr>
          <w:rFonts w:ascii="宋体" w:hAnsi="宋体" w:eastAsia="宋体" w:cs="宋体"/>
          <w:b/>
          <w:bCs/>
          <w:spacing w:val="-4"/>
          <w:sz w:val="24"/>
          <w:szCs w:val="24"/>
        </w:rPr>
        <w:t>项目四至情况</w:t>
      </w:r>
    </w:p>
    <w:p w14:paraId="12856E2C">
      <w:pPr>
        <w:spacing w:line="221" w:lineRule="auto"/>
        <w:rPr>
          <w:rFonts w:ascii="宋体" w:hAnsi="宋体" w:eastAsia="宋体" w:cs="宋体"/>
          <w:sz w:val="24"/>
          <w:szCs w:val="24"/>
        </w:rPr>
        <w:sectPr>
          <w:footerReference r:id="rId59" w:type="default"/>
          <w:pgSz w:w="11906" w:h="16839"/>
          <w:pgMar w:top="1418" w:right="1475" w:bottom="1485" w:left="1475" w:header="0" w:footer="1249" w:gutter="0"/>
          <w:cols w:space="720" w:num="1"/>
        </w:sectPr>
      </w:pPr>
    </w:p>
    <w:p w14:paraId="28E158A4">
      <w:pPr>
        <w:pStyle w:val="2"/>
        <w:spacing w:line="274" w:lineRule="auto"/>
      </w:pPr>
    </w:p>
    <w:p w14:paraId="45128C5D">
      <w:pPr>
        <w:pStyle w:val="2"/>
        <w:spacing w:line="275" w:lineRule="auto"/>
      </w:pPr>
    </w:p>
    <w:p w14:paraId="0D51AF8B">
      <w:pPr>
        <w:pStyle w:val="2"/>
        <w:spacing w:line="275" w:lineRule="auto"/>
      </w:pPr>
    </w:p>
    <w:p w14:paraId="61969353">
      <w:pPr>
        <w:pStyle w:val="2"/>
        <w:spacing w:line="275" w:lineRule="auto"/>
      </w:pPr>
    </w:p>
    <w:p w14:paraId="42727019">
      <w:pPr>
        <w:spacing w:line="7646" w:lineRule="exact"/>
      </w:pPr>
      <w:r>
        <w:rPr>
          <w:position w:val="-152"/>
        </w:rPr>
        <w:drawing>
          <wp:inline distT="0" distB="0" distL="0" distR="0">
            <wp:extent cx="5582285" cy="485521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12"/>
                    <a:stretch>
                      <a:fillRect/>
                    </a:stretch>
                  </pic:blipFill>
                  <pic:spPr>
                    <a:xfrm>
                      <a:off x="0" y="0"/>
                      <a:ext cx="5582411" cy="4855464"/>
                    </a:xfrm>
                    <a:prstGeom prst="rect">
                      <a:avLst/>
                    </a:prstGeom>
                  </pic:spPr>
                </pic:pic>
              </a:graphicData>
            </a:graphic>
          </wp:inline>
        </w:drawing>
      </w:r>
    </w:p>
    <w:p w14:paraId="59D3F3E1">
      <w:pPr>
        <w:spacing w:before="213" w:line="221" w:lineRule="auto"/>
        <w:ind w:left="3098"/>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50"/>
          <w:sz w:val="24"/>
          <w:szCs w:val="24"/>
        </w:rPr>
        <w:t xml:space="preserve"> </w:t>
      </w:r>
      <w:r>
        <w:rPr>
          <w:rFonts w:ascii="Times New Roman" w:hAnsi="Times New Roman" w:eastAsia="Times New Roman" w:cs="Times New Roman"/>
          <w:b/>
          <w:bCs/>
          <w:spacing w:val="-4"/>
          <w:sz w:val="24"/>
          <w:szCs w:val="24"/>
        </w:rPr>
        <w:t xml:space="preserve">3.1-2  </w:t>
      </w:r>
      <w:r>
        <w:rPr>
          <w:rFonts w:ascii="宋体" w:hAnsi="宋体" w:eastAsia="宋体" w:cs="宋体"/>
          <w:b/>
          <w:bCs/>
          <w:spacing w:val="-4"/>
          <w:sz w:val="24"/>
          <w:szCs w:val="24"/>
        </w:rPr>
        <w:t>项目卫星四至图</w:t>
      </w:r>
    </w:p>
    <w:p w14:paraId="1C203852">
      <w:pPr>
        <w:spacing w:before="202" w:line="220" w:lineRule="auto"/>
        <w:ind w:left="5"/>
        <w:outlineLvl w:val="2"/>
        <w:rPr>
          <w:rFonts w:ascii="宋体" w:hAnsi="宋体" w:eastAsia="宋体" w:cs="宋体"/>
          <w:sz w:val="24"/>
          <w:szCs w:val="24"/>
        </w:rPr>
      </w:pPr>
      <w:r>
        <w:rPr>
          <w:rFonts w:ascii="Times New Roman" w:hAnsi="Times New Roman" w:eastAsia="Times New Roman" w:cs="Times New Roman"/>
          <w:b/>
          <w:bCs/>
          <w:spacing w:val="-2"/>
          <w:sz w:val="24"/>
          <w:szCs w:val="24"/>
        </w:rPr>
        <w:t>3.1.2</w:t>
      </w:r>
      <w:r>
        <w:rPr>
          <w:rFonts w:ascii="宋体" w:hAnsi="宋体" w:eastAsia="宋体" w:cs="宋体"/>
          <w:b/>
          <w:bCs/>
          <w:spacing w:val="-2"/>
          <w:sz w:val="24"/>
          <w:szCs w:val="24"/>
        </w:rPr>
        <w:t>建设内容及规模</w:t>
      </w:r>
    </w:p>
    <w:p w14:paraId="1C7F4927">
      <w:pPr>
        <w:spacing w:before="204" w:line="370" w:lineRule="auto"/>
        <w:ind w:left="10" w:right="86" w:firstLine="482"/>
        <w:rPr>
          <w:rFonts w:ascii="宋体" w:hAnsi="宋体" w:eastAsia="宋体" w:cs="宋体"/>
          <w:sz w:val="24"/>
          <w:szCs w:val="24"/>
        </w:rPr>
      </w:pPr>
      <w:r>
        <w:rPr>
          <w:rFonts w:ascii="宋体" w:hAnsi="宋体" w:eastAsia="宋体" w:cs="宋体"/>
          <w:spacing w:val="2"/>
          <w:sz w:val="24"/>
          <w:szCs w:val="24"/>
        </w:rPr>
        <w:t>汕尾市天磊联信种养有限公司生猪养殖项目位于海丰县公平镇龙岗美月姑少山</w:t>
      </w:r>
      <w:r>
        <w:rPr>
          <w:rFonts w:ascii="宋体" w:hAnsi="宋体" w:eastAsia="宋体" w:cs="宋体"/>
          <w:spacing w:val="7"/>
          <w:sz w:val="24"/>
          <w:szCs w:val="24"/>
        </w:rPr>
        <w:t xml:space="preserve"> </w:t>
      </w:r>
      <w:r>
        <w:rPr>
          <w:rFonts w:ascii="宋体" w:hAnsi="宋体" w:eastAsia="宋体" w:cs="宋体"/>
          <w:spacing w:val="-5"/>
          <w:sz w:val="24"/>
          <w:szCs w:val="24"/>
        </w:rPr>
        <w:t>坡地（东经</w:t>
      </w:r>
      <w:r>
        <w:rPr>
          <w:rFonts w:ascii="宋体" w:hAnsi="宋体" w:eastAsia="宋体" w:cs="宋体"/>
          <w:spacing w:val="-17"/>
          <w:sz w:val="24"/>
          <w:szCs w:val="24"/>
        </w:rPr>
        <w:t xml:space="preserve"> </w:t>
      </w:r>
      <w:r>
        <w:rPr>
          <w:rFonts w:ascii="Times New Roman" w:hAnsi="Times New Roman" w:eastAsia="Times New Roman" w:cs="Times New Roman"/>
          <w:spacing w:val="-5"/>
          <w:sz w:val="24"/>
          <w:szCs w:val="24"/>
        </w:rPr>
        <w:t>115.407802°</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w:t>
      </w:r>
      <w:r>
        <w:rPr>
          <w:rFonts w:ascii="宋体" w:hAnsi="宋体" w:eastAsia="宋体" w:cs="宋体"/>
          <w:spacing w:val="65"/>
          <w:sz w:val="24"/>
          <w:szCs w:val="24"/>
        </w:rPr>
        <w:t xml:space="preserve"> </w:t>
      </w:r>
      <w:r>
        <w:rPr>
          <w:rFonts w:ascii="宋体" w:hAnsi="宋体" w:eastAsia="宋体" w:cs="宋体"/>
          <w:spacing w:val="-5"/>
          <w:sz w:val="24"/>
          <w:szCs w:val="24"/>
        </w:rPr>
        <w:t>北纬</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23.034166°</w:t>
      </w:r>
      <w:r>
        <w:rPr>
          <w:rFonts w:ascii="宋体" w:hAnsi="宋体" w:eastAsia="宋体" w:cs="宋体"/>
          <w:spacing w:val="-5"/>
          <w:sz w:val="24"/>
          <w:szCs w:val="24"/>
        </w:rPr>
        <w:t>) 。</w:t>
      </w:r>
    </w:p>
    <w:p w14:paraId="50F1A3F4">
      <w:pPr>
        <w:spacing w:before="5" w:line="335" w:lineRule="auto"/>
        <w:ind w:left="10" w:firstLine="483"/>
        <w:jc w:val="both"/>
        <w:rPr>
          <w:rFonts w:ascii="宋体" w:hAnsi="宋体" w:eastAsia="宋体" w:cs="宋体"/>
          <w:sz w:val="24"/>
          <w:szCs w:val="24"/>
        </w:rPr>
      </w:pPr>
      <w:r>
        <w:rPr>
          <w:rFonts w:ascii="宋体" w:hAnsi="宋体" w:eastAsia="宋体" w:cs="宋体"/>
          <w:sz w:val="24"/>
          <w:szCs w:val="24"/>
        </w:rPr>
        <w:t>项目占地面</w:t>
      </w:r>
      <w:r>
        <w:rPr>
          <w:rFonts w:ascii="宋体" w:hAnsi="宋体" w:eastAsia="宋体" w:cs="宋体"/>
          <w:spacing w:val="-30"/>
          <w:sz w:val="24"/>
          <w:szCs w:val="24"/>
        </w:rPr>
        <w:t xml:space="preserve"> </w:t>
      </w:r>
      <w:r>
        <w:rPr>
          <w:rFonts w:ascii="Times New Roman" w:hAnsi="Times New Roman" w:eastAsia="Times New Roman" w:cs="Times New Roman"/>
          <w:sz w:val="24"/>
          <w:szCs w:val="24"/>
        </w:rPr>
        <w:t xml:space="preserve">17194 </w:t>
      </w:r>
      <w:r>
        <w:rPr>
          <w:rFonts w:ascii="宋体" w:hAnsi="宋体" w:eastAsia="宋体" w:cs="宋体"/>
          <w:sz w:val="24"/>
          <w:szCs w:val="24"/>
        </w:rPr>
        <w:t>平方米，建筑面积约</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 xml:space="preserve">8346 </w:t>
      </w:r>
      <w:r>
        <w:rPr>
          <w:rFonts w:ascii="宋体" w:hAnsi="宋体" w:eastAsia="宋体" w:cs="宋体"/>
          <w:sz w:val="24"/>
          <w:szCs w:val="24"/>
        </w:rPr>
        <w:t>平方米，</w:t>
      </w:r>
      <w:r>
        <w:rPr>
          <w:rFonts w:ascii="Times New Roman" w:hAnsi="Times New Roman" w:eastAsia="Times New Roman" w:cs="Times New Roman"/>
          <w:sz w:val="24"/>
          <w:szCs w:val="24"/>
        </w:rPr>
        <w:t xml:space="preserve">5 </w:t>
      </w:r>
      <w:r>
        <w:rPr>
          <w:rFonts w:ascii="宋体" w:hAnsi="宋体" w:eastAsia="宋体" w:cs="宋体"/>
          <w:sz w:val="24"/>
          <w:szCs w:val="24"/>
        </w:rPr>
        <w:t>栋育肥舍、疫</w:t>
      </w:r>
      <w:r>
        <w:rPr>
          <w:rFonts w:ascii="宋体" w:hAnsi="宋体" w:eastAsia="宋体" w:cs="宋体"/>
          <w:spacing w:val="-1"/>
          <w:sz w:val="24"/>
          <w:szCs w:val="24"/>
        </w:rPr>
        <w:t>苗仓库</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 xml:space="preserve">  </w:t>
      </w:r>
      <w:r>
        <w:rPr>
          <w:rFonts w:ascii="宋体" w:hAnsi="宋体" w:eastAsia="宋体" w:cs="宋体"/>
          <w:sz w:val="24"/>
          <w:szCs w:val="24"/>
        </w:rPr>
        <w:t>栋、兽药仓库</w:t>
      </w:r>
      <w:r>
        <w:rPr>
          <w:rFonts w:ascii="宋体" w:hAnsi="宋体" w:eastAsia="宋体" w:cs="宋体"/>
          <w:spacing w:val="-13"/>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栋、消毒仓库</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 xml:space="preserve">栋、危废暂存间及有机肥发酵车间等配套设施。年 </w:t>
      </w:r>
      <w:r>
        <w:rPr>
          <w:rFonts w:ascii="宋体" w:hAnsi="宋体" w:eastAsia="宋体" w:cs="宋体"/>
          <w:spacing w:val="-6"/>
          <w:sz w:val="24"/>
          <w:szCs w:val="24"/>
        </w:rPr>
        <w:t>猪只常年存栏量为</w:t>
      </w:r>
      <w:r>
        <w:rPr>
          <w:rFonts w:ascii="宋体" w:hAnsi="宋体" w:eastAsia="宋体" w:cs="宋体"/>
          <w:spacing w:val="-63"/>
          <w:sz w:val="24"/>
          <w:szCs w:val="24"/>
        </w:rPr>
        <w:t xml:space="preserve"> </w:t>
      </w:r>
      <w:r>
        <w:rPr>
          <w:rFonts w:ascii="Times New Roman" w:hAnsi="Times New Roman" w:eastAsia="Times New Roman" w:cs="Times New Roman"/>
          <w:spacing w:val="-6"/>
          <w:sz w:val="24"/>
          <w:szCs w:val="24"/>
        </w:rPr>
        <w:t xml:space="preserve">7000 </w:t>
      </w:r>
      <w:r>
        <w:rPr>
          <w:rFonts w:ascii="宋体" w:hAnsi="宋体" w:eastAsia="宋体" w:cs="宋体"/>
          <w:spacing w:val="-6"/>
          <w:sz w:val="24"/>
          <w:szCs w:val="24"/>
        </w:rPr>
        <w:t>头，出栏量为</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 xml:space="preserve">15000 </w:t>
      </w:r>
      <w:r>
        <w:rPr>
          <w:rFonts w:ascii="宋体" w:hAnsi="宋体" w:eastAsia="宋体" w:cs="宋体"/>
          <w:spacing w:val="-6"/>
          <w:sz w:val="24"/>
          <w:szCs w:val="24"/>
        </w:rPr>
        <w:t>头</w:t>
      </w:r>
      <w:r>
        <w:rPr>
          <w:rFonts w:ascii="Times New Roman" w:hAnsi="Times New Roman" w:eastAsia="Times New Roman" w:cs="Times New Roman"/>
          <w:spacing w:val="-6"/>
          <w:sz w:val="24"/>
          <w:szCs w:val="24"/>
        </w:rPr>
        <w:t>/</w:t>
      </w:r>
      <w:r>
        <w:rPr>
          <w:rFonts w:ascii="宋体" w:hAnsi="宋体" w:eastAsia="宋体" w:cs="宋体"/>
          <w:spacing w:val="-6"/>
          <w:sz w:val="24"/>
          <w:szCs w:val="24"/>
        </w:rPr>
        <w:t>年。项目主要</w:t>
      </w:r>
      <w:r>
        <w:rPr>
          <w:rFonts w:ascii="宋体" w:hAnsi="宋体" w:eastAsia="宋体" w:cs="宋体"/>
          <w:spacing w:val="-7"/>
          <w:sz w:val="24"/>
          <w:szCs w:val="24"/>
        </w:rPr>
        <w:t>技术经济指标见表</w:t>
      </w:r>
      <w:r>
        <w:rPr>
          <w:rFonts w:ascii="Times New Roman" w:hAnsi="Times New Roman" w:eastAsia="Times New Roman" w:cs="Times New Roman"/>
          <w:spacing w:val="-7"/>
          <w:sz w:val="24"/>
          <w:szCs w:val="24"/>
        </w:rPr>
        <w:t>3.1-1</w:t>
      </w:r>
      <w:r>
        <w:rPr>
          <w:rFonts w:ascii="宋体" w:hAnsi="宋体" w:eastAsia="宋体" w:cs="宋体"/>
          <w:spacing w:val="-7"/>
          <w:sz w:val="24"/>
          <w:szCs w:val="24"/>
        </w:rPr>
        <w:t>。</w:t>
      </w:r>
      <w:r>
        <w:rPr>
          <w:rFonts w:ascii="宋体" w:hAnsi="宋体" w:eastAsia="宋体" w:cs="宋体"/>
          <w:sz w:val="24"/>
          <w:szCs w:val="24"/>
        </w:rPr>
        <w:t xml:space="preserve"> 项目严格按照《无公害食品生猪饲养管理准则》（</w:t>
      </w:r>
      <w:r>
        <w:rPr>
          <w:rFonts w:ascii="Times New Roman" w:hAnsi="Times New Roman" w:eastAsia="Times New Roman" w:cs="Times New Roman"/>
          <w:sz w:val="24"/>
          <w:szCs w:val="24"/>
        </w:rPr>
        <w:t>NY/T5033</w:t>
      </w:r>
      <w:r>
        <w:rPr>
          <w:rFonts w:ascii="宋体" w:hAnsi="宋体" w:eastAsia="宋体" w:cs="宋体"/>
          <w:sz w:val="24"/>
          <w:szCs w:val="24"/>
        </w:rPr>
        <w:t xml:space="preserve">）建设。主要建设标准 </w:t>
      </w:r>
      <w:r>
        <w:rPr>
          <w:rFonts w:ascii="宋体" w:hAnsi="宋体" w:eastAsia="宋体" w:cs="宋体"/>
          <w:spacing w:val="-3"/>
          <w:sz w:val="24"/>
          <w:szCs w:val="24"/>
        </w:rPr>
        <w:t>化养殖猪舍、员工办公生活用房、供水供电设施、有机肥发酵车间等。建设周期为</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z w:val="24"/>
          <w:szCs w:val="24"/>
        </w:rPr>
        <w:t xml:space="preserve">  </w:t>
      </w:r>
      <w:r>
        <w:rPr>
          <w:rFonts w:ascii="宋体" w:hAnsi="宋体" w:eastAsia="宋体" w:cs="宋体"/>
          <w:spacing w:val="-4"/>
          <w:sz w:val="24"/>
          <w:szCs w:val="24"/>
        </w:rPr>
        <w:t>个月。</w:t>
      </w:r>
    </w:p>
    <w:p w14:paraId="6426E0AA">
      <w:pPr>
        <w:spacing w:line="335" w:lineRule="auto"/>
        <w:rPr>
          <w:rFonts w:ascii="宋体" w:hAnsi="宋体" w:eastAsia="宋体" w:cs="宋体"/>
          <w:sz w:val="24"/>
          <w:szCs w:val="24"/>
        </w:rPr>
        <w:sectPr>
          <w:headerReference r:id="rId60" w:type="default"/>
          <w:footerReference r:id="rId61" w:type="default"/>
          <w:pgSz w:w="11906" w:h="16839"/>
          <w:pgMar w:top="400" w:right="1502" w:bottom="1485" w:left="1587" w:header="0" w:footer="1249" w:gutter="0"/>
          <w:cols w:space="720" w:num="1"/>
        </w:sectPr>
      </w:pPr>
    </w:p>
    <w:p w14:paraId="06B26F7C">
      <w:pPr>
        <w:pStyle w:val="2"/>
        <w:spacing w:line="264" w:lineRule="auto"/>
      </w:pPr>
    </w:p>
    <w:p w14:paraId="6CDB4FF0">
      <w:pPr>
        <w:pStyle w:val="2"/>
        <w:spacing w:line="264" w:lineRule="auto"/>
      </w:pPr>
    </w:p>
    <w:p w14:paraId="2D522223">
      <w:pPr>
        <w:pStyle w:val="2"/>
        <w:spacing w:line="264" w:lineRule="auto"/>
      </w:pPr>
    </w:p>
    <w:p w14:paraId="19997CE6">
      <w:pPr>
        <w:pStyle w:val="2"/>
        <w:spacing w:line="265" w:lineRule="auto"/>
      </w:pPr>
    </w:p>
    <w:p w14:paraId="631CE7FD">
      <w:pPr>
        <w:spacing w:before="78" w:line="219" w:lineRule="auto"/>
        <w:ind w:left="3006"/>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b/>
          <w:bCs/>
          <w:spacing w:val="-2"/>
          <w:sz w:val="24"/>
          <w:szCs w:val="24"/>
        </w:rPr>
        <w:t xml:space="preserve">3.1-1    </w:t>
      </w:r>
      <w:r>
        <w:rPr>
          <w:rFonts w:ascii="宋体" w:hAnsi="宋体" w:eastAsia="宋体" w:cs="宋体"/>
          <w:b/>
          <w:bCs/>
          <w:spacing w:val="-2"/>
          <w:sz w:val="24"/>
          <w:szCs w:val="24"/>
        </w:rPr>
        <w:t>本项目经济技术指标表</w:t>
      </w:r>
    </w:p>
    <w:p w14:paraId="371F907F">
      <w:pPr>
        <w:spacing w:line="79"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6"/>
        <w:gridCol w:w="1983"/>
        <w:gridCol w:w="850"/>
        <w:gridCol w:w="1133"/>
        <w:gridCol w:w="3878"/>
      </w:tblGrid>
      <w:tr w14:paraId="59D2B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06" w:type="dxa"/>
            <w:vAlign w:val="top"/>
          </w:tcPr>
          <w:p w14:paraId="10CA4FF7">
            <w:pPr>
              <w:pStyle w:val="6"/>
              <w:spacing w:before="62" w:line="230" w:lineRule="auto"/>
              <w:ind w:left="348"/>
            </w:pPr>
            <w:r>
              <w:rPr>
                <w:spacing w:val="5"/>
              </w:rPr>
              <w:t>序号</w:t>
            </w:r>
          </w:p>
        </w:tc>
        <w:tc>
          <w:tcPr>
            <w:tcW w:w="1983" w:type="dxa"/>
            <w:vAlign w:val="top"/>
          </w:tcPr>
          <w:p w14:paraId="149AD422">
            <w:pPr>
              <w:pStyle w:val="6"/>
              <w:spacing w:before="62" w:line="228" w:lineRule="auto"/>
              <w:ind w:left="786"/>
            </w:pPr>
            <w:r>
              <w:rPr>
                <w:spacing w:val="4"/>
              </w:rPr>
              <w:t>类别</w:t>
            </w:r>
          </w:p>
        </w:tc>
        <w:tc>
          <w:tcPr>
            <w:tcW w:w="850" w:type="dxa"/>
            <w:vAlign w:val="top"/>
          </w:tcPr>
          <w:p w14:paraId="170746E5">
            <w:pPr>
              <w:pStyle w:val="6"/>
              <w:spacing w:before="62" w:line="229" w:lineRule="auto"/>
              <w:ind w:left="221"/>
            </w:pPr>
            <w:r>
              <w:rPr>
                <w:spacing w:val="3"/>
              </w:rPr>
              <w:t>单位</w:t>
            </w:r>
          </w:p>
        </w:tc>
        <w:tc>
          <w:tcPr>
            <w:tcW w:w="1133" w:type="dxa"/>
            <w:vAlign w:val="top"/>
          </w:tcPr>
          <w:p w14:paraId="21CBC3E7">
            <w:pPr>
              <w:pStyle w:val="6"/>
              <w:spacing w:before="62" w:line="229" w:lineRule="auto"/>
              <w:ind w:left="154"/>
            </w:pPr>
            <w:r>
              <w:rPr>
                <w:spacing w:val="6"/>
              </w:rPr>
              <w:t>工程指标</w:t>
            </w:r>
          </w:p>
        </w:tc>
        <w:tc>
          <w:tcPr>
            <w:tcW w:w="3878" w:type="dxa"/>
            <w:vAlign w:val="top"/>
          </w:tcPr>
          <w:p w14:paraId="560EC20D">
            <w:pPr>
              <w:pStyle w:val="6"/>
              <w:spacing w:before="62" w:line="228" w:lineRule="auto"/>
              <w:ind w:left="1525"/>
            </w:pPr>
            <w:r>
              <w:rPr>
                <w:spacing w:val="5"/>
              </w:rPr>
              <w:t>长</w:t>
            </w:r>
            <w:r>
              <w:rPr>
                <w:rFonts w:ascii="Times New Roman" w:hAnsi="Times New Roman" w:eastAsia="Times New Roman" w:cs="Times New Roman"/>
                <w:spacing w:val="5"/>
              </w:rPr>
              <w:t>*</w:t>
            </w:r>
            <w:r>
              <w:rPr>
                <w:spacing w:val="5"/>
              </w:rPr>
              <w:t>宽</w:t>
            </w:r>
            <w:r>
              <w:rPr>
                <w:rFonts w:ascii="Times New Roman" w:hAnsi="Times New Roman" w:eastAsia="Times New Roman" w:cs="Times New Roman"/>
                <w:spacing w:val="5"/>
              </w:rPr>
              <w:t>*</w:t>
            </w:r>
            <w:r>
              <w:rPr>
                <w:spacing w:val="5"/>
              </w:rPr>
              <w:t>高</w:t>
            </w:r>
          </w:p>
        </w:tc>
      </w:tr>
      <w:tr w14:paraId="2BB9C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2A15AB49">
            <w:pPr>
              <w:spacing w:before="27" w:line="274" w:lineRule="exact"/>
              <w:ind w:left="52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983" w:type="dxa"/>
            <w:vAlign w:val="top"/>
          </w:tcPr>
          <w:p w14:paraId="54786DFD">
            <w:pPr>
              <w:pStyle w:val="6"/>
              <w:spacing w:before="58" w:line="229" w:lineRule="auto"/>
              <w:ind w:left="477"/>
            </w:pPr>
            <w:r>
              <w:rPr>
                <w:spacing w:val="7"/>
              </w:rPr>
              <w:t>总用地面积</w:t>
            </w:r>
          </w:p>
        </w:tc>
        <w:tc>
          <w:tcPr>
            <w:tcW w:w="850" w:type="dxa"/>
            <w:vAlign w:val="top"/>
          </w:tcPr>
          <w:p w14:paraId="58FF6766">
            <w:pPr>
              <w:spacing w:before="32" w:line="249"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0D0B7DF0">
            <w:pPr>
              <w:spacing w:before="27" w:line="274" w:lineRule="exact"/>
              <w:ind w:left="32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17194</w:t>
            </w:r>
          </w:p>
        </w:tc>
        <w:tc>
          <w:tcPr>
            <w:tcW w:w="3878" w:type="dxa"/>
            <w:vAlign w:val="top"/>
          </w:tcPr>
          <w:p w14:paraId="5CB063BF">
            <w:pPr>
              <w:spacing w:before="27"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1C0C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53F32815">
            <w:pPr>
              <w:spacing w:before="27" w:line="274" w:lineRule="exact"/>
              <w:ind w:left="50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983" w:type="dxa"/>
            <w:vAlign w:val="top"/>
          </w:tcPr>
          <w:p w14:paraId="2512165D">
            <w:pPr>
              <w:pStyle w:val="6"/>
              <w:spacing w:before="58" w:line="229" w:lineRule="auto"/>
              <w:ind w:left="371"/>
            </w:pPr>
            <w:r>
              <w:rPr>
                <w:spacing w:val="7"/>
              </w:rPr>
              <w:t>建筑占地面积</w:t>
            </w:r>
          </w:p>
        </w:tc>
        <w:tc>
          <w:tcPr>
            <w:tcW w:w="850" w:type="dxa"/>
            <w:vAlign w:val="top"/>
          </w:tcPr>
          <w:p w14:paraId="4011CFD0">
            <w:pPr>
              <w:spacing w:before="32" w:line="249"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6123917B">
            <w:pPr>
              <w:spacing w:before="27" w:line="274" w:lineRule="exact"/>
              <w:ind w:left="3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8346</w:t>
            </w:r>
          </w:p>
        </w:tc>
        <w:tc>
          <w:tcPr>
            <w:tcW w:w="3878" w:type="dxa"/>
            <w:vAlign w:val="top"/>
          </w:tcPr>
          <w:p w14:paraId="5031AE20">
            <w:pPr>
              <w:spacing w:before="27"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6EEA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07859B0E">
            <w:pPr>
              <w:spacing w:before="27" w:line="274" w:lineRule="exact"/>
              <w:ind w:left="5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983" w:type="dxa"/>
            <w:vAlign w:val="top"/>
          </w:tcPr>
          <w:p w14:paraId="55FC701D">
            <w:pPr>
              <w:pStyle w:val="6"/>
              <w:spacing w:before="58" w:line="229" w:lineRule="auto"/>
              <w:ind w:left="582"/>
            </w:pPr>
            <w:r>
              <w:rPr>
                <w:spacing w:val="6"/>
              </w:rPr>
              <w:t>建筑面积</w:t>
            </w:r>
          </w:p>
        </w:tc>
        <w:tc>
          <w:tcPr>
            <w:tcW w:w="850" w:type="dxa"/>
            <w:vAlign w:val="top"/>
          </w:tcPr>
          <w:p w14:paraId="663FD930">
            <w:pPr>
              <w:spacing w:before="32" w:line="249"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05A86E90">
            <w:pPr>
              <w:spacing w:before="27" w:line="274" w:lineRule="exact"/>
              <w:ind w:left="3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8346</w:t>
            </w:r>
          </w:p>
        </w:tc>
        <w:tc>
          <w:tcPr>
            <w:tcW w:w="3878" w:type="dxa"/>
            <w:vAlign w:val="top"/>
          </w:tcPr>
          <w:p w14:paraId="54B49C27">
            <w:pPr>
              <w:spacing w:before="27"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E8EC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06" w:type="dxa"/>
            <w:vAlign w:val="top"/>
          </w:tcPr>
          <w:p w14:paraId="537E4BF4">
            <w:pPr>
              <w:spacing w:before="27"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3.1</w:t>
            </w:r>
          </w:p>
        </w:tc>
        <w:tc>
          <w:tcPr>
            <w:tcW w:w="1983" w:type="dxa"/>
            <w:vAlign w:val="top"/>
          </w:tcPr>
          <w:p w14:paraId="0760F5AE">
            <w:pPr>
              <w:pStyle w:val="6"/>
              <w:spacing w:before="58" w:line="229" w:lineRule="auto"/>
              <w:ind w:left="789"/>
            </w:pPr>
            <w:r>
              <w:rPr>
                <w:spacing w:val="4"/>
              </w:rPr>
              <w:t>猪舍</w:t>
            </w:r>
          </w:p>
        </w:tc>
        <w:tc>
          <w:tcPr>
            <w:tcW w:w="850" w:type="dxa"/>
            <w:vAlign w:val="top"/>
          </w:tcPr>
          <w:p w14:paraId="0B06ECCF">
            <w:pPr>
              <w:spacing w:before="32" w:line="249"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0F231077">
            <w:pPr>
              <w:spacing w:before="27" w:line="274" w:lineRule="exact"/>
              <w:ind w:left="36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5850</w:t>
            </w:r>
          </w:p>
        </w:tc>
        <w:tc>
          <w:tcPr>
            <w:tcW w:w="3878" w:type="dxa"/>
            <w:vAlign w:val="top"/>
          </w:tcPr>
          <w:p w14:paraId="24CD4583">
            <w:pPr>
              <w:spacing w:before="27" w:line="274" w:lineRule="exact"/>
              <w:ind w:left="150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65*18*3.8</w:t>
            </w:r>
          </w:p>
        </w:tc>
      </w:tr>
      <w:tr w14:paraId="426B0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521E6426">
            <w:pPr>
              <w:spacing w:before="28"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3.2</w:t>
            </w:r>
          </w:p>
        </w:tc>
        <w:tc>
          <w:tcPr>
            <w:tcW w:w="1983" w:type="dxa"/>
            <w:vAlign w:val="top"/>
          </w:tcPr>
          <w:p w14:paraId="655A7109">
            <w:pPr>
              <w:pStyle w:val="6"/>
              <w:spacing w:before="59" w:line="229" w:lineRule="auto"/>
              <w:ind w:left="473"/>
            </w:pPr>
            <w:r>
              <w:rPr>
                <w:spacing w:val="8"/>
              </w:rPr>
              <w:t>饲料加工房</w:t>
            </w:r>
          </w:p>
        </w:tc>
        <w:tc>
          <w:tcPr>
            <w:tcW w:w="850" w:type="dxa"/>
            <w:vAlign w:val="top"/>
          </w:tcPr>
          <w:p w14:paraId="7BDD09EB">
            <w:pPr>
              <w:spacing w:before="33" w:line="249"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4F9D5539">
            <w:pPr>
              <w:spacing w:before="28" w:line="274" w:lineRule="exact"/>
              <w:ind w:left="4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260</w:t>
            </w:r>
          </w:p>
        </w:tc>
        <w:tc>
          <w:tcPr>
            <w:tcW w:w="3878" w:type="dxa"/>
            <w:vAlign w:val="top"/>
          </w:tcPr>
          <w:p w14:paraId="1D86194F">
            <w:pPr>
              <w:rPr>
                <w:rFonts w:ascii="Arial"/>
                <w:sz w:val="21"/>
              </w:rPr>
            </w:pPr>
          </w:p>
        </w:tc>
      </w:tr>
      <w:tr w14:paraId="41134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106" w:type="dxa"/>
            <w:vAlign w:val="top"/>
          </w:tcPr>
          <w:p w14:paraId="1F8A06DF">
            <w:pPr>
              <w:spacing w:before="28"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3.3</w:t>
            </w:r>
          </w:p>
        </w:tc>
        <w:tc>
          <w:tcPr>
            <w:tcW w:w="1983" w:type="dxa"/>
            <w:vAlign w:val="top"/>
          </w:tcPr>
          <w:p w14:paraId="168D0654">
            <w:pPr>
              <w:pStyle w:val="6"/>
              <w:spacing w:before="76" w:line="228" w:lineRule="auto"/>
              <w:ind w:left="585"/>
            </w:pPr>
            <w:r>
              <w:rPr>
                <w:spacing w:val="6"/>
              </w:rPr>
              <w:t>原料仓库</w:t>
            </w:r>
          </w:p>
        </w:tc>
        <w:tc>
          <w:tcPr>
            <w:tcW w:w="850" w:type="dxa"/>
            <w:vAlign w:val="top"/>
          </w:tcPr>
          <w:p w14:paraId="48EC17A1">
            <w:pPr>
              <w:spacing w:before="33" w:line="249"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58B5FA38">
            <w:pPr>
              <w:spacing w:before="45" w:line="274" w:lineRule="exact"/>
              <w:ind w:left="4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3878" w:type="dxa"/>
            <w:vAlign w:val="top"/>
          </w:tcPr>
          <w:p w14:paraId="077457E4">
            <w:pPr>
              <w:rPr>
                <w:rFonts w:ascii="Arial"/>
                <w:sz w:val="21"/>
              </w:rPr>
            </w:pPr>
          </w:p>
        </w:tc>
      </w:tr>
      <w:tr w14:paraId="3605E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06" w:type="dxa"/>
            <w:vAlign w:val="top"/>
          </w:tcPr>
          <w:p w14:paraId="4500D8DC">
            <w:pPr>
              <w:spacing w:before="31"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3.4</w:t>
            </w:r>
          </w:p>
        </w:tc>
        <w:tc>
          <w:tcPr>
            <w:tcW w:w="1983" w:type="dxa"/>
            <w:vAlign w:val="top"/>
          </w:tcPr>
          <w:p w14:paraId="0AB7960B">
            <w:pPr>
              <w:pStyle w:val="6"/>
              <w:spacing w:before="62" w:line="228" w:lineRule="auto"/>
              <w:ind w:left="581"/>
            </w:pPr>
            <w:r>
              <w:rPr>
                <w:spacing w:val="7"/>
              </w:rPr>
              <w:t>疫苗仓库</w:t>
            </w:r>
          </w:p>
        </w:tc>
        <w:tc>
          <w:tcPr>
            <w:tcW w:w="850" w:type="dxa"/>
            <w:vAlign w:val="top"/>
          </w:tcPr>
          <w:p w14:paraId="0E2A81DF">
            <w:pPr>
              <w:spacing w:before="33"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6078463D">
            <w:pPr>
              <w:spacing w:before="31" w:line="274" w:lineRule="exact"/>
              <w:ind w:left="46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3878" w:type="dxa"/>
            <w:vAlign w:val="top"/>
          </w:tcPr>
          <w:p w14:paraId="68A66FCB">
            <w:pPr>
              <w:rPr>
                <w:rFonts w:ascii="Arial"/>
                <w:sz w:val="21"/>
              </w:rPr>
            </w:pPr>
          </w:p>
        </w:tc>
      </w:tr>
      <w:tr w14:paraId="3FE15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11BE56FE">
            <w:pPr>
              <w:spacing w:before="32"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3.5</w:t>
            </w:r>
          </w:p>
        </w:tc>
        <w:tc>
          <w:tcPr>
            <w:tcW w:w="1983" w:type="dxa"/>
            <w:vAlign w:val="top"/>
          </w:tcPr>
          <w:p w14:paraId="08F2C4CF">
            <w:pPr>
              <w:pStyle w:val="6"/>
              <w:spacing w:before="63" w:line="228" w:lineRule="auto"/>
              <w:ind w:left="581"/>
            </w:pPr>
            <w:r>
              <w:rPr>
                <w:spacing w:val="7"/>
              </w:rPr>
              <w:t>兽药仓库</w:t>
            </w:r>
          </w:p>
        </w:tc>
        <w:tc>
          <w:tcPr>
            <w:tcW w:w="850" w:type="dxa"/>
            <w:vAlign w:val="top"/>
          </w:tcPr>
          <w:p w14:paraId="2664BF3B">
            <w:pPr>
              <w:spacing w:before="34"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352EC7A4">
            <w:pPr>
              <w:spacing w:before="32" w:line="274" w:lineRule="exact"/>
              <w:ind w:left="47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3878" w:type="dxa"/>
            <w:vAlign w:val="top"/>
          </w:tcPr>
          <w:p w14:paraId="4C259B35">
            <w:pPr>
              <w:spacing w:before="32"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4CE8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6419DFD1">
            <w:pPr>
              <w:spacing w:before="32"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3.6</w:t>
            </w:r>
          </w:p>
        </w:tc>
        <w:tc>
          <w:tcPr>
            <w:tcW w:w="1983" w:type="dxa"/>
            <w:vAlign w:val="top"/>
          </w:tcPr>
          <w:p w14:paraId="0ACE803A">
            <w:pPr>
              <w:pStyle w:val="6"/>
              <w:spacing w:before="63" w:line="228" w:lineRule="auto"/>
              <w:ind w:left="584"/>
            </w:pPr>
            <w:r>
              <w:rPr>
                <w:spacing w:val="6"/>
              </w:rPr>
              <w:t>消毒仓库</w:t>
            </w:r>
          </w:p>
        </w:tc>
        <w:tc>
          <w:tcPr>
            <w:tcW w:w="850" w:type="dxa"/>
            <w:vAlign w:val="top"/>
          </w:tcPr>
          <w:p w14:paraId="2B0A08D3">
            <w:pPr>
              <w:spacing w:before="34"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361FBD84">
            <w:pPr>
              <w:spacing w:before="32"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3878" w:type="dxa"/>
            <w:vAlign w:val="top"/>
          </w:tcPr>
          <w:p w14:paraId="75CFF6B8">
            <w:pPr>
              <w:spacing w:before="32"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1539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4C5CA362">
            <w:pPr>
              <w:spacing w:before="32"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3.7</w:t>
            </w:r>
          </w:p>
        </w:tc>
        <w:tc>
          <w:tcPr>
            <w:tcW w:w="1983" w:type="dxa"/>
            <w:vAlign w:val="top"/>
          </w:tcPr>
          <w:p w14:paraId="089FE627">
            <w:pPr>
              <w:pStyle w:val="6"/>
              <w:spacing w:before="63" w:line="228" w:lineRule="auto"/>
              <w:ind w:left="582"/>
            </w:pPr>
            <w:r>
              <w:rPr>
                <w:spacing w:val="6"/>
              </w:rPr>
              <w:t>杂物仓库</w:t>
            </w:r>
          </w:p>
        </w:tc>
        <w:tc>
          <w:tcPr>
            <w:tcW w:w="850" w:type="dxa"/>
            <w:vAlign w:val="top"/>
          </w:tcPr>
          <w:p w14:paraId="6BB998B8">
            <w:pPr>
              <w:spacing w:before="34"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2495ED0F">
            <w:pPr>
              <w:spacing w:before="32" w:line="274" w:lineRule="exact"/>
              <w:ind w:left="4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3878" w:type="dxa"/>
            <w:vAlign w:val="top"/>
          </w:tcPr>
          <w:p w14:paraId="1E0995BB">
            <w:pPr>
              <w:spacing w:before="32"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6555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4E11D49A">
            <w:pPr>
              <w:spacing w:before="32"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3.8</w:t>
            </w:r>
          </w:p>
        </w:tc>
        <w:tc>
          <w:tcPr>
            <w:tcW w:w="1983" w:type="dxa"/>
            <w:vAlign w:val="top"/>
          </w:tcPr>
          <w:p w14:paraId="5C344972">
            <w:pPr>
              <w:pStyle w:val="6"/>
              <w:spacing w:before="63" w:line="228" w:lineRule="auto"/>
              <w:ind w:left="275"/>
            </w:pPr>
            <w:r>
              <w:rPr>
                <w:spacing w:val="7"/>
              </w:rPr>
              <w:t>医疗废物暂存间</w:t>
            </w:r>
          </w:p>
        </w:tc>
        <w:tc>
          <w:tcPr>
            <w:tcW w:w="850" w:type="dxa"/>
            <w:vAlign w:val="top"/>
          </w:tcPr>
          <w:p w14:paraId="40228B80">
            <w:pPr>
              <w:spacing w:before="34"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4B9B6CE7">
            <w:pPr>
              <w:spacing w:before="32"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3878" w:type="dxa"/>
            <w:vAlign w:val="top"/>
          </w:tcPr>
          <w:p w14:paraId="219EB0BB">
            <w:pPr>
              <w:spacing w:before="32"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F6E6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06" w:type="dxa"/>
            <w:vAlign w:val="top"/>
          </w:tcPr>
          <w:p w14:paraId="41A97C6C">
            <w:pPr>
              <w:spacing w:before="32" w:line="274" w:lineRule="exact"/>
              <w:ind w:left="6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3.9</w:t>
            </w:r>
          </w:p>
        </w:tc>
        <w:tc>
          <w:tcPr>
            <w:tcW w:w="1983" w:type="dxa"/>
            <w:vAlign w:val="top"/>
          </w:tcPr>
          <w:p w14:paraId="633E249D">
            <w:pPr>
              <w:pStyle w:val="6"/>
              <w:spacing w:before="62" w:line="228" w:lineRule="auto"/>
              <w:ind w:left="371"/>
            </w:pPr>
            <w:r>
              <w:rPr>
                <w:spacing w:val="7"/>
              </w:rPr>
              <w:t>备用发电机房</w:t>
            </w:r>
          </w:p>
        </w:tc>
        <w:tc>
          <w:tcPr>
            <w:tcW w:w="850" w:type="dxa"/>
            <w:vAlign w:val="top"/>
          </w:tcPr>
          <w:p w14:paraId="73EBD72C">
            <w:pPr>
              <w:spacing w:before="34"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65082423">
            <w:pPr>
              <w:spacing w:before="32" w:line="274" w:lineRule="exact"/>
              <w:ind w:left="46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3878" w:type="dxa"/>
            <w:vAlign w:val="top"/>
          </w:tcPr>
          <w:p w14:paraId="07D34843">
            <w:pPr>
              <w:spacing w:before="32"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EC8A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38285466">
            <w:pPr>
              <w:spacing w:before="33"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3.10</w:t>
            </w:r>
          </w:p>
        </w:tc>
        <w:tc>
          <w:tcPr>
            <w:tcW w:w="1983" w:type="dxa"/>
            <w:vAlign w:val="top"/>
          </w:tcPr>
          <w:p w14:paraId="7A3C469B">
            <w:pPr>
              <w:pStyle w:val="6"/>
              <w:spacing w:before="64" w:line="228" w:lineRule="auto"/>
              <w:ind w:left="478"/>
            </w:pPr>
            <w:r>
              <w:rPr>
                <w:spacing w:val="7"/>
              </w:rPr>
              <w:t>办公宿舍楼</w:t>
            </w:r>
          </w:p>
        </w:tc>
        <w:tc>
          <w:tcPr>
            <w:tcW w:w="850" w:type="dxa"/>
            <w:vAlign w:val="top"/>
          </w:tcPr>
          <w:p w14:paraId="2D10D194">
            <w:pPr>
              <w:spacing w:before="35"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74519A9D">
            <w:pPr>
              <w:spacing w:before="33" w:line="274" w:lineRule="exact"/>
              <w:ind w:left="4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3878" w:type="dxa"/>
            <w:vAlign w:val="top"/>
          </w:tcPr>
          <w:p w14:paraId="239B5F88">
            <w:pPr>
              <w:spacing w:before="33"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C272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1728BB84">
            <w:pPr>
              <w:spacing w:before="33" w:line="274" w:lineRule="exact"/>
              <w:ind w:left="50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983" w:type="dxa"/>
            <w:vAlign w:val="top"/>
          </w:tcPr>
          <w:p w14:paraId="2DA9049B">
            <w:pPr>
              <w:pStyle w:val="6"/>
              <w:spacing w:before="64" w:line="228" w:lineRule="auto"/>
              <w:ind w:left="370"/>
            </w:pPr>
            <w:r>
              <w:rPr>
                <w:spacing w:val="7"/>
              </w:rPr>
              <w:t>污水处理设施</w:t>
            </w:r>
          </w:p>
        </w:tc>
        <w:tc>
          <w:tcPr>
            <w:tcW w:w="850" w:type="dxa"/>
            <w:vAlign w:val="top"/>
          </w:tcPr>
          <w:p w14:paraId="423AC5B5">
            <w:pPr>
              <w:spacing w:before="35"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4C0ABF29">
            <w:pPr>
              <w:spacing w:before="33" w:line="274" w:lineRule="exact"/>
              <w:ind w:left="54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878" w:type="dxa"/>
            <w:vAlign w:val="top"/>
          </w:tcPr>
          <w:p w14:paraId="1E3DCF95">
            <w:pPr>
              <w:spacing w:before="33"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F77F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6384E3F6">
            <w:pPr>
              <w:spacing w:before="102" w:line="192" w:lineRule="auto"/>
              <w:ind w:left="50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83" w:type="dxa"/>
            <w:vAlign w:val="top"/>
          </w:tcPr>
          <w:p w14:paraId="23A2EC79">
            <w:pPr>
              <w:pStyle w:val="6"/>
              <w:spacing w:before="63" w:line="228" w:lineRule="auto"/>
              <w:ind w:left="266"/>
            </w:pPr>
            <w:r>
              <w:rPr>
                <w:spacing w:val="8"/>
              </w:rPr>
              <w:t>有机肥发酵车间</w:t>
            </w:r>
          </w:p>
        </w:tc>
        <w:tc>
          <w:tcPr>
            <w:tcW w:w="850" w:type="dxa"/>
            <w:vAlign w:val="top"/>
          </w:tcPr>
          <w:p w14:paraId="27DF1407">
            <w:pPr>
              <w:spacing w:before="35" w:line="251" w:lineRule="exact"/>
              <w:ind w:left="31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p>
        </w:tc>
        <w:tc>
          <w:tcPr>
            <w:tcW w:w="1133" w:type="dxa"/>
            <w:vAlign w:val="top"/>
          </w:tcPr>
          <w:p w14:paraId="14D816CB">
            <w:pPr>
              <w:spacing w:before="33" w:line="274"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1650</w:t>
            </w:r>
          </w:p>
        </w:tc>
        <w:tc>
          <w:tcPr>
            <w:tcW w:w="3878" w:type="dxa"/>
            <w:vAlign w:val="top"/>
          </w:tcPr>
          <w:p w14:paraId="2A106510">
            <w:pPr>
              <w:spacing w:before="33"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C073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06" w:type="dxa"/>
            <w:vAlign w:val="top"/>
          </w:tcPr>
          <w:p w14:paraId="416A9CC9">
            <w:pPr>
              <w:spacing w:before="33" w:line="274" w:lineRule="exact"/>
              <w:ind w:left="5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983" w:type="dxa"/>
            <w:vAlign w:val="top"/>
          </w:tcPr>
          <w:p w14:paraId="56ED24D9">
            <w:pPr>
              <w:pStyle w:val="6"/>
              <w:spacing w:before="63" w:line="228" w:lineRule="auto"/>
              <w:ind w:left="162"/>
            </w:pPr>
            <w:r>
              <w:rPr>
                <w:spacing w:val="8"/>
              </w:rPr>
              <w:t>依托的安全填埋井</w:t>
            </w:r>
          </w:p>
        </w:tc>
        <w:tc>
          <w:tcPr>
            <w:tcW w:w="850" w:type="dxa"/>
            <w:vAlign w:val="top"/>
          </w:tcPr>
          <w:p w14:paraId="5F0C0FF4">
            <w:pPr>
              <w:pStyle w:val="6"/>
              <w:spacing w:before="33" w:line="274" w:lineRule="exact"/>
              <w:ind w:left="273"/>
            </w:pPr>
            <w:r>
              <w:rPr>
                <w:rFonts w:ascii="Times New Roman" w:hAnsi="Times New Roman" w:eastAsia="Times New Roman" w:cs="Times New Roman"/>
                <w:spacing w:val="5"/>
                <w:position w:val="1"/>
              </w:rPr>
              <w:t>2</w:t>
            </w:r>
            <w:r>
              <w:rPr>
                <w:spacing w:val="5"/>
                <w:position w:val="1"/>
              </w:rPr>
              <w:t>个</w:t>
            </w:r>
          </w:p>
        </w:tc>
        <w:tc>
          <w:tcPr>
            <w:tcW w:w="1133" w:type="dxa"/>
            <w:vAlign w:val="top"/>
          </w:tcPr>
          <w:p w14:paraId="0920C3FF">
            <w:pPr>
              <w:spacing w:before="33" w:line="274" w:lineRule="exact"/>
              <w:ind w:left="54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878" w:type="dxa"/>
            <w:vAlign w:val="top"/>
          </w:tcPr>
          <w:p w14:paraId="38B24D8F">
            <w:pPr>
              <w:pStyle w:val="6"/>
              <w:spacing w:before="33" w:line="274" w:lineRule="exact"/>
              <w:ind w:left="1102"/>
              <w:rPr>
                <w:rFonts w:ascii="Times New Roman" w:hAnsi="Times New Roman" w:eastAsia="Times New Roman" w:cs="Times New Roman"/>
              </w:rPr>
            </w:pPr>
            <w:r>
              <w:rPr>
                <w:spacing w:val="4"/>
                <w:position w:val="1"/>
              </w:rPr>
              <w:t>深</w:t>
            </w:r>
            <w:r>
              <w:rPr>
                <w:rFonts w:ascii="Times New Roman" w:hAnsi="Times New Roman" w:eastAsia="Times New Roman" w:cs="Times New Roman"/>
                <w:spacing w:val="4"/>
                <w:position w:val="1"/>
              </w:rPr>
              <w:t>6.5m</w:t>
            </w:r>
            <w:r>
              <w:rPr>
                <w:rFonts w:ascii="Times New Roman" w:hAnsi="Times New Roman" w:eastAsia="Times New Roman" w:cs="Times New Roman"/>
                <w:spacing w:val="-28"/>
                <w:position w:val="1"/>
              </w:rPr>
              <w:t xml:space="preserve"> </w:t>
            </w:r>
            <w:r>
              <w:rPr>
                <w:spacing w:val="4"/>
                <w:position w:val="1"/>
              </w:rPr>
              <w:t>，直径</w:t>
            </w:r>
            <w:r>
              <w:rPr>
                <w:rFonts w:ascii="Times New Roman" w:hAnsi="Times New Roman" w:eastAsia="Times New Roman" w:cs="Times New Roman"/>
                <w:spacing w:val="4"/>
                <w:position w:val="1"/>
              </w:rPr>
              <w:t>1.6m</w:t>
            </w:r>
          </w:p>
        </w:tc>
      </w:tr>
      <w:tr w14:paraId="264AD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06" w:type="dxa"/>
            <w:vAlign w:val="top"/>
          </w:tcPr>
          <w:p w14:paraId="15BDF704">
            <w:pPr>
              <w:spacing w:before="102" w:line="192" w:lineRule="auto"/>
              <w:ind w:left="50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83" w:type="dxa"/>
            <w:vAlign w:val="top"/>
          </w:tcPr>
          <w:p w14:paraId="1C3025BA">
            <w:pPr>
              <w:pStyle w:val="6"/>
              <w:spacing w:before="63" w:line="229" w:lineRule="auto"/>
              <w:ind w:left="582"/>
            </w:pPr>
            <w:r>
              <w:rPr>
                <w:spacing w:val="6"/>
              </w:rPr>
              <w:t>建设周期</w:t>
            </w:r>
          </w:p>
        </w:tc>
        <w:tc>
          <w:tcPr>
            <w:tcW w:w="850" w:type="dxa"/>
            <w:vAlign w:val="top"/>
          </w:tcPr>
          <w:p w14:paraId="207BA3A2">
            <w:pPr>
              <w:pStyle w:val="6"/>
              <w:spacing w:before="64" w:line="228" w:lineRule="auto"/>
              <w:ind w:left="332"/>
            </w:pPr>
            <w:r>
              <w:t>月</w:t>
            </w:r>
          </w:p>
        </w:tc>
        <w:tc>
          <w:tcPr>
            <w:tcW w:w="1133" w:type="dxa"/>
            <w:vAlign w:val="top"/>
          </w:tcPr>
          <w:p w14:paraId="3F5BE56D">
            <w:pPr>
              <w:spacing w:before="102" w:line="192"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878" w:type="dxa"/>
            <w:vAlign w:val="top"/>
          </w:tcPr>
          <w:p w14:paraId="121CE9E7">
            <w:pPr>
              <w:spacing w:before="33" w:line="274" w:lineRule="exact"/>
              <w:ind w:left="19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7918CA08">
      <w:pPr>
        <w:spacing w:before="126"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3.1.3</w:t>
      </w:r>
      <w:r>
        <w:rPr>
          <w:rFonts w:ascii="宋体" w:hAnsi="宋体" w:eastAsia="宋体" w:cs="宋体"/>
          <w:b/>
          <w:bCs/>
          <w:spacing w:val="-2"/>
          <w:sz w:val="24"/>
          <w:szCs w:val="24"/>
        </w:rPr>
        <w:t>项目总体布局</w:t>
      </w:r>
    </w:p>
    <w:p w14:paraId="226E4D3C">
      <w:pPr>
        <w:spacing w:before="167"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）内环境角度分析</w:t>
      </w:r>
    </w:p>
    <w:p w14:paraId="5760B3CA">
      <w:pPr>
        <w:spacing w:before="166" w:line="359" w:lineRule="auto"/>
        <w:ind w:left="124" w:right="113" w:firstLine="479"/>
        <w:rPr>
          <w:rFonts w:ascii="宋体" w:hAnsi="宋体" w:eastAsia="宋体" w:cs="宋体"/>
          <w:sz w:val="24"/>
          <w:szCs w:val="24"/>
        </w:rPr>
      </w:pPr>
      <w:r>
        <w:rPr>
          <w:rFonts w:ascii="宋体" w:hAnsi="宋体" w:eastAsia="宋体" w:cs="宋体"/>
          <w:spacing w:val="2"/>
          <w:sz w:val="24"/>
          <w:szCs w:val="24"/>
        </w:rPr>
        <w:t>本项目平面布置图依据猪只的生产流程、交通运输、环境保护、防火、安全、</w:t>
      </w:r>
      <w:r>
        <w:rPr>
          <w:rFonts w:ascii="宋体" w:hAnsi="宋体" w:eastAsia="宋体" w:cs="宋体"/>
          <w:spacing w:val="9"/>
          <w:sz w:val="24"/>
          <w:szCs w:val="24"/>
        </w:rPr>
        <w:t xml:space="preserve"> </w:t>
      </w:r>
      <w:r>
        <w:rPr>
          <w:rFonts w:ascii="宋体" w:hAnsi="宋体" w:eastAsia="宋体" w:cs="宋体"/>
          <w:spacing w:val="2"/>
          <w:sz w:val="24"/>
          <w:szCs w:val="24"/>
        </w:rPr>
        <w:t>卫生、施工、检修、生产经营管理及发展，并结合场内地形进行布置，力求做到布</w:t>
      </w:r>
      <w:r>
        <w:rPr>
          <w:rFonts w:ascii="宋体" w:hAnsi="宋体" w:eastAsia="宋体" w:cs="宋体"/>
          <w:spacing w:val="4"/>
          <w:sz w:val="24"/>
          <w:szCs w:val="24"/>
        </w:rPr>
        <w:t xml:space="preserve"> </w:t>
      </w:r>
      <w:r>
        <w:rPr>
          <w:rFonts w:ascii="宋体" w:hAnsi="宋体" w:eastAsia="宋体" w:cs="宋体"/>
          <w:spacing w:val="2"/>
          <w:sz w:val="24"/>
          <w:szCs w:val="24"/>
        </w:rPr>
        <w:t>局合理、分区明确；在满足生产工艺流程要求的前提下，尽可能整洁美观，并有利</w:t>
      </w:r>
      <w:r>
        <w:rPr>
          <w:rFonts w:ascii="宋体" w:hAnsi="宋体" w:eastAsia="宋体" w:cs="宋体"/>
          <w:spacing w:val="4"/>
          <w:sz w:val="24"/>
          <w:szCs w:val="24"/>
        </w:rPr>
        <w:t xml:space="preserve"> </w:t>
      </w:r>
      <w:r>
        <w:rPr>
          <w:rFonts w:ascii="宋体" w:hAnsi="宋体" w:eastAsia="宋体" w:cs="宋体"/>
          <w:spacing w:val="-2"/>
          <w:sz w:val="24"/>
          <w:szCs w:val="24"/>
        </w:rPr>
        <w:t>于管理和生产。</w:t>
      </w:r>
    </w:p>
    <w:p w14:paraId="2887DE67">
      <w:pPr>
        <w:spacing w:before="4" w:line="359" w:lineRule="auto"/>
        <w:ind w:left="123" w:right="201" w:firstLine="480"/>
        <w:jc w:val="both"/>
        <w:rPr>
          <w:rFonts w:ascii="宋体" w:hAnsi="宋体" w:eastAsia="宋体" w:cs="宋体"/>
          <w:sz w:val="24"/>
          <w:szCs w:val="24"/>
        </w:rPr>
      </w:pPr>
      <w:r>
        <w:rPr>
          <w:rFonts w:ascii="宋体" w:hAnsi="宋体" w:eastAsia="宋体" w:cs="宋体"/>
          <w:sz w:val="24"/>
          <w:szCs w:val="24"/>
        </w:rPr>
        <w:t>养殖场按照生物安全防疫法规的要求实行全封闭管</w:t>
      </w:r>
      <w:r>
        <w:rPr>
          <w:rFonts w:ascii="宋体" w:hAnsi="宋体" w:eastAsia="宋体" w:cs="宋体"/>
          <w:spacing w:val="-1"/>
          <w:sz w:val="24"/>
          <w:szCs w:val="24"/>
        </w:rPr>
        <w:t>理，与外界隔离。生产区与</w:t>
      </w:r>
      <w:r>
        <w:rPr>
          <w:rFonts w:ascii="宋体" w:hAnsi="宋体" w:eastAsia="宋体" w:cs="宋体"/>
          <w:sz w:val="24"/>
          <w:szCs w:val="24"/>
        </w:rPr>
        <w:t xml:space="preserve"> 其他区域分开布置，进入生产区必须进行严格的消毒程</w:t>
      </w:r>
      <w:r>
        <w:rPr>
          <w:rFonts w:ascii="宋体" w:hAnsi="宋体" w:eastAsia="宋体" w:cs="宋体"/>
          <w:spacing w:val="-1"/>
          <w:sz w:val="24"/>
          <w:szCs w:val="24"/>
        </w:rPr>
        <w:t>序。生产区清洁道和污道分</w:t>
      </w:r>
      <w:r>
        <w:rPr>
          <w:rFonts w:ascii="宋体" w:hAnsi="宋体" w:eastAsia="宋体" w:cs="宋体"/>
          <w:sz w:val="24"/>
          <w:szCs w:val="24"/>
        </w:rPr>
        <w:t xml:space="preserve"> 设，为沙石标准硬化路面。养殖场粪污设置专用排污管</w:t>
      </w:r>
      <w:r>
        <w:rPr>
          <w:rFonts w:ascii="宋体" w:hAnsi="宋体" w:eastAsia="宋体" w:cs="宋体"/>
          <w:spacing w:val="-1"/>
          <w:sz w:val="24"/>
          <w:szCs w:val="24"/>
        </w:rPr>
        <w:t>道输送至有机肥发酵车间，</w:t>
      </w:r>
      <w:r>
        <w:rPr>
          <w:rFonts w:ascii="宋体" w:hAnsi="宋体" w:eastAsia="宋体" w:cs="宋体"/>
          <w:sz w:val="24"/>
          <w:szCs w:val="24"/>
        </w:rPr>
        <w:t xml:space="preserve"> </w:t>
      </w:r>
      <w:r>
        <w:rPr>
          <w:rFonts w:ascii="宋体" w:hAnsi="宋体" w:eastAsia="宋体" w:cs="宋体"/>
          <w:spacing w:val="-1"/>
          <w:sz w:val="24"/>
          <w:szCs w:val="24"/>
        </w:rPr>
        <w:t>雨水利用雨水沟收集后汇入雨水净化池，以达到雨污分流的效果。</w:t>
      </w:r>
    </w:p>
    <w:p w14:paraId="04D5909B">
      <w:pPr>
        <w:spacing w:before="87" w:line="369" w:lineRule="auto"/>
        <w:ind w:left="123" w:right="32" w:firstLine="502"/>
        <w:jc w:val="both"/>
        <w:rPr>
          <w:rFonts w:ascii="宋体" w:hAnsi="宋体" w:eastAsia="宋体" w:cs="宋体"/>
          <w:sz w:val="24"/>
          <w:szCs w:val="24"/>
        </w:rPr>
      </w:pPr>
      <w:r>
        <w:rPr>
          <w:rFonts w:ascii="宋体" w:hAnsi="宋体" w:eastAsia="宋体" w:cs="宋体"/>
          <w:spacing w:val="2"/>
          <w:sz w:val="24"/>
          <w:szCs w:val="24"/>
        </w:rPr>
        <w:t>同时，将生产辅助设施和环保设施包括有机肥</w:t>
      </w:r>
      <w:r>
        <w:rPr>
          <w:rFonts w:ascii="宋体" w:hAnsi="宋体" w:eastAsia="宋体" w:cs="宋体"/>
          <w:spacing w:val="1"/>
          <w:sz w:val="24"/>
          <w:szCs w:val="24"/>
        </w:rPr>
        <w:t>发酵车间、应急池等布置在猪只</w:t>
      </w:r>
      <w:r>
        <w:rPr>
          <w:rFonts w:ascii="宋体" w:hAnsi="宋体" w:eastAsia="宋体" w:cs="宋体"/>
          <w:sz w:val="24"/>
          <w:szCs w:val="24"/>
        </w:rPr>
        <w:t xml:space="preserve"> </w:t>
      </w:r>
      <w:r>
        <w:rPr>
          <w:rFonts w:ascii="宋体" w:hAnsi="宋体" w:eastAsia="宋体" w:cs="宋体"/>
          <w:spacing w:val="2"/>
          <w:sz w:val="24"/>
          <w:szCs w:val="24"/>
        </w:rPr>
        <w:t>养殖区边上，临近场区道路，既有利于生产原料、产品的运输，也减少了恶臭气体</w:t>
      </w:r>
      <w:r>
        <w:rPr>
          <w:rFonts w:ascii="宋体" w:hAnsi="宋体" w:eastAsia="宋体" w:cs="宋体"/>
          <w:spacing w:val="5"/>
          <w:sz w:val="24"/>
          <w:szCs w:val="24"/>
        </w:rPr>
        <w:t xml:space="preserve"> </w:t>
      </w:r>
      <w:r>
        <w:rPr>
          <w:rFonts w:ascii="宋体" w:hAnsi="宋体" w:eastAsia="宋体" w:cs="宋体"/>
          <w:spacing w:val="22"/>
          <w:sz w:val="24"/>
          <w:szCs w:val="24"/>
        </w:rPr>
        <w:t>的影响范围</w:t>
      </w:r>
      <w:r>
        <w:rPr>
          <w:rFonts w:ascii="宋体" w:hAnsi="宋体" w:eastAsia="宋体" w:cs="宋体"/>
          <w:spacing w:val="-59"/>
          <w:sz w:val="24"/>
          <w:szCs w:val="24"/>
        </w:rPr>
        <w:t xml:space="preserve"> </w:t>
      </w:r>
      <w:r>
        <w:rPr>
          <w:rFonts w:ascii="宋体" w:hAnsi="宋体" w:eastAsia="宋体" w:cs="宋体"/>
          <w:spacing w:val="22"/>
          <w:sz w:val="24"/>
          <w:szCs w:val="24"/>
        </w:rPr>
        <w:t>。该场地的建设符合国家环保局《畜禽养殖污染防治技术规范》</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HJ/T81-2001</w:t>
      </w:r>
      <w:r>
        <w:rPr>
          <w:rFonts w:ascii="宋体" w:hAnsi="宋体" w:eastAsia="宋体" w:cs="宋体"/>
          <w:spacing w:val="-32"/>
          <w:sz w:val="24"/>
          <w:szCs w:val="24"/>
        </w:rPr>
        <w:t>），</w:t>
      </w:r>
      <w:r>
        <w:rPr>
          <w:rFonts w:ascii="宋体" w:hAnsi="宋体" w:eastAsia="宋体" w:cs="宋体"/>
          <w:spacing w:val="-2"/>
          <w:sz w:val="24"/>
          <w:szCs w:val="24"/>
        </w:rPr>
        <w:t>符合养殖场动物防疫条件选</w:t>
      </w:r>
      <w:r>
        <w:rPr>
          <w:rFonts w:ascii="宋体" w:hAnsi="宋体" w:eastAsia="宋体" w:cs="宋体"/>
          <w:spacing w:val="-3"/>
          <w:sz w:val="24"/>
          <w:szCs w:val="24"/>
        </w:rPr>
        <w:t>址要求。项目总体布局是基本合理的。</w:t>
      </w:r>
    </w:p>
    <w:p w14:paraId="3DCEAFEF">
      <w:pPr>
        <w:spacing w:line="359"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）从外环境对本项目的影响角度分析</w:t>
      </w:r>
    </w:p>
    <w:p w14:paraId="2ABB36E8">
      <w:pPr>
        <w:spacing w:line="359" w:lineRule="exact"/>
        <w:rPr>
          <w:rFonts w:ascii="宋体" w:hAnsi="宋体" w:eastAsia="宋体" w:cs="宋体"/>
          <w:sz w:val="24"/>
          <w:szCs w:val="24"/>
        </w:rPr>
        <w:sectPr>
          <w:headerReference r:id="rId62" w:type="default"/>
          <w:footerReference r:id="rId63" w:type="default"/>
          <w:pgSz w:w="11906" w:h="16839"/>
          <w:pgMar w:top="400" w:right="1475" w:bottom="1485" w:left="1475" w:header="0" w:footer="1249" w:gutter="0"/>
          <w:cols w:space="720" w:num="1"/>
        </w:sectPr>
      </w:pPr>
    </w:p>
    <w:p w14:paraId="43A7805A">
      <w:pPr>
        <w:pStyle w:val="2"/>
        <w:spacing w:line="255" w:lineRule="auto"/>
      </w:pPr>
    </w:p>
    <w:p w14:paraId="23137F38">
      <w:pPr>
        <w:pStyle w:val="2"/>
        <w:spacing w:line="255" w:lineRule="auto"/>
      </w:pPr>
    </w:p>
    <w:p w14:paraId="7AB9A4BD">
      <w:pPr>
        <w:pStyle w:val="2"/>
        <w:spacing w:line="255" w:lineRule="auto"/>
      </w:pPr>
    </w:p>
    <w:p w14:paraId="095E1BA1">
      <w:pPr>
        <w:pStyle w:val="2"/>
        <w:spacing w:line="256" w:lineRule="auto"/>
      </w:pPr>
    </w:p>
    <w:p w14:paraId="67F6FA4A">
      <w:pPr>
        <w:spacing w:before="78" w:line="367" w:lineRule="auto"/>
        <w:ind w:left="123" w:right="110" w:firstLine="479"/>
        <w:rPr>
          <w:rFonts w:ascii="宋体" w:hAnsi="宋体" w:eastAsia="宋体" w:cs="宋体"/>
          <w:sz w:val="24"/>
          <w:szCs w:val="24"/>
        </w:rPr>
      </w:pPr>
      <w:r>
        <w:rPr>
          <w:rFonts w:ascii="宋体" w:hAnsi="宋体" w:eastAsia="宋体" w:cs="宋体"/>
          <w:spacing w:val="-4"/>
          <w:sz w:val="24"/>
          <w:szCs w:val="24"/>
        </w:rPr>
        <w:t>根据现场调查，项目所在地周围环境质量状况良好，养殖区周围</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500m</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范围内没</w:t>
      </w:r>
      <w:r>
        <w:rPr>
          <w:rFonts w:ascii="宋体" w:hAnsi="宋体" w:eastAsia="宋体" w:cs="宋体"/>
          <w:sz w:val="24"/>
          <w:szCs w:val="24"/>
        </w:rPr>
        <w:t xml:space="preserve"> </w:t>
      </w:r>
      <w:r>
        <w:rPr>
          <w:rFonts w:ascii="宋体" w:hAnsi="宋体" w:eastAsia="宋体" w:cs="宋体"/>
          <w:spacing w:val="-1"/>
          <w:sz w:val="24"/>
          <w:szCs w:val="24"/>
        </w:rPr>
        <w:t>有其他工业污染源，能够保障项目生产所必须的防疫环境。</w:t>
      </w:r>
    </w:p>
    <w:p w14:paraId="578B5CBF">
      <w:pPr>
        <w:spacing w:before="23" w:line="359"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）从周边环境敏感目标影响角度分析</w:t>
      </w:r>
    </w:p>
    <w:p w14:paraId="4F016CB4">
      <w:pPr>
        <w:spacing w:before="168" w:line="361" w:lineRule="auto"/>
        <w:ind w:left="123" w:right="110" w:firstLine="480"/>
        <w:rPr>
          <w:rFonts w:ascii="宋体" w:hAnsi="宋体" w:eastAsia="宋体" w:cs="宋体"/>
          <w:sz w:val="24"/>
          <w:szCs w:val="24"/>
        </w:rPr>
      </w:pPr>
      <w:r>
        <w:rPr>
          <w:rFonts w:ascii="宋体" w:hAnsi="宋体" w:eastAsia="宋体" w:cs="宋体"/>
          <w:spacing w:val="2"/>
          <w:sz w:val="24"/>
          <w:szCs w:val="24"/>
        </w:rPr>
        <w:t>本项目对外界环境的影响主要为恶臭气体。根据大气环境影响预测，本项目污</w:t>
      </w:r>
      <w:r>
        <w:rPr>
          <w:rFonts w:ascii="宋体" w:hAnsi="宋体" w:eastAsia="宋体" w:cs="宋体"/>
          <w:spacing w:val="9"/>
          <w:sz w:val="24"/>
          <w:szCs w:val="24"/>
        </w:rPr>
        <w:t xml:space="preserve"> </w:t>
      </w:r>
      <w:r>
        <w:rPr>
          <w:rFonts w:ascii="宋体" w:hAnsi="宋体" w:eastAsia="宋体" w:cs="宋体"/>
          <w:spacing w:val="-4"/>
          <w:sz w:val="24"/>
          <w:szCs w:val="24"/>
        </w:rPr>
        <w:t>染物最大落地浓度均在</w:t>
      </w:r>
      <w:r>
        <w:rPr>
          <w:rFonts w:ascii="宋体" w:hAnsi="宋体" w:eastAsia="宋体" w:cs="宋体"/>
          <w:spacing w:val="-18"/>
          <w:sz w:val="24"/>
          <w:szCs w:val="24"/>
        </w:rPr>
        <w:t xml:space="preserve"> </w:t>
      </w:r>
      <w:r>
        <w:rPr>
          <w:rFonts w:ascii="Times New Roman" w:hAnsi="Times New Roman" w:eastAsia="Times New Roman" w:cs="Times New Roman"/>
          <w:spacing w:val="-4"/>
          <w:sz w:val="24"/>
          <w:szCs w:val="24"/>
        </w:rPr>
        <w:t>100m</w:t>
      </w:r>
      <w:r>
        <w:rPr>
          <w:rFonts w:ascii="Times New Roman" w:hAnsi="Times New Roman" w:eastAsia="Times New Roman" w:cs="Times New Roman"/>
          <w:spacing w:val="16"/>
          <w:w w:val="101"/>
          <w:sz w:val="24"/>
          <w:szCs w:val="24"/>
        </w:rPr>
        <w:t xml:space="preserve"> </w:t>
      </w:r>
      <w:r>
        <w:rPr>
          <w:rFonts w:ascii="宋体" w:hAnsi="宋体" w:eastAsia="宋体" w:cs="宋体"/>
          <w:spacing w:val="-4"/>
          <w:sz w:val="24"/>
          <w:szCs w:val="24"/>
        </w:rPr>
        <w:t>范围内，本项目养殖区下风向</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100m</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范围内没有环境敏</w:t>
      </w:r>
      <w:r>
        <w:rPr>
          <w:rFonts w:ascii="宋体" w:hAnsi="宋体" w:eastAsia="宋体" w:cs="宋体"/>
          <w:sz w:val="24"/>
          <w:szCs w:val="24"/>
        </w:rPr>
        <w:t xml:space="preserve"> </w:t>
      </w:r>
      <w:r>
        <w:rPr>
          <w:rFonts w:ascii="宋体" w:hAnsi="宋体" w:eastAsia="宋体" w:cs="宋体"/>
          <w:spacing w:val="-3"/>
          <w:sz w:val="24"/>
          <w:szCs w:val="24"/>
        </w:rPr>
        <w:t>感目标。</w:t>
      </w:r>
    </w:p>
    <w:p w14:paraId="10A27D4A">
      <w:pPr>
        <w:spacing w:before="58" w:line="219" w:lineRule="auto"/>
        <w:ind w:left="605"/>
        <w:rPr>
          <w:rFonts w:ascii="宋体" w:hAnsi="宋体" w:eastAsia="宋体" w:cs="宋体"/>
          <w:sz w:val="24"/>
          <w:szCs w:val="24"/>
        </w:rPr>
      </w:pPr>
      <w:r>
        <w:rPr>
          <w:rFonts w:ascii="宋体" w:hAnsi="宋体" w:eastAsia="宋体" w:cs="宋体"/>
          <w:spacing w:val="-1"/>
          <w:sz w:val="24"/>
          <w:szCs w:val="24"/>
        </w:rPr>
        <w:t>综上所述，整个建设项目的总平面布置是基本合理的。</w:t>
      </w:r>
    </w:p>
    <w:p w14:paraId="4A096C92">
      <w:pPr>
        <w:spacing w:before="204" w:line="220"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3.1.4</w:t>
      </w:r>
      <w:r>
        <w:rPr>
          <w:rFonts w:ascii="宋体" w:hAnsi="宋体" w:eastAsia="宋体" w:cs="宋体"/>
          <w:b/>
          <w:bCs/>
          <w:spacing w:val="-2"/>
          <w:sz w:val="24"/>
          <w:szCs w:val="24"/>
        </w:rPr>
        <w:t>各类牲畜常年存栏量</w:t>
      </w:r>
    </w:p>
    <w:p w14:paraId="0F06D13D">
      <w:pPr>
        <w:spacing w:before="164" w:line="366" w:lineRule="auto"/>
        <w:ind w:left="122" w:right="113" w:firstLine="480"/>
        <w:jc w:val="both"/>
        <w:rPr>
          <w:rFonts w:ascii="宋体" w:hAnsi="宋体" w:eastAsia="宋体" w:cs="宋体"/>
          <w:sz w:val="24"/>
          <w:szCs w:val="24"/>
        </w:rPr>
      </w:pPr>
      <w:r>
        <w:rPr>
          <w:rFonts w:ascii="宋体" w:hAnsi="宋体" w:eastAsia="宋体" w:cs="宋体"/>
          <w:spacing w:val="-6"/>
          <w:sz w:val="24"/>
          <w:szCs w:val="24"/>
        </w:rPr>
        <w:t>本项目外购猪仔于项目内进行养殖，项目不进行繁殖。本项目</w:t>
      </w:r>
      <w:r>
        <w:rPr>
          <w:rFonts w:ascii="宋体" w:hAnsi="宋体" w:eastAsia="宋体" w:cs="宋体"/>
          <w:spacing w:val="-7"/>
          <w:sz w:val="24"/>
          <w:szCs w:val="24"/>
        </w:rPr>
        <w:t>常年存栏生猪</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7000</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头。出栏周期为</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个月，则出栏量约为</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 xml:space="preserve">15000 </w:t>
      </w:r>
      <w:r>
        <w:rPr>
          <w:rFonts w:ascii="宋体" w:hAnsi="宋体" w:eastAsia="宋体" w:cs="宋体"/>
          <w:spacing w:val="-1"/>
          <w:sz w:val="24"/>
          <w:szCs w:val="24"/>
        </w:rPr>
        <w:t>头</w:t>
      </w:r>
      <w:r>
        <w:rPr>
          <w:rFonts w:ascii="Times New Roman" w:hAnsi="Times New Roman" w:eastAsia="Times New Roman" w:cs="Times New Roman"/>
          <w:spacing w:val="-1"/>
          <w:sz w:val="24"/>
          <w:szCs w:val="24"/>
        </w:rPr>
        <w:t>/</w:t>
      </w:r>
      <w:r>
        <w:rPr>
          <w:rFonts w:ascii="宋体" w:hAnsi="宋体" w:eastAsia="宋体" w:cs="宋体"/>
          <w:spacing w:val="-1"/>
          <w:sz w:val="24"/>
          <w:szCs w:val="24"/>
        </w:rPr>
        <w:t>年。项目常年牲畜存栏情况如下表</w:t>
      </w:r>
      <w:r>
        <w:rPr>
          <w:rFonts w:ascii="宋体" w:hAnsi="宋体" w:eastAsia="宋体" w:cs="宋体"/>
          <w:sz w:val="24"/>
          <w:szCs w:val="24"/>
        </w:rPr>
        <w:t xml:space="preserve"> </w:t>
      </w:r>
      <w:r>
        <w:rPr>
          <w:rFonts w:ascii="宋体" w:hAnsi="宋体" w:eastAsia="宋体" w:cs="宋体"/>
          <w:spacing w:val="-4"/>
          <w:sz w:val="24"/>
          <w:szCs w:val="24"/>
        </w:rPr>
        <w:t>所示：</w:t>
      </w:r>
    </w:p>
    <w:p w14:paraId="6E520393">
      <w:pPr>
        <w:spacing w:before="94" w:line="228" w:lineRule="auto"/>
        <w:ind w:left="3058"/>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6"/>
          <w:sz w:val="20"/>
          <w:szCs w:val="20"/>
        </w:rPr>
        <w:t xml:space="preserve">3.1-3 </w:t>
      </w:r>
      <w:r>
        <w:rPr>
          <w:rFonts w:ascii="宋体" w:hAnsi="宋体" w:eastAsia="宋体" w:cs="宋体"/>
          <w:b/>
          <w:bCs/>
          <w:spacing w:val="6"/>
          <w:sz w:val="20"/>
          <w:szCs w:val="20"/>
        </w:rPr>
        <w:t>各类牲畜的常年存栏数</w:t>
      </w:r>
    </w:p>
    <w:p w14:paraId="4F00CDA4">
      <w:pPr>
        <w:spacing w:line="101"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5"/>
        <w:gridCol w:w="2981"/>
        <w:gridCol w:w="2984"/>
      </w:tblGrid>
      <w:tr w14:paraId="2F03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985" w:type="dxa"/>
            <w:vAlign w:val="top"/>
          </w:tcPr>
          <w:p w14:paraId="469C2080">
            <w:pPr>
              <w:pStyle w:val="6"/>
              <w:spacing w:before="64" w:line="228" w:lineRule="auto"/>
              <w:ind w:left="1079"/>
            </w:pPr>
            <w:r>
              <w:rPr>
                <w:spacing w:val="7"/>
              </w:rPr>
              <w:t>猪只种类</w:t>
            </w:r>
          </w:p>
        </w:tc>
        <w:tc>
          <w:tcPr>
            <w:tcW w:w="2981" w:type="dxa"/>
            <w:vAlign w:val="top"/>
          </w:tcPr>
          <w:p w14:paraId="6099EC2C">
            <w:pPr>
              <w:pStyle w:val="6"/>
              <w:spacing w:before="64" w:line="228" w:lineRule="auto"/>
              <w:ind w:left="759"/>
            </w:pPr>
            <w:r>
              <w:rPr>
                <w:spacing w:val="7"/>
              </w:rPr>
              <w:t>存栏数量（头）</w:t>
            </w:r>
          </w:p>
        </w:tc>
        <w:tc>
          <w:tcPr>
            <w:tcW w:w="2984" w:type="dxa"/>
            <w:vAlign w:val="top"/>
          </w:tcPr>
          <w:p w14:paraId="0162EA62">
            <w:pPr>
              <w:pStyle w:val="6"/>
              <w:spacing w:before="64" w:line="228" w:lineRule="auto"/>
              <w:ind w:left="553"/>
            </w:pPr>
            <w:r>
              <w:rPr>
                <w:spacing w:val="7"/>
              </w:rPr>
              <w:t>折合成成年猪（头）</w:t>
            </w:r>
          </w:p>
        </w:tc>
      </w:tr>
      <w:tr w14:paraId="53C33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985" w:type="dxa"/>
            <w:vAlign w:val="top"/>
          </w:tcPr>
          <w:p w14:paraId="028E0CD1">
            <w:pPr>
              <w:pStyle w:val="6"/>
              <w:spacing w:before="60" w:line="228" w:lineRule="auto"/>
              <w:ind w:left="1192"/>
            </w:pPr>
            <w:r>
              <w:rPr>
                <w:spacing w:val="4"/>
              </w:rPr>
              <w:t>育肥猪</w:t>
            </w:r>
          </w:p>
        </w:tc>
        <w:tc>
          <w:tcPr>
            <w:tcW w:w="2981" w:type="dxa"/>
            <w:vAlign w:val="top"/>
          </w:tcPr>
          <w:p w14:paraId="6CDE0B21">
            <w:pPr>
              <w:spacing w:before="30" w:line="274" w:lineRule="exact"/>
              <w:ind w:left="1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7000</w:t>
            </w:r>
          </w:p>
        </w:tc>
        <w:tc>
          <w:tcPr>
            <w:tcW w:w="2984" w:type="dxa"/>
            <w:vAlign w:val="top"/>
          </w:tcPr>
          <w:p w14:paraId="27216E54">
            <w:pPr>
              <w:spacing w:before="30" w:line="274" w:lineRule="exact"/>
              <w:ind w:left="1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7000</w:t>
            </w:r>
          </w:p>
        </w:tc>
      </w:tr>
      <w:tr w14:paraId="70839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985" w:type="dxa"/>
            <w:vAlign w:val="top"/>
          </w:tcPr>
          <w:p w14:paraId="135007E8">
            <w:pPr>
              <w:pStyle w:val="6"/>
              <w:spacing w:before="62" w:line="230" w:lineRule="auto"/>
              <w:ind w:left="1290"/>
            </w:pPr>
            <w:r>
              <w:rPr>
                <w:spacing w:val="3"/>
              </w:rPr>
              <w:t>总计</w:t>
            </w:r>
          </w:p>
        </w:tc>
        <w:tc>
          <w:tcPr>
            <w:tcW w:w="2981" w:type="dxa"/>
            <w:vAlign w:val="top"/>
          </w:tcPr>
          <w:p w14:paraId="475403B2">
            <w:pPr>
              <w:spacing w:before="32" w:line="274" w:lineRule="exact"/>
              <w:ind w:left="1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7000</w:t>
            </w:r>
          </w:p>
        </w:tc>
        <w:tc>
          <w:tcPr>
            <w:tcW w:w="2984" w:type="dxa"/>
            <w:vAlign w:val="top"/>
          </w:tcPr>
          <w:p w14:paraId="7F62F5DE">
            <w:pPr>
              <w:spacing w:before="32" w:line="274" w:lineRule="exact"/>
              <w:ind w:left="1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7000</w:t>
            </w:r>
          </w:p>
        </w:tc>
      </w:tr>
    </w:tbl>
    <w:p w14:paraId="7DEA2716">
      <w:pPr>
        <w:spacing w:before="124" w:line="220"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3.1.5</w:t>
      </w:r>
      <w:r>
        <w:rPr>
          <w:rFonts w:ascii="宋体" w:hAnsi="宋体" w:eastAsia="宋体" w:cs="宋体"/>
          <w:b/>
          <w:bCs/>
          <w:spacing w:val="-2"/>
          <w:sz w:val="24"/>
          <w:szCs w:val="24"/>
        </w:rPr>
        <w:t>生产定员及工作制度</w:t>
      </w:r>
    </w:p>
    <w:p w14:paraId="0874C4B2">
      <w:pPr>
        <w:spacing w:before="168" w:line="374" w:lineRule="auto"/>
        <w:ind w:left="122" w:right="138" w:firstLine="483"/>
        <w:rPr>
          <w:rFonts w:ascii="宋体" w:hAnsi="宋体" w:eastAsia="宋体" w:cs="宋体"/>
          <w:sz w:val="24"/>
          <w:szCs w:val="24"/>
        </w:rPr>
      </w:pPr>
      <w:r>
        <w:rPr>
          <w:rFonts w:ascii="宋体" w:hAnsi="宋体" w:eastAsia="宋体" w:cs="宋体"/>
          <w:spacing w:val="-4"/>
          <w:sz w:val="24"/>
          <w:szCs w:val="24"/>
        </w:rPr>
        <w:t>项目招募员工</w:t>
      </w:r>
      <w:r>
        <w:rPr>
          <w:rFonts w:ascii="宋体" w:hAnsi="宋体" w:eastAsia="宋体" w:cs="宋体"/>
          <w:spacing w:val="-18"/>
          <w:sz w:val="24"/>
          <w:szCs w:val="24"/>
        </w:rPr>
        <w:t xml:space="preserve"> </w:t>
      </w:r>
      <w:r>
        <w:rPr>
          <w:rFonts w:ascii="Times New Roman" w:hAnsi="Times New Roman" w:eastAsia="Times New Roman" w:cs="Times New Roman"/>
          <w:spacing w:val="-4"/>
          <w:sz w:val="24"/>
          <w:szCs w:val="24"/>
        </w:rPr>
        <w:t xml:space="preserve">12 </w:t>
      </w:r>
      <w:r>
        <w:rPr>
          <w:rFonts w:ascii="宋体" w:hAnsi="宋体" w:eastAsia="宋体" w:cs="宋体"/>
          <w:spacing w:val="-4"/>
          <w:sz w:val="24"/>
          <w:szCs w:val="24"/>
        </w:rPr>
        <w:t>人，其中约</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人在厂内住宿。项目实行两班制，每班</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小时，</w:t>
      </w:r>
      <w:r>
        <w:rPr>
          <w:rFonts w:ascii="宋体" w:hAnsi="宋体" w:eastAsia="宋体" w:cs="宋体"/>
          <w:sz w:val="24"/>
          <w:szCs w:val="24"/>
        </w:rPr>
        <w:t xml:space="preserve"> </w:t>
      </w:r>
      <w:r>
        <w:rPr>
          <w:rFonts w:ascii="宋体" w:hAnsi="宋体" w:eastAsia="宋体" w:cs="宋体"/>
          <w:spacing w:val="3"/>
          <w:sz w:val="24"/>
          <w:szCs w:val="24"/>
        </w:rPr>
        <w:t>每天工作两班，年工作</w:t>
      </w:r>
      <w:r>
        <w:rPr>
          <w:rFonts w:ascii="Times New Roman" w:hAnsi="Times New Roman" w:eastAsia="Times New Roman" w:cs="Times New Roman"/>
          <w:spacing w:val="3"/>
          <w:sz w:val="24"/>
          <w:szCs w:val="24"/>
        </w:rPr>
        <w:t xml:space="preserve">365 </w:t>
      </w:r>
      <w:r>
        <w:rPr>
          <w:rFonts w:ascii="宋体" w:hAnsi="宋体" w:eastAsia="宋体" w:cs="宋体"/>
          <w:spacing w:val="3"/>
          <w:sz w:val="24"/>
          <w:szCs w:val="24"/>
        </w:rPr>
        <w:t>天。</w:t>
      </w:r>
    </w:p>
    <w:p w14:paraId="28FCEA19">
      <w:pPr>
        <w:spacing w:before="43" w:line="220"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3.1.6</w:t>
      </w:r>
      <w:r>
        <w:rPr>
          <w:rFonts w:ascii="宋体" w:hAnsi="宋体" w:eastAsia="宋体" w:cs="宋体"/>
          <w:b/>
          <w:bCs/>
          <w:spacing w:val="-2"/>
          <w:sz w:val="24"/>
          <w:szCs w:val="24"/>
        </w:rPr>
        <w:t>生产设备</w:t>
      </w:r>
    </w:p>
    <w:p w14:paraId="6BEA46AF">
      <w:pPr>
        <w:spacing w:before="165" w:line="360" w:lineRule="exact"/>
        <w:ind w:left="603"/>
        <w:rPr>
          <w:rFonts w:ascii="宋体" w:hAnsi="宋体" w:eastAsia="宋体" w:cs="宋体"/>
          <w:sz w:val="24"/>
          <w:szCs w:val="24"/>
        </w:rPr>
      </w:pPr>
      <w:r>
        <w:rPr>
          <w:rFonts w:ascii="宋体" w:hAnsi="宋体" w:eastAsia="宋体" w:cs="宋体"/>
          <w:spacing w:val="1"/>
          <w:position w:val="2"/>
          <w:sz w:val="24"/>
          <w:szCs w:val="24"/>
        </w:rPr>
        <w:t>本项目设备包括生产设备、辅助设备和环保设备，详见表</w:t>
      </w:r>
      <w:r>
        <w:rPr>
          <w:rFonts w:ascii="Times New Roman" w:hAnsi="Times New Roman" w:eastAsia="Times New Roman" w:cs="Times New Roman"/>
          <w:spacing w:val="1"/>
          <w:position w:val="2"/>
          <w:sz w:val="24"/>
          <w:szCs w:val="24"/>
        </w:rPr>
        <w:t>3.1-4</w:t>
      </w:r>
      <w:r>
        <w:rPr>
          <w:rFonts w:ascii="宋体" w:hAnsi="宋体" w:eastAsia="宋体" w:cs="宋体"/>
          <w:spacing w:val="1"/>
          <w:position w:val="2"/>
          <w:sz w:val="24"/>
          <w:szCs w:val="24"/>
        </w:rPr>
        <w:t>。</w:t>
      </w:r>
    </w:p>
    <w:p w14:paraId="6B2F2464">
      <w:pPr>
        <w:spacing w:before="180" w:line="229" w:lineRule="auto"/>
        <w:ind w:left="3612"/>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5"/>
          <w:sz w:val="20"/>
          <w:szCs w:val="20"/>
        </w:rPr>
        <w:t xml:space="preserve">3.1-4 </w:t>
      </w:r>
      <w:r>
        <w:rPr>
          <w:rFonts w:ascii="宋体" w:hAnsi="宋体" w:eastAsia="宋体" w:cs="宋体"/>
          <w:b/>
          <w:bCs/>
          <w:spacing w:val="5"/>
          <w:sz w:val="20"/>
          <w:szCs w:val="20"/>
        </w:rPr>
        <w:t>建设项目设备表</w:t>
      </w:r>
    </w:p>
    <w:p w14:paraId="3B894C84">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72"/>
        <w:gridCol w:w="2626"/>
        <w:gridCol w:w="1049"/>
        <w:gridCol w:w="1703"/>
      </w:tblGrid>
      <w:tr w14:paraId="3CC77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572" w:type="dxa"/>
            <w:vAlign w:val="top"/>
          </w:tcPr>
          <w:p w14:paraId="6615CF39">
            <w:pPr>
              <w:pStyle w:val="6"/>
              <w:spacing w:before="62" w:line="229" w:lineRule="auto"/>
              <w:ind w:left="1584"/>
            </w:pPr>
            <w:r>
              <w:rPr>
                <w:b/>
                <w:bCs/>
                <w:spacing w:val="2"/>
              </w:rPr>
              <w:t>项目</w:t>
            </w:r>
          </w:p>
        </w:tc>
        <w:tc>
          <w:tcPr>
            <w:tcW w:w="2626" w:type="dxa"/>
            <w:vAlign w:val="top"/>
          </w:tcPr>
          <w:p w14:paraId="33883F86">
            <w:pPr>
              <w:pStyle w:val="6"/>
              <w:spacing w:before="62" w:line="230" w:lineRule="auto"/>
              <w:ind w:left="901"/>
            </w:pPr>
            <w:r>
              <w:rPr>
                <w:b/>
                <w:bCs/>
                <w:spacing w:val="5"/>
              </w:rPr>
              <w:t>设备型号</w:t>
            </w:r>
          </w:p>
        </w:tc>
        <w:tc>
          <w:tcPr>
            <w:tcW w:w="1049" w:type="dxa"/>
            <w:vAlign w:val="top"/>
          </w:tcPr>
          <w:p w14:paraId="00A26558">
            <w:pPr>
              <w:pStyle w:val="6"/>
              <w:spacing w:before="62" w:line="229" w:lineRule="auto"/>
              <w:ind w:left="323"/>
            </w:pPr>
            <w:r>
              <w:rPr>
                <w:b/>
                <w:bCs/>
                <w:spacing w:val="3"/>
              </w:rPr>
              <w:t>单位</w:t>
            </w:r>
          </w:p>
        </w:tc>
        <w:tc>
          <w:tcPr>
            <w:tcW w:w="1703" w:type="dxa"/>
            <w:vAlign w:val="top"/>
          </w:tcPr>
          <w:p w14:paraId="0CED1F3B">
            <w:pPr>
              <w:pStyle w:val="6"/>
              <w:spacing w:before="62" w:line="228" w:lineRule="auto"/>
              <w:ind w:left="647"/>
            </w:pPr>
            <w:r>
              <w:rPr>
                <w:b/>
                <w:bCs/>
                <w:spacing w:val="3"/>
              </w:rPr>
              <w:t>数量</w:t>
            </w:r>
          </w:p>
        </w:tc>
      </w:tr>
      <w:tr w14:paraId="36D04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950" w:type="dxa"/>
            <w:gridSpan w:val="4"/>
            <w:vAlign w:val="top"/>
          </w:tcPr>
          <w:p w14:paraId="09A469A3">
            <w:pPr>
              <w:pStyle w:val="6"/>
              <w:spacing w:before="58" w:line="228" w:lineRule="auto"/>
              <w:ind w:left="4166"/>
            </w:pPr>
            <w:r>
              <w:rPr>
                <w:b/>
                <w:bCs/>
                <w:spacing w:val="6"/>
              </w:rPr>
              <w:t>养殖场设备</w:t>
            </w:r>
          </w:p>
        </w:tc>
      </w:tr>
      <w:tr w14:paraId="0214C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72" w:type="dxa"/>
            <w:vAlign w:val="top"/>
          </w:tcPr>
          <w:p w14:paraId="07C2A947">
            <w:pPr>
              <w:pStyle w:val="6"/>
              <w:spacing w:before="59" w:line="228" w:lineRule="auto"/>
              <w:ind w:left="739"/>
            </w:pPr>
            <w:r>
              <w:rPr>
                <w:spacing w:val="9"/>
              </w:rPr>
              <w:t>饲料常规营养分析设备</w:t>
            </w:r>
          </w:p>
        </w:tc>
        <w:tc>
          <w:tcPr>
            <w:tcW w:w="2626" w:type="dxa"/>
            <w:vAlign w:val="top"/>
          </w:tcPr>
          <w:p w14:paraId="7FC39749">
            <w:pPr>
              <w:spacing w:before="28"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66B5A70A">
            <w:pPr>
              <w:pStyle w:val="6"/>
              <w:spacing w:before="59" w:line="231" w:lineRule="auto"/>
              <w:ind w:left="443"/>
            </w:pPr>
            <w:r>
              <w:t>台</w:t>
            </w:r>
          </w:p>
        </w:tc>
        <w:tc>
          <w:tcPr>
            <w:tcW w:w="1703" w:type="dxa"/>
            <w:vAlign w:val="top"/>
          </w:tcPr>
          <w:p w14:paraId="5FE364E2">
            <w:pPr>
              <w:spacing w:before="28"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75C42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72" w:type="dxa"/>
            <w:vAlign w:val="top"/>
          </w:tcPr>
          <w:p w14:paraId="5E55C0E1">
            <w:pPr>
              <w:pStyle w:val="6"/>
              <w:spacing w:before="60" w:line="228" w:lineRule="auto"/>
              <w:ind w:left="1372"/>
            </w:pPr>
            <w:r>
              <w:rPr>
                <w:spacing w:val="7"/>
              </w:rPr>
              <w:t>兽医器械</w:t>
            </w:r>
          </w:p>
        </w:tc>
        <w:tc>
          <w:tcPr>
            <w:tcW w:w="2626" w:type="dxa"/>
            <w:vAlign w:val="top"/>
          </w:tcPr>
          <w:p w14:paraId="462A73AC">
            <w:pPr>
              <w:spacing w:before="29"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10D96405">
            <w:pPr>
              <w:pStyle w:val="6"/>
              <w:spacing w:before="60" w:line="231" w:lineRule="auto"/>
              <w:ind w:left="426"/>
            </w:pPr>
            <w:r>
              <w:rPr>
                <w:spacing w:val="1"/>
              </w:rPr>
              <w:t>批</w:t>
            </w:r>
          </w:p>
        </w:tc>
        <w:tc>
          <w:tcPr>
            <w:tcW w:w="1703" w:type="dxa"/>
            <w:vAlign w:val="top"/>
          </w:tcPr>
          <w:p w14:paraId="1FD04968">
            <w:pPr>
              <w:spacing w:before="29"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2BD7B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72" w:type="dxa"/>
            <w:vAlign w:val="top"/>
          </w:tcPr>
          <w:p w14:paraId="7E23D64F">
            <w:pPr>
              <w:pStyle w:val="6"/>
              <w:spacing w:before="61" w:line="228" w:lineRule="auto"/>
              <w:ind w:left="1159"/>
            </w:pPr>
            <w:r>
              <w:rPr>
                <w:spacing w:val="8"/>
              </w:rPr>
              <w:t>饲料加工机组</w:t>
            </w:r>
          </w:p>
        </w:tc>
        <w:tc>
          <w:tcPr>
            <w:tcW w:w="2626" w:type="dxa"/>
            <w:vAlign w:val="top"/>
          </w:tcPr>
          <w:p w14:paraId="0457A179">
            <w:pPr>
              <w:spacing w:before="30"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7C7A78D0">
            <w:pPr>
              <w:pStyle w:val="6"/>
              <w:spacing w:before="61" w:line="229" w:lineRule="auto"/>
              <w:ind w:left="428"/>
            </w:pPr>
            <w:r>
              <w:t>套</w:t>
            </w:r>
          </w:p>
        </w:tc>
        <w:tc>
          <w:tcPr>
            <w:tcW w:w="1703" w:type="dxa"/>
            <w:vAlign w:val="top"/>
          </w:tcPr>
          <w:p w14:paraId="17788ADA">
            <w:pPr>
              <w:spacing w:before="30"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63DB5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40A7817F">
            <w:pPr>
              <w:pStyle w:val="6"/>
              <w:spacing w:before="62" w:line="228" w:lineRule="auto"/>
              <w:ind w:left="1396"/>
            </w:pPr>
            <w:r>
              <w:rPr>
                <w:spacing w:val="1"/>
              </w:rPr>
              <w:t>电子地磅</w:t>
            </w:r>
          </w:p>
        </w:tc>
        <w:tc>
          <w:tcPr>
            <w:tcW w:w="2626" w:type="dxa"/>
            <w:vAlign w:val="top"/>
          </w:tcPr>
          <w:p w14:paraId="42D1DCCA">
            <w:pPr>
              <w:spacing w:before="31"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0AFB4C53">
            <w:pPr>
              <w:pStyle w:val="6"/>
              <w:spacing w:before="62" w:line="231" w:lineRule="auto"/>
              <w:ind w:left="443"/>
            </w:pPr>
            <w:r>
              <w:t>台</w:t>
            </w:r>
          </w:p>
        </w:tc>
        <w:tc>
          <w:tcPr>
            <w:tcW w:w="1703" w:type="dxa"/>
            <w:vAlign w:val="top"/>
          </w:tcPr>
          <w:p w14:paraId="3CB68551">
            <w:pPr>
              <w:spacing w:before="31" w:line="274" w:lineRule="exact"/>
              <w:ind w:left="8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r>
      <w:tr w14:paraId="7E74F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18674970">
            <w:pPr>
              <w:pStyle w:val="6"/>
              <w:spacing w:before="62" w:line="228" w:lineRule="auto"/>
              <w:ind w:left="951"/>
            </w:pPr>
            <w:r>
              <w:rPr>
                <w:spacing w:val="8"/>
              </w:rPr>
              <w:t>超声波喷雾消毒机</w:t>
            </w:r>
          </w:p>
        </w:tc>
        <w:tc>
          <w:tcPr>
            <w:tcW w:w="2626" w:type="dxa"/>
            <w:vAlign w:val="top"/>
          </w:tcPr>
          <w:p w14:paraId="5305288C">
            <w:pPr>
              <w:spacing w:before="31"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5E88D1E1">
            <w:pPr>
              <w:pStyle w:val="6"/>
              <w:spacing w:before="62" w:line="229" w:lineRule="auto"/>
              <w:ind w:left="428"/>
            </w:pPr>
            <w:r>
              <w:t>套</w:t>
            </w:r>
          </w:p>
        </w:tc>
        <w:tc>
          <w:tcPr>
            <w:tcW w:w="1703" w:type="dxa"/>
            <w:vAlign w:val="top"/>
          </w:tcPr>
          <w:p w14:paraId="66211814">
            <w:pPr>
              <w:spacing w:before="31"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13D23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2022690E">
            <w:pPr>
              <w:pStyle w:val="6"/>
              <w:spacing w:before="62" w:line="228" w:lineRule="auto"/>
              <w:ind w:left="643"/>
            </w:pPr>
            <w:r>
              <w:rPr>
                <w:spacing w:val="8"/>
              </w:rPr>
              <w:t>高压喷雾消毒、清洗用车</w:t>
            </w:r>
          </w:p>
        </w:tc>
        <w:tc>
          <w:tcPr>
            <w:tcW w:w="2626" w:type="dxa"/>
            <w:vAlign w:val="top"/>
          </w:tcPr>
          <w:p w14:paraId="5EF17BD0">
            <w:pPr>
              <w:spacing w:before="31"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0881F1E0">
            <w:pPr>
              <w:pStyle w:val="6"/>
              <w:spacing w:before="62" w:line="231" w:lineRule="auto"/>
              <w:ind w:left="443"/>
            </w:pPr>
            <w:r>
              <w:t>台</w:t>
            </w:r>
          </w:p>
        </w:tc>
        <w:tc>
          <w:tcPr>
            <w:tcW w:w="1703" w:type="dxa"/>
            <w:vAlign w:val="top"/>
          </w:tcPr>
          <w:p w14:paraId="0C3FFDA5">
            <w:pPr>
              <w:spacing w:before="31"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03AD4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32E0AF16">
            <w:pPr>
              <w:pStyle w:val="6"/>
              <w:spacing w:before="62" w:line="228" w:lineRule="auto"/>
              <w:ind w:left="1062"/>
            </w:pPr>
            <w:r>
              <w:rPr>
                <w:spacing w:val="7"/>
              </w:rPr>
              <w:t>实验室仪器设备</w:t>
            </w:r>
          </w:p>
        </w:tc>
        <w:tc>
          <w:tcPr>
            <w:tcW w:w="2626" w:type="dxa"/>
            <w:vAlign w:val="top"/>
          </w:tcPr>
          <w:p w14:paraId="689D95B6">
            <w:pPr>
              <w:spacing w:before="31"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39FE6180">
            <w:pPr>
              <w:pStyle w:val="6"/>
              <w:spacing w:before="62" w:line="231" w:lineRule="auto"/>
              <w:ind w:left="426"/>
            </w:pPr>
            <w:r>
              <w:rPr>
                <w:spacing w:val="1"/>
              </w:rPr>
              <w:t>批</w:t>
            </w:r>
          </w:p>
        </w:tc>
        <w:tc>
          <w:tcPr>
            <w:tcW w:w="1703" w:type="dxa"/>
            <w:vAlign w:val="top"/>
          </w:tcPr>
          <w:p w14:paraId="72814841">
            <w:pPr>
              <w:spacing w:before="31"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0D389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6B9E2849">
            <w:pPr>
              <w:pStyle w:val="6"/>
              <w:spacing w:before="62" w:line="228" w:lineRule="auto"/>
              <w:ind w:left="1022"/>
            </w:pPr>
            <w:r>
              <w:rPr>
                <w:spacing w:val="8"/>
              </w:rPr>
              <w:t>荧光定量</w:t>
            </w:r>
            <w:r>
              <w:rPr>
                <w:spacing w:val="-41"/>
              </w:rPr>
              <w:t xml:space="preserve"> </w:t>
            </w:r>
            <w:r>
              <w:rPr>
                <w:rFonts w:ascii="Times New Roman" w:hAnsi="Times New Roman" w:eastAsia="Times New Roman" w:cs="Times New Roman"/>
              </w:rPr>
              <w:t>PCR</w:t>
            </w:r>
            <w:r>
              <w:rPr>
                <w:rFonts w:ascii="Times New Roman" w:hAnsi="Times New Roman" w:eastAsia="Times New Roman" w:cs="Times New Roman"/>
                <w:spacing w:val="8"/>
              </w:rPr>
              <w:t xml:space="preserve"> </w:t>
            </w:r>
            <w:r>
              <w:rPr>
                <w:spacing w:val="8"/>
              </w:rPr>
              <w:t>仪</w:t>
            </w:r>
          </w:p>
        </w:tc>
        <w:tc>
          <w:tcPr>
            <w:tcW w:w="2626" w:type="dxa"/>
            <w:vAlign w:val="top"/>
          </w:tcPr>
          <w:p w14:paraId="48FCA3D6">
            <w:pPr>
              <w:spacing w:before="31"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2FD5AACC">
            <w:pPr>
              <w:pStyle w:val="6"/>
              <w:spacing w:before="62" w:line="229" w:lineRule="auto"/>
              <w:ind w:left="447"/>
            </w:pPr>
            <w:r>
              <w:t>套</w:t>
            </w:r>
          </w:p>
        </w:tc>
        <w:tc>
          <w:tcPr>
            <w:tcW w:w="1703" w:type="dxa"/>
            <w:vAlign w:val="top"/>
          </w:tcPr>
          <w:p w14:paraId="67A1069D">
            <w:pPr>
              <w:spacing w:before="31"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5F685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3FD2BA1E">
            <w:pPr>
              <w:pStyle w:val="6"/>
              <w:spacing w:before="62" w:line="228" w:lineRule="auto"/>
              <w:ind w:left="531"/>
            </w:pPr>
            <w:r>
              <w:rPr>
                <w:spacing w:val="9"/>
              </w:rPr>
              <w:t>全自动数字化室内恒温系统</w:t>
            </w:r>
          </w:p>
        </w:tc>
        <w:tc>
          <w:tcPr>
            <w:tcW w:w="2626" w:type="dxa"/>
            <w:vAlign w:val="top"/>
          </w:tcPr>
          <w:p w14:paraId="1FED626A">
            <w:pPr>
              <w:spacing w:before="31"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664FF1E5">
            <w:pPr>
              <w:pStyle w:val="6"/>
              <w:spacing w:before="62" w:line="229" w:lineRule="auto"/>
              <w:ind w:left="447"/>
            </w:pPr>
            <w:r>
              <w:t>套</w:t>
            </w:r>
          </w:p>
        </w:tc>
        <w:tc>
          <w:tcPr>
            <w:tcW w:w="1703" w:type="dxa"/>
            <w:vAlign w:val="top"/>
          </w:tcPr>
          <w:p w14:paraId="13747D38">
            <w:pPr>
              <w:spacing w:before="31"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3D935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8950" w:type="dxa"/>
            <w:gridSpan w:val="4"/>
            <w:vAlign w:val="top"/>
          </w:tcPr>
          <w:p w14:paraId="2D62DFD2">
            <w:pPr>
              <w:pStyle w:val="6"/>
              <w:spacing w:before="62" w:line="229" w:lineRule="auto"/>
              <w:ind w:left="4080"/>
            </w:pPr>
            <w:r>
              <w:rPr>
                <w:b/>
                <w:bCs/>
                <w:spacing w:val="6"/>
              </w:rPr>
              <w:t>辅助设备</w:t>
            </w:r>
          </w:p>
        </w:tc>
      </w:tr>
    </w:tbl>
    <w:p w14:paraId="65ED66BC">
      <w:pPr>
        <w:pStyle w:val="2"/>
        <w:spacing w:line="125" w:lineRule="exact"/>
        <w:rPr>
          <w:sz w:val="10"/>
        </w:rPr>
      </w:pPr>
    </w:p>
    <w:p w14:paraId="398BA992">
      <w:pPr>
        <w:spacing w:line="125" w:lineRule="exact"/>
        <w:rPr>
          <w:sz w:val="10"/>
          <w:szCs w:val="10"/>
        </w:rPr>
        <w:sectPr>
          <w:footerReference r:id="rId64" w:type="default"/>
          <w:pgSz w:w="11906" w:h="16839"/>
          <w:pgMar w:top="400" w:right="1475" w:bottom="1425" w:left="1475" w:header="0" w:footer="1265" w:gutter="0"/>
          <w:cols w:space="720" w:num="1"/>
        </w:sectPr>
      </w:pPr>
    </w:p>
    <w:p w14:paraId="1B907413">
      <w:pPr>
        <w:spacing w:before="13"/>
      </w:pPr>
    </w:p>
    <w:p w14:paraId="3E3D9889">
      <w:pPr>
        <w:spacing w:before="13"/>
      </w:pPr>
    </w:p>
    <w:p w14:paraId="24389469">
      <w:pPr>
        <w:spacing w:before="13"/>
      </w:pPr>
    </w:p>
    <w:p w14:paraId="63146F2A">
      <w:pPr>
        <w:spacing w:before="13"/>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72"/>
        <w:gridCol w:w="2626"/>
        <w:gridCol w:w="1049"/>
        <w:gridCol w:w="1703"/>
      </w:tblGrid>
      <w:tr w14:paraId="38E2E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572" w:type="dxa"/>
            <w:vAlign w:val="top"/>
          </w:tcPr>
          <w:p w14:paraId="08C5AAD8">
            <w:pPr>
              <w:pStyle w:val="6"/>
              <w:spacing w:before="64" w:line="228" w:lineRule="auto"/>
              <w:ind w:left="1376"/>
            </w:pPr>
            <w:r>
              <w:rPr>
                <w:spacing w:val="6"/>
              </w:rPr>
              <w:t>消毒设备</w:t>
            </w:r>
          </w:p>
        </w:tc>
        <w:tc>
          <w:tcPr>
            <w:tcW w:w="2626" w:type="dxa"/>
            <w:vAlign w:val="top"/>
          </w:tcPr>
          <w:p w14:paraId="32C6C01F">
            <w:pPr>
              <w:pStyle w:val="6"/>
              <w:spacing w:before="64" w:line="228" w:lineRule="auto"/>
              <w:ind w:left="512"/>
            </w:pPr>
            <w:r>
              <w:rPr>
                <w:spacing w:val="4"/>
              </w:rPr>
              <w:t>自动喷雾消毒系统</w:t>
            </w:r>
          </w:p>
        </w:tc>
        <w:tc>
          <w:tcPr>
            <w:tcW w:w="1049" w:type="dxa"/>
            <w:vAlign w:val="top"/>
          </w:tcPr>
          <w:p w14:paraId="423E5E1F">
            <w:pPr>
              <w:pStyle w:val="6"/>
              <w:spacing w:before="64" w:line="229" w:lineRule="auto"/>
              <w:ind w:left="447"/>
            </w:pPr>
            <w:r>
              <w:t>套</w:t>
            </w:r>
          </w:p>
        </w:tc>
        <w:tc>
          <w:tcPr>
            <w:tcW w:w="1703" w:type="dxa"/>
            <w:vAlign w:val="top"/>
          </w:tcPr>
          <w:p w14:paraId="091C4B92">
            <w:pPr>
              <w:spacing w:before="102" w:line="192" w:lineRule="auto"/>
              <w:ind w:left="8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7144C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72" w:type="dxa"/>
            <w:vAlign w:val="top"/>
          </w:tcPr>
          <w:p w14:paraId="7D81F412">
            <w:pPr>
              <w:pStyle w:val="6"/>
              <w:spacing w:before="60" w:line="228" w:lineRule="auto"/>
              <w:ind w:left="1477"/>
            </w:pPr>
            <w:r>
              <w:rPr>
                <w:spacing w:val="6"/>
              </w:rPr>
              <w:t>手推车</w:t>
            </w:r>
          </w:p>
        </w:tc>
        <w:tc>
          <w:tcPr>
            <w:tcW w:w="2626" w:type="dxa"/>
            <w:vAlign w:val="top"/>
          </w:tcPr>
          <w:p w14:paraId="186BBFC5">
            <w:pPr>
              <w:spacing w:before="29"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0D6B9B20">
            <w:pPr>
              <w:pStyle w:val="6"/>
              <w:spacing w:before="60" w:line="228" w:lineRule="auto"/>
              <w:ind w:left="445"/>
            </w:pPr>
            <w:r>
              <w:rPr>
                <w:spacing w:val="1"/>
              </w:rPr>
              <w:t>辆</w:t>
            </w:r>
          </w:p>
        </w:tc>
        <w:tc>
          <w:tcPr>
            <w:tcW w:w="1703" w:type="dxa"/>
            <w:vAlign w:val="top"/>
          </w:tcPr>
          <w:p w14:paraId="51318CCE">
            <w:pPr>
              <w:spacing w:before="29" w:line="274" w:lineRule="exact"/>
              <w:ind w:left="8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r>
      <w:tr w14:paraId="0E5D1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6881B431">
            <w:pPr>
              <w:pStyle w:val="6"/>
              <w:spacing w:before="61" w:line="228" w:lineRule="auto"/>
              <w:ind w:left="1477"/>
            </w:pPr>
            <w:r>
              <w:rPr>
                <w:spacing w:val="6"/>
              </w:rPr>
              <w:t>饮水器</w:t>
            </w:r>
          </w:p>
        </w:tc>
        <w:tc>
          <w:tcPr>
            <w:tcW w:w="2626" w:type="dxa"/>
            <w:vAlign w:val="top"/>
          </w:tcPr>
          <w:p w14:paraId="2EAEA808">
            <w:pPr>
              <w:spacing w:before="30"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176A7092">
            <w:pPr>
              <w:pStyle w:val="6"/>
              <w:spacing w:before="60" w:line="231" w:lineRule="auto"/>
              <w:ind w:left="463"/>
            </w:pPr>
            <w:r>
              <w:t>台</w:t>
            </w:r>
          </w:p>
        </w:tc>
        <w:tc>
          <w:tcPr>
            <w:tcW w:w="1703" w:type="dxa"/>
            <w:vAlign w:val="top"/>
          </w:tcPr>
          <w:p w14:paraId="62EC08DA">
            <w:pPr>
              <w:spacing w:before="99" w:line="192" w:lineRule="auto"/>
              <w:ind w:left="8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6DE20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72" w:type="dxa"/>
            <w:vAlign w:val="top"/>
          </w:tcPr>
          <w:p w14:paraId="528810F0">
            <w:pPr>
              <w:pStyle w:val="6"/>
              <w:spacing w:before="61" w:line="228" w:lineRule="auto"/>
              <w:ind w:left="1477"/>
            </w:pPr>
            <w:r>
              <w:rPr>
                <w:spacing w:val="6"/>
              </w:rPr>
              <w:t>运输车</w:t>
            </w:r>
          </w:p>
        </w:tc>
        <w:tc>
          <w:tcPr>
            <w:tcW w:w="2626" w:type="dxa"/>
            <w:vAlign w:val="top"/>
          </w:tcPr>
          <w:p w14:paraId="31C5732E">
            <w:pPr>
              <w:spacing w:before="30"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6335328C">
            <w:pPr>
              <w:pStyle w:val="6"/>
              <w:spacing w:before="61" w:line="228" w:lineRule="auto"/>
              <w:ind w:left="445"/>
            </w:pPr>
            <w:r>
              <w:rPr>
                <w:spacing w:val="1"/>
              </w:rPr>
              <w:t>辆</w:t>
            </w:r>
          </w:p>
        </w:tc>
        <w:tc>
          <w:tcPr>
            <w:tcW w:w="1703" w:type="dxa"/>
            <w:vAlign w:val="top"/>
          </w:tcPr>
          <w:p w14:paraId="18B126B1">
            <w:pPr>
              <w:spacing w:before="30" w:line="274" w:lineRule="exact"/>
              <w:ind w:left="8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r>
      <w:tr w14:paraId="11932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7A9EA587">
            <w:pPr>
              <w:pStyle w:val="6"/>
              <w:spacing w:before="61" w:line="228" w:lineRule="auto"/>
              <w:ind w:left="1271"/>
            </w:pPr>
            <w:r>
              <w:rPr>
                <w:spacing w:val="7"/>
              </w:rPr>
              <w:t>高压清洗机</w:t>
            </w:r>
          </w:p>
        </w:tc>
        <w:tc>
          <w:tcPr>
            <w:tcW w:w="2626" w:type="dxa"/>
            <w:vAlign w:val="top"/>
          </w:tcPr>
          <w:p w14:paraId="21C342CF">
            <w:pPr>
              <w:spacing w:before="31"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14BAF0C3">
            <w:pPr>
              <w:pStyle w:val="6"/>
              <w:spacing w:before="61" w:line="231" w:lineRule="auto"/>
              <w:ind w:left="463"/>
            </w:pPr>
            <w:r>
              <w:t>台</w:t>
            </w:r>
          </w:p>
        </w:tc>
        <w:tc>
          <w:tcPr>
            <w:tcW w:w="1703" w:type="dxa"/>
            <w:vAlign w:val="top"/>
          </w:tcPr>
          <w:p w14:paraId="0D98F57A">
            <w:pPr>
              <w:spacing w:before="100" w:line="192" w:lineRule="auto"/>
              <w:ind w:left="8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4112F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72" w:type="dxa"/>
            <w:vAlign w:val="top"/>
          </w:tcPr>
          <w:p w14:paraId="064B82ED">
            <w:pPr>
              <w:pStyle w:val="6"/>
              <w:spacing w:before="61" w:line="228" w:lineRule="auto"/>
              <w:ind w:left="1268"/>
            </w:pPr>
            <w:r>
              <w:rPr>
                <w:spacing w:val="7"/>
              </w:rPr>
              <w:t>备用发电机</w:t>
            </w:r>
          </w:p>
        </w:tc>
        <w:tc>
          <w:tcPr>
            <w:tcW w:w="2626" w:type="dxa"/>
            <w:vAlign w:val="top"/>
          </w:tcPr>
          <w:p w14:paraId="37E482AF">
            <w:pPr>
              <w:spacing w:before="31" w:line="274" w:lineRule="exact"/>
              <w:ind w:left="1027"/>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450</w:t>
            </w:r>
            <w:r>
              <w:rPr>
                <w:rFonts w:ascii="Times New Roman" w:hAnsi="Times New Roman" w:eastAsia="Times New Roman" w:cs="Times New Roman"/>
                <w:position w:val="1"/>
                <w:sz w:val="20"/>
                <w:szCs w:val="20"/>
              </w:rPr>
              <w:t>kw</w:t>
            </w:r>
          </w:p>
        </w:tc>
        <w:tc>
          <w:tcPr>
            <w:tcW w:w="1049" w:type="dxa"/>
            <w:vAlign w:val="top"/>
          </w:tcPr>
          <w:p w14:paraId="327796E8">
            <w:pPr>
              <w:pStyle w:val="6"/>
              <w:spacing w:before="61" w:line="231" w:lineRule="auto"/>
              <w:ind w:left="463"/>
            </w:pPr>
            <w:r>
              <w:t>台</w:t>
            </w:r>
          </w:p>
        </w:tc>
        <w:tc>
          <w:tcPr>
            <w:tcW w:w="1703" w:type="dxa"/>
            <w:vAlign w:val="top"/>
          </w:tcPr>
          <w:p w14:paraId="4B9DDBCF">
            <w:pPr>
              <w:spacing w:before="31"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7E8F0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950" w:type="dxa"/>
            <w:gridSpan w:val="4"/>
            <w:vAlign w:val="top"/>
          </w:tcPr>
          <w:p w14:paraId="1A16C763">
            <w:pPr>
              <w:pStyle w:val="6"/>
              <w:spacing w:before="63" w:line="228" w:lineRule="auto"/>
              <w:ind w:left="3347"/>
            </w:pPr>
            <w:r>
              <w:rPr>
                <w:b/>
                <w:bCs/>
                <w:spacing w:val="7"/>
              </w:rPr>
              <w:t>异位发酵床综合治污设施</w:t>
            </w:r>
          </w:p>
        </w:tc>
      </w:tr>
      <w:tr w14:paraId="16B4C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572" w:type="dxa"/>
            <w:vAlign w:val="top"/>
          </w:tcPr>
          <w:p w14:paraId="73499ABF">
            <w:pPr>
              <w:pStyle w:val="6"/>
              <w:spacing w:before="62" w:line="228" w:lineRule="auto"/>
              <w:ind w:left="1476"/>
            </w:pPr>
            <w:r>
              <w:rPr>
                <w:spacing w:val="7"/>
              </w:rPr>
              <w:t>搅拌机</w:t>
            </w:r>
          </w:p>
        </w:tc>
        <w:tc>
          <w:tcPr>
            <w:tcW w:w="2626" w:type="dxa"/>
            <w:vAlign w:val="top"/>
          </w:tcPr>
          <w:p w14:paraId="7D4BB4AE">
            <w:pPr>
              <w:spacing w:before="32"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44628F23">
            <w:pPr>
              <w:pStyle w:val="6"/>
              <w:spacing w:before="62" w:line="231" w:lineRule="auto"/>
              <w:ind w:left="463"/>
            </w:pPr>
            <w:r>
              <w:t>台</w:t>
            </w:r>
          </w:p>
        </w:tc>
        <w:tc>
          <w:tcPr>
            <w:tcW w:w="1703" w:type="dxa"/>
            <w:vAlign w:val="top"/>
          </w:tcPr>
          <w:p w14:paraId="474D235B">
            <w:pPr>
              <w:spacing w:before="32"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6DF3A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572" w:type="dxa"/>
            <w:vAlign w:val="top"/>
          </w:tcPr>
          <w:p w14:paraId="16F0A756">
            <w:pPr>
              <w:pStyle w:val="6"/>
              <w:spacing w:before="63" w:line="228" w:lineRule="auto"/>
              <w:ind w:left="1265"/>
            </w:pPr>
            <w:r>
              <w:rPr>
                <w:spacing w:val="8"/>
              </w:rPr>
              <w:t>切割污水泵</w:t>
            </w:r>
          </w:p>
        </w:tc>
        <w:tc>
          <w:tcPr>
            <w:tcW w:w="2626" w:type="dxa"/>
            <w:vAlign w:val="top"/>
          </w:tcPr>
          <w:p w14:paraId="0E42B23D">
            <w:pPr>
              <w:spacing w:before="32"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447138D6">
            <w:pPr>
              <w:pStyle w:val="6"/>
              <w:spacing w:before="62" w:line="231" w:lineRule="auto"/>
              <w:ind w:left="463"/>
            </w:pPr>
            <w:r>
              <w:t>台</w:t>
            </w:r>
          </w:p>
        </w:tc>
        <w:tc>
          <w:tcPr>
            <w:tcW w:w="1703" w:type="dxa"/>
            <w:vAlign w:val="top"/>
          </w:tcPr>
          <w:p w14:paraId="0EF35815">
            <w:pPr>
              <w:spacing w:before="32" w:line="274" w:lineRule="exact"/>
              <w:ind w:left="8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78C76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572" w:type="dxa"/>
            <w:vAlign w:val="top"/>
          </w:tcPr>
          <w:p w14:paraId="53C23A10">
            <w:pPr>
              <w:pStyle w:val="6"/>
              <w:spacing w:before="63" w:line="228" w:lineRule="auto"/>
              <w:ind w:left="1475"/>
            </w:pPr>
            <w:r>
              <w:rPr>
                <w:spacing w:val="7"/>
              </w:rPr>
              <w:t>翻耙机</w:t>
            </w:r>
          </w:p>
        </w:tc>
        <w:tc>
          <w:tcPr>
            <w:tcW w:w="2626" w:type="dxa"/>
            <w:vAlign w:val="top"/>
          </w:tcPr>
          <w:p w14:paraId="52F076B1">
            <w:pPr>
              <w:spacing w:before="33" w:line="274" w:lineRule="exact"/>
              <w:ind w:left="1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49" w:type="dxa"/>
            <w:vAlign w:val="top"/>
          </w:tcPr>
          <w:p w14:paraId="5BDA95D2">
            <w:pPr>
              <w:pStyle w:val="6"/>
              <w:spacing w:before="63" w:line="231" w:lineRule="auto"/>
              <w:ind w:left="463"/>
            </w:pPr>
            <w:r>
              <w:t>台</w:t>
            </w:r>
          </w:p>
        </w:tc>
        <w:tc>
          <w:tcPr>
            <w:tcW w:w="1703" w:type="dxa"/>
            <w:vAlign w:val="top"/>
          </w:tcPr>
          <w:p w14:paraId="7165555B">
            <w:pPr>
              <w:spacing w:before="33" w:line="274" w:lineRule="exact"/>
              <w:ind w:left="80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bl>
    <w:p w14:paraId="1F207EAC">
      <w:pPr>
        <w:pStyle w:val="2"/>
        <w:spacing w:line="370" w:lineRule="auto"/>
      </w:pPr>
    </w:p>
    <w:p w14:paraId="786F51A9">
      <w:pPr>
        <w:spacing w:before="78"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3.1.7</w:t>
      </w:r>
      <w:r>
        <w:rPr>
          <w:rFonts w:ascii="宋体" w:hAnsi="宋体" w:eastAsia="宋体" w:cs="宋体"/>
          <w:b/>
          <w:bCs/>
          <w:spacing w:val="-2"/>
          <w:sz w:val="24"/>
          <w:szCs w:val="24"/>
        </w:rPr>
        <w:t>原辅材料</w:t>
      </w:r>
    </w:p>
    <w:p w14:paraId="13456B9F">
      <w:pPr>
        <w:spacing w:before="204" w:line="362" w:lineRule="auto"/>
        <w:ind w:left="125" w:right="113" w:firstLine="478"/>
        <w:rPr>
          <w:rFonts w:ascii="宋体" w:hAnsi="宋体" w:eastAsia="宋体" w:cs="宋体"/>
          <w:sz w:val="24"/>
          <w:szCs w:val="24"/>
        </w:rPr>
      </w:pPr>
      <w:r>
        <w:rPr>
          <w:rFonts w:ascii="宋体" w:hAnsi="宋体" w:eastAsia="宋体" w:cs="宋体"/>
          <w:spacing w:val="2"/>
          <w:sz w:val="24"/>
          <w:szCs w:val="24"/>
        </w:rPr>
        <w:t>本项目饲料主要是玉米、豆粕、麸皮等，外购的玉米、豆粕、糠等经由饲料加</w:t>
      </w:r>
      <w:r>
        <w:rPr>
          <w:rFonts w:ascii="宋体" w:hAnsi="宋体" w:eastAsia="宋体" w:cs="宋体"/>
          <w:spacing w:val="9"/>
          <w:sz w:val="24"/>
          <w:szCs w:val="24"/>
        </w:rPr>
        <w:t xml:space="preserve"> </w:t>
      </w:r>
      <w:r>
        <w:rPr>
          <w:rFonts w:ascii="宋体" w:hAnsi="宋体" w:eastAsia="宋体" w:cs="宋体"/>
          <w:spacing w:val="-2"/>
          <w:sz w:val="24"/>
          <w:szCs w:val="24"/>
        </w:rPr>
        <w:t>工房加工后给猪只进食。</w:t>
      </w:r>
    </w:p>
    <w:p w14:paraId="0F80709A">
      <w:pPr>
        <w:spacing w:before="3" w:line="379" w:lineRule="auto"/>
        <w:ind w:left="121" w:right="113" w:firstLine="482"/>
        <w:jc w:val="both"/>
        <w:rPr>
          <w:rFonts w:ascii="宋体" w:hAnsi="宋体" w:eastAsia="宋体" w:cs="宋体"/>
          <w:sz w:val="24"/>
          <w:szCs w:val="24"/>
        </w:rPr>
      </w:pPr>
      <w:r>
        <w:rPr>
          <w:rFonts w:ascii="宋体" w:hAnsi="宋体" w:eastAsia="宋体" w:cs="宋体"/>
          <w:spacing w:val="1"/>
          <w:sz w:val="24"/>
          <w:szCs w:val="24"/>
        </w:rPr>
        <w:t>本项目饲料来源严格按照《饲料和饲料添加管理条例》（国务院令第</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z w:val="24"/>
          <w:szCs w:val="24"/>
        </w:rPr>
        <w:t>45</w:t>
      </w:r>
      <w:r>
        <w:rPr>
          <w:rFonts w:ascii="Times New Roman" w:hAnsi="Times New Roman" w:eastAsia="Times New Roman" w:cs="Times New Roman"/>
          <w:spacing w:val="17"/>
          <w:w w:val="101"/>
          <w:sz w:val="24"/>
          <w:szCs w:val="24"/>
        </w:rPr>
        <w:t xml:space="preserve"> </w:t>
      </w:r>
      <w:r>
        <w:rPr>
          <w:rFonts w:ascii="宋体" w:hAnsi="宋体" w:eastAsia="宋体" w:cs="宋体"/>
          <w:sz w:val="24"/>
          <w:szCs w:val="24"/>
        </w:rPr>
        <w:t xml:space="preserve">号） </w:t>
      </w:r>
      <w:r>
        <w:rPr>
          <w:rFonts w:ascii="宋体" w:hAnsi="宋体" w:eastAsia="宋体" w:cs="宋体"/>
          <w:spacing w:val="2"/>
          <w:sz w:val="24"/>
          <w:szCs w:val="24"/>
        </w:rPr>
        <w:t>进行生产和配比，饲料成分及饲料添加剂符合条例规定要求。生产过程中将对使用</w:t>
      </w:r>
      <w:r>
        <w:rPr>
          <w:rFonts w:ascii="宋体" w:hAnsi="宋体" w:eastAsia="宋体" w:cs="宋体"/>
          <w:spacing w:val="8"/>
          <w:sz w:val="24"/>
          <w:szCs w:val="24"/>
        </w:rPr>
        <w:t xml:space="preserve"> </w:t>
      </w:r>
      <w:r>
        <w:rPr>
          <w:rFonts w:ascii="宋体" w:hAnsi="宋体" w:eastAsia="宋体" w:cs="宋体"/>
          <w:sz w:val="24"/>
          <w:szCs w:val="24"/>
        </w:rPr>
        <w:t>到生物除臭剂的猪舍抽风口进行喷洒除臭。原辅材</w:t>
      </w:r>
      <w:r>
        <w:rPr>
          <w:rFonts w:ascii="宋体" w:hAnsi="宋体" w:eastAsia="宋体" w:cs="宋体"/>
          <w:spacing w:val="-1"/>
          <w:sz w:val="24"/>
          <w:szCs w:val="24"/>
        </w:rPr>
        <w:t>料年消耗量见下表。</w:t>
      </w:r>
    </w:p>
    <w:p w14:paraId="67987073">
      <w:pPr>
        <w:spacing w:before="37" w:line="228" w:lineRule="auto"/>
        <w:ind w:left="284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2"/>
          <w:sz w:val="20"/>
          <w:szCs w:val="20"/>
        </w:rPr>
        <w:t xml:space="preserve"> </w:t>
      </w:r>
      <w:r>
        <w:rPr>
          <w:rFonts w:ascii="Times New Roman" w:hAnsi="Times New Roman" w:eastAsia="Times New Roman" w:cs="Times New Roman"/>
          <w:b/>
          <w:bCs/>
          <w:spacing w:val="6"/>
          <w:sz w:val="20"/>
          <w:szCs w:val="20"/>
        </w:rPr>
        <w:t xml:space="preserve">3.1-5 </w:t>
      </w:r>
      <w:r>
        <w:rPr>
          <w:rFonts w:ascii="宋体" w:hAnsi="宋体" w:eastAsia="宋体" w:cs="宋体"/>
          <w:b/>
          <w:bCs/>
          <w:spacing w:val="6"/>
          <w:sz w:val="20"/>
          <w:szCs w:val="20"/>
        </w:rPr>
        <w:t>养猪场主要饲料定额消耗指标表</w:t>
      </w:r>
    </w:p>
    <w:p w14:paraId="3DBE18F8">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4"/>
        <w:gridCol w:w="1489"/>
        <w:gridCol w:w="1489"/>
        <w:gridCol w:w="1489"/>
        <w:gridCol w:w="1492"/>
        <w:gridCol w:w="1497"/>
      </w:tblGrid>
      <w:tr w14:paraId="3C8D2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1494" w:type="dxa"/>
            <w:vMerge w:val="restart"/>
            <w:tcBorders>
              <w:bottom w:val="nil"/>
            </w:tcBorders>
            <w:vAlign w:val="top"/>
          </w:tcPr>
          <w:p w14:paraId="51C5D88C">
            <w:pPr>
              <w:pStyle w:val="6"/>
              <w:spacing w:before="63" w:line="230" w:lineRule="auto"/>
              <w:ind w:left="543"/>
            </w:pPr>
            <w:r>
              <w:rPr>
                <w:spacing w:val="5"/>
              </w:rPr>
              <w:t>序号</w:t>
            </w:r>
          </w:p>
        </w:tc>
        <w:tc>
          <w:tcPr>
            <w:tcW w:w="1489" w:type="dxa"/>
            <w:vMerge w:val="restart"/>
            <w:tcBorders>
              <w:bottom w:val="nil"/>
            </w:tcBorders>
            <w:vAlign w:val="top"/>
          </w:tcPr>
          <w:p w14:paraId="3039752B">
            <w:pPr>
              <w:pStyle w:val="6"/>
              <w:spacing w:before="63" w:line="231" w:lineRule="auto"/>
              <w:ind w:left="540"/>
            </w:pPr>
            <w:r>
              <w:rPr>
                <w:spacing w:val="3"/>
              </w:rPr>
              <w:t>名称</w:t>
            </w:r>
          </w:p>
        </w:tc>
        <w:tc>
          <w:tcPr>
            <w:tcW w:w="1489" w:type="dxa"/>
            <w:vMerge w:val="restart"/>
            <w:tcBorders>
              <w:bottom w:val="nil"/>
            </w:tcBorders>
            <w:vAlign w:val="top"/>
          </w:tcPr>
          <w:p w14:paraId="3E5FD8ED">
            <w:pPr>
              <w:pStyle w:val="6"/>
              <w:spacing w:before="63" w:line="228" w:lineRule="auto"/>
              <w:ind w:left="226"/>
            </w:pPr>
            <w:r>
              <w:rPr>
                <w:spacing w:val="5"/>
              </w:rPr>
              <w:t>数量（头）</w:t>
            </w:r>
          </w:p>
        </w:tc>
        <w:tc>
          <w:tcPr>
            <w:tcW w:w="4478" w:type="dxa"/>
            <w:gridSpan w:val="3"/>
            <w:vAlign w:val="top"/>
          </w:tcPr>
          <w:p w14:paraId="5EED8439">
            <w:pPr>
              <w:pStyle w:val="6"/>
              <w:spacing w:before="63" w:line="228" w:lineRule="auto"/>
              <w:ind w:left="1718"/>
            </w:pPr>
            <w:r>
              <w:rPr>
                <w:spacing w:val="8"/>
              </w:rPr>
              <w:t>饲料消耗量</w:t>
            </w:r>
          </w:p>
        </w:tc>
      </w:tr>
      <w:tr w14:paraId="13B02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494" w:type="dxa"/>
            <w:vMerge w:val="continue"/>
            <w:tcBorders>
              <w:top w:val="nil"/>
            </w:tcBorders>
            <w:vAlign w:val="top"/>
          </w:tcPr>
          <w:p w14:paraId="5CCA7A99">
            <w:pPr>
              <w:rPr>
                <w:rFonts w:ascii="Arial"/>
                <w:sz w:val="21"/>
              </w:rPr>
            </w:pPr>
          </w:p>
        </w:tc>
        <w:tc>
          <w:tcPr>
            <w:tcW w:w="1489" w:type="dxa"/>
            <w:vMerge w:val="continue"/>
            <w:tcBorders>
              <w:top w:val="nil"/>
            </w:tcBorders>
            <w:vAlign w:val="top"/>
          </w:tcPr>
          <w:p w14:paraId="70D192BB">
            <w:pPr>
              <w:rPr>
                <w:rFonts w:ascii="Arial"/>
                <w:sz w:val="21"/>
              </w:rPr>
            </w:pPr>
          </w:p>
        </w:tc>
        <w:tc>
          <w:tcPr>
            <w:tcW w:w="1489" w:type="dxa"/>
            <w:vMerge w:val="continue"/>
            <w:tcBorders>
              <w:top w:val="nil"/>
            </w:tcBorders>
            <w:vAlign w:val="top"/>
          </w:tcPr>
          <w:p w14:paraId="6DE47695">
            <w:pPr>
              <w:rPr>
                <w:rFonts w:ascii="Arial"/>
                <w:sz w:val="21"/>
              </w:rPr>
            </w:pPr>
          </w:p>
        </w:tc>
        <w:tc>
          <w:tcPr>
            <w:tcW w:w="1489" w:type="dxa"/>
            <w:vAlign w:val="top"/>
          </w:tcPr>
          <w:p w14:paraId="3596A6DD">
            <w:pPr>
              <w:pStyle w:val="6"/>
              <w:spacing w:before="60" w:line="270" w:lineRule="auto"/>
              <w:ind w:left="247" w:right="113" w:hanging="127"/>
            </w:pPr>
            <w:r>
              <w:rPr>
                <w:spacing w:val="8"/>
              </w:rPr>
              <w:t>每头猪饲料定</w:t>
            </w:r>
            <w:r>
              <w:t xml:space="preserve"> </w:t>
            </w:r>
            <w:r>
              <w:rPr>
                <w:spacing w:val="5"/>
              </w:rPr>
              <w:t>额（</w:t>
            </w:r>
            <w:r>
              <w:rPr>
                <w:rFonts w:ascii="Times New Roman" w:hAnsi="Times New Roman" w:eastAsia="Times New Roman" w:cs="Times New Roman"/>
              </w:rPr>
              <w:t>kg</w:t>
            </w:r>
            <w:r>
              <w:rPr>
                <w:rFonts w:ascii="Times New Roman" w:hAnsi="Times New Roman" w:eastAsia="Times New Roman" w:cs="Times New Roman"/>
                <w:spacing w:val="5"/>
              </w:rPr>
              <w:t>/d</w:t>
            </w:r>
            <w:r>
              <w:rPr>
                <w:spacing w:val="5"/>
              </w:rPr>
              <w:t>）</w:t>
            </w:r>
          </w:p>
        </w:tc>
        <w:tc>
          <w:tcPr>
            <w:tcW w:w="1492" w:type="dxa"/>
            <w:vAlign w:val="top"/>
          </w:tcPr>
          <w:p w14:paraId="003E65F1">
            <w:pPr>
              <w:pStyle w:val="6"/>
              <w:spacing w:before="59" w:line="228" w:lineRule="auto"/>
              <w:ind w:left="121"/>
            </w:pPr>
            <w:r>
              <w:rPr>
                <w:spacing w:val="8"/>
              </w:rPr>
              <w:t>饲料日消耗量</w:t>
            </w:r>
          </w:p>
          <w:p w14:paraId="24A856E2">
            <w:pPr>
              <w:pStyle w:val="6"/>
              <w:spacing w:before="48" w:line="274" w:lineRule="exact"/>
              <w:ind w:left="367"/>
            </w:pPr>
            <w:r>
              <w:rPr>
                <w:spacing w:val="2"/>
                <w:position w:val="3"/>
              </w:rPr>
              <w:t>（</w:t>
            </w:r>
            <w:r>
              <w:rPr>
                <w:rFonts w:ascii="Times New Roman" w:hAnsi="Times New Roman" w:eastAsia="Times New Roman" w:cs="Times New Roman"/>
                <w:position w:val="3"/>
              </w:rPr>
              <w:t>kg</w:t>
            </w:r>
            <w:r>
              <w:rPr>
                <w:rFonts w:ascii="Times New Roman" w:hAnsi="Times New Roman" w:eastAsia="Times New Roman" w:cs="Times New Roman"/>
                <w:spacing w:val="2"/>
                <w:position w:val="3"/>
              </w:rPr>
              <w:t>/d</w:t>
            </w:r>
            <w:r>
              <w:rPr>
                <w:spacing w:val="2"/>
                <w:position w:val="3"/>
              </w:rPr>
              <w:t>）</w:t>
            </w:r>
          </w:p>
        </w:tc>
        <w:tc>
          <w:tcPr>
            <w:tcW w:w="1497" w:type="dxa"/>
            <w:vAlign w:val="top"/>
          </w:tcPr>
          <w:p w14:paraId="484A5AB7">
            <w:pPr>
              <w:pStyle w:val="6"/>
              <w:spacing w:before="59" w:line="228" w:lineRule="auto"/>
              <w:ind w:left="122"/>
            </w:pPr>
            <w:r>
              <w:rPr>
                <w:spacing w:val="8"/>
              </w:rPr>
              <w:t>饲料年消耗量</w:t>
            </w:r>
          </w:p>
          <w:p w14:paraId="332E5B7D">
            <w:pPr>
              <w:spacing w:before="48" w:line="274" w:lineRule="exact"/>
              <w:ind w:left="581"/>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(t/a)</w:t>
            </w:r>
          </w:p>
        </w:tc>
      </w:tr>
      <w:tr w14:paraId="45307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494" w:type="dxa"/>
            <w:vAlign w:val="top"/>
          </w:tcPr>
          <w:p w14:paraId="75E2F393">
            <w:pPr>
              <w:spacing w:before="31" w:line="274" w:lineRule="exact"/>
              <w:ind w:left="71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489" w:type="dxa"/>
            <w:vAlign w:val="top"/>
          </w:tcPr>
          <w:p w14:paraId="6B198816">
            <w:pPr>
              <w:pStyle w:val="6"/>
              <w:spacing w:before="61" w:line="228" w:lineRule="auto"/>
              <w:ind w:left="442"/>
            </w:pPr>
            <w:r>
              <w:rPr>
                <w:spacing w:val="4"/>
              </w:rPr>
              <w:t>育肥猪</w:t>
            </w:r>
          </w:p>
        </w:tc>
        <w:tc>
          <w:tcPr>
            <w:tcW w:w="1489" w:type="dxa"/>
            <w:vAlign w:val="top"/>
          </w:tcPr>
          <w:p w14:paraId="59C1305B">
            <w:pPr>
              <w:spacing w:before="31" w:line="274" w:lineRule="exact"/>
              <w:ind w:left="5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7000</w:t>
            </w:r>
          </w:p>
        </w:tc>
        <w:tc>
          <w:tcPr>
            <w:tcW w:w="1489" w:type="dxa"/>
            <w:vAlign w:val="top"/>
          </w:tcPr>
          <w:p w14:paraId="5CC905B2">
            <w:pPr>
              <w:spacing w:before="31" w:line="274" w:lineRule="exact"/>
              <w:ind w:left="69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492" w:type="dxa"/>
            <w:vAlign w:val="top"/>
          </w:tcPr>
          <w:p w14:paraId="2E530C34">
            <w:pPr>
              <w:spacing w:before="31"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21000</w:t>
            </w:r>
          </w:p>
        </w:tc>
        <w:tc>
          <w:tcPr>
            <w:tcW w:w="1497" w:type="dxa"/>
            <w:vAlign w:val="top"/>
          </w:tcPr>
          <w:p w14:paraId="7CC3695C">
            <w:pPr>
              <w:spacing w:before="31" w:line="274" w:lineRule="exact"/>
              <w:ind w:left="5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7665</w:t>
            </w:r>
          </w:p>
        </w:tc>
      </w:tr>
      <w:tr w14:paraId="61086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983" w:type="dxa"/>
            <w:gridSpan w:val="2"/>
            <w:vAlign w:val="top"/>
          </w:tcPr>
          <w:p w14:paraId="5F410765">
            <w:pPr>
              <w:pStyle w:val="6"/>
              <w:spacing w:before="62" w:line="230" w:lineRule="auto"/>
              <w:ind w:left="1288"/>
            </w:pPr>
            <w:r>
              <w:rPr>
                <w:spacing w:val="4"/>
              </w:rPr>
              <w:t>合计</w:t>
            </w:r>
          </w:p>
        </w:tc>
        <w:tc>
          <w:tcPr>
            <w:tcW w:w="1489" w:type="dxa"/>
            <w:vAlign w:val="top"/>
          </w:tcPr>
          <w:p w14:paraId="2DFB7250">
            <w:pPr>
              <w:spacing w:before="32" w:line="274" w:lineRule="exact"/>
              <w:ind w:left="5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7000</w:t>
            </w:r>
          </w:p>
        </w:tc>
        <w:tc>
          <w:tcPr>
            <w:tcW w:w="1489" w:type="dxa"/>
            <w:vAlign w:val="top"/>
          </w:tcPr>
          <w:p w14:paraId="7E865A71">
            <w:pPr>
              <w:spacing w:before="32" w:line="274" w:lineRule="exact"/>
              <w:ind w:left="7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2" w:type="dxa"/>
            <w:vAlign w:val="top"/>
          </w:tcPr>
          <w:p w14:paraId="4FC0CC47">
            <w:pPr>
              <w:spacing w:before="32"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21000</w:t>
            </w:r>
          </w:p>
        </w:tc>
        <w:tc>
          <w:tcPr>
            <w:tcW w:w="1497" w:type="dxa"/>
            <w:vAlign w:val="top"/>
          </w:tcPr>
          <w:p w14:paraId="7BC3AE95">
            <w:pPr>
              <w:spacing w:before="32" w:line="274" w:lineRule="exact"/>
              <w:ind w:left="5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7665</w:t>
            </w:r>
          </w:p>
        </w:tc>
      </w:tr>
    </w:tbl>
    <w:p w14:paraId="71E9D1CF">
      <w:pPr>
        <w:spacing w:before="140" w:line="228" w:lineRule="auto"/>
        <w:ind w:left="3243"/>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5"/>
          <w:sz w:val="20"/>
          <w:szCs w:val="20"/>
        </w:rPr>
        <w:t xml:space="preserve"> </w:t>
      </w:r>
      <w:r>
        <w:rPr>
          <w:rFonts w:ascii="Times New Roman" w:hAnsi="Times New Roman" w:eastAsia="Times New Roman" w:cs="Times New Roman"/>
          <w:b/>
          <w:bCs/>
          <w:spacing w:val="6"/>
          <w:sz w:val="20"/>
          <w:szCs w:val="20"/>
        </w:rPr>
        <w:t xml:space="preserve">3.1-6  </w:t>
      </w:r>
      <w:r>
        <w:rPr>
          <w:rFonts w:ascii="宋体" w:hAnsi="宋体" w:eastAsia="宋体" w:cs="宋体"/>
          <w:b/>
          <w:bCs/>
          <w:spacing w:val="6"/>
          <w:sz w:val="20"/>
          <w:szCs w:val="20"/>
        </w:rPr>
        <w:t>主要原辅料用量及来源</w:t>
      </w:r>
    </w:p>
    <w:p w14:paraId="5D560D25">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2200"/>
        <w:gridCol w:w="1701"/>
        <w:gridCol w:w="708"/>
        <w:gridCol w:w="3170"/>
      </w:tblGrid>
      <w:tr w14:paraId="23910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71" w:type="dxa"/>
            <w:vAlign w:val="top"/>
          </w:tcPr>
          <w:p w14:paraId="45804586">
            <w:pPr>
              <w:pStyle w:val="6"/>
              <w:spacing w:before="63" w:line="228" w:lineRule="auto"/>
              <w:ind w:left="381"/>
            </w:pPr>
            <w:r>
              <w:rPr>
                <w:spacing w:val="4"/>
              </w:rPr>
              <w:t>来源</w:t>
            </w:r>
          </w:p>
        </w:tc>
        <w:tc>
          <w:tcPr>
            <w:tcW w:w="2200" w:type="dxa"/>
            <w:vAlign w:val="top"/>
          </w:tcPr>
          <w:p w14:paraId="0D666F32">
            <w:pPr>
              <w:pStyle w:val="6"/>
              <w:spacing w:before="62" w:line="231" w:lineRule="auto"/>
              <w:ind w:left="897"/>
            </w:pPr>
            <w:r>
              <w:rPr>
                <w:spacing w:val="3"/>
              </w:rPr>
              <w:t>名称</w:t>
            </w:r>
          </w:p>
        </w:tc>
        <w:tc>
          <w:tcPr>
            <w:tcW w:w="1701" w:type="dxa"/>
            <w:vAlign w:val="top"/>
          </w:tcPr>
          <w:p w14:paraId="583E9DB9">
            <w:pPr>
              <w:pStyle w:val="6"/>
              <w:spacing w:before="63" w:line="228" w:lineRule="auto"/>
              <w:ind w:left="540"/>
            </w:pPr>
            <w:r>
              <w:rPr>
                <w:spacing w:val="6"/>
              </w:rPr>
              <w:t>年耗量</w:t>
            </w:r>
          </w:p>
        </w:tc>
        <w:tc>
          <w:tcPr>
            <w:tcW w:w="708" w:type="dxa"/>
            <w:vAlign w:val="top"/>
          </w:tcPr>
          <w:p w14:paraId="0CB26DE7">
            <w:pPr>
              <w:pStyle w:val="6"/>
              <w:spacing w:before="63" w:line="228" w:lineRule="auto"/>
              <w:ind w:left="150"/>
            </w:pPr>
            <w:r>
              <w:rPr>
                <w:spacing w:val="4"/>
              </w:rPr>
              <w:t>来源</w:t>
            </w:r>
          </w:p>
        </w:tc>
        <w:tc>
          <w:tcPr>
            <w:tcW w:w="3170" w:type="dxa"/>
            <w:vAlign w:val="top"/>
          </w:tcPr>
          <w:p w14:paraId="17A387AE">
            <w:pPr>
              <w:pStyle w:val="6"/>
              <w:spacing w:before="63" w:line="229" w:lineRule="auto"/>
              <w:ind w:left="1171"/>
            </w:pPr>
            <w:r>
              <w:rPr>
                <w:spacing w:val="6"/>
              </w:rPr>
              <w:t>主要成分</w:t>
            </w:r>
          </w:p>
        </w:tc>
      </w:tr>
      <w:tr w14:paraId="0E09B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171" w:type="dxa"/>
            <w:vMerge w:val="restart"/>
            <w:tcBorders>
              <w:bottom w:val="nil"/>
            </w:tcBorders>
            <w:vAlign w:val="top"/>
          </w:tcPr>
          <w:p w14:paraId="6073E3DE">
            <w:pPr>
              <w:spacing w:line="300" w:lineRule="auto"/>
              <w:rPr>
                <w:rFonts w:ascii="Arial"/>
                <w:sz w:val="21"/>
              </w:rPr>
            </w:pPr>
          </w:p>
          <w:p w14:paraId="6743F428">
            <w:pPr>
              <w:spacing w:line="300" w:lineRule="auto"/>
              <w:rPr>
                <w:rFonts w:ascii="Arial"/>
                <w:sz w:val="21"/>
              </w:rPr>
            </w:pPr>
          </w:p>
          <w:p w14:paraId="74ADD407">
            <w:pPr>
              <w:spacing w:line="300" w:lineRule="auto"/>
              <w:rPr>
                <w:rFonts w:ascii="Arial"/>
                <w:sz w:val="21"/>
              </w:rPr>
            </w:pPr>
          </w:p>
          <w:p w14:paraId="14AE8AC2">
            <w:pPr>
              <w:pStyle w:val="6"/>
              <w:spacing w:before="65" w:line="229" w:lineRule="auto"/>
              <w:ind w:left="118"/>
            </w:pPr>
            <w:r>
              <w:rPr>
                <w:spacing w:val="-13"/>
              </w:rPr>
              <w:t>主（辅）料</w:t>
            </w:r>
          </w:p>
        </w:tc>
        <w:tc>
          <w:tcPr>
            <w:tcW w:w="2200" w:type="dxa"/>
            <w:vAlign w:val="top"/>
          </w:tcPr>
          <w:p w14:paraId="5A338C91">
            <w:pPr>
              <w:pStyle w:val="6"/>
              <w:spacing w:before="97" w:line="229" w:lineRule="auto"/>
              <w:ind w:left="893"/>
            </w:pPr>
            <w:r>
              <w:rPr>
                <w:spacing w:val="5"/>
              </w:rPr>
              <w:t>饲料</w:t>
            </w:r>
          </w:p>
        </w:tc>
        <w:tc>
          <w:tcPr>
            <w:tcW w:w="1701" w:type="dxa"/>
            <w:vAlign w:val="top"/>
          </w:tcPr>
          <w:p w14:paraId="095839C2">
            <w:pPr>
              <w:spacing w:before="66" w:line="274" w:lineRule="exact"/>
              <w:ind w:left="5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7665t/a</w:t>
            </w:r>
          </w:p>
        </w:tc>
        <w:tc>
          <w:tcPr>
            <w:tcW w:w="708" w:type="dxa"/>
            <w:vAlign w:val="top"/>
          </w:tcPr>
          <w:p w14:paraId="71B1E834">
            <w:pPr>
              <w:pStyle w:val="6"/>
              <w:spacing w:before="97" w:line="229" w:lineRule="auto"/>
              <w:ind w:left="153"/>
            </w:pPr>
            <w:r>
              <w:rPr>
                <w:spacing w:val="2"/>
              </w:rPr>
              <w:t>外购</w:t>
            </w:r>
          </w:p>
        </w:tc>
        <w:tc>
          <w:tcPr>
            <w:tcW w:w="3170" w:type="dxa"/>
            <w:vAlign w:val="top"/>
          </w:tcPr>
          <w:p w14:paraId="491FB9F2">
            <w:pPr>
              <w:pStyle w:val="6"/>
              <w:spacing w:before="82" w:line="220" w:lineRule="auto"/>
              <w:ind w:left="675"/>
              <w:rPr>
                <w:sz w:val="24"/>
                <w:szCs w:val="24"/>
              </w:rPr>
            </w:pPr>
            <w:r>
              <w:rPr>
                <w:spacing w:val="2"/>
              </w:rPr>
              <w:t>玉米、</w:t>
            </w:r>
            <w:r>
              <w:rPr>
                <w:spacing w:val="2"/>
                <w:sz w:val="24"/>
                <w:szCs w:val="24"/>
              </w:rPr>
              <w:t>豆粕、麸皮</w:t>
            </w:r>
          </w:p>
        </w:tc>
      </w:tr>
      <w:tr w14:paraId="6FDF3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171" w:type="dxa"/>
            <w:vMerge w:val="continue"/>
            <w:tcBorders>
              <w:top w:val="nil"/>
              <w:bottom w:val="nil"/>
            </w:tcBorders>
            <w:vAlign w:val="top"/>
          </w:tcPr>
          <w:p w14:paraId="73525236">
            <w:pPr>
              <w:rPr>
                <w:rFonts w:ascii="Arial"/>
                <w:sz w:val="21"/>
              </w:rPr>
            </w:pPr>
          </w:p>
        </w:tc>
        <w:tc>
          <w:tcPr>
            <w:tcW w:w="2200" w:type="dxa"/>
            <w:vAlign w:val="top"/>
          </w:tcPr>
          <w:p w14:paraId="3E1F04EE">
            <w:pPr>
              <w:pStyle w:val="6"/>
              <w:spacing w:before="259" w:line="229" w:lineRule="auto"/>
              <w:ind w:left="696"/>
            </w:pPr>
            <w:r>
              <w:rPr>
                <w:spacing w:val="4"/>
              </w:rPr>
              <w:t>防疫药品</w:t>
            </w:r>
          </w:p>
        </w:tc>
        <w:tc>
          <w:tcPr>
            <w:tcW w:w="1701" w:type="dxa"/>
            <w:vAlign w:val="top"/>
          </w:tcPr>
          <w:p w14:paraId="4B1BA629">
            <w:pPr>
              <w:spacing w:before="228"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0.1t/a</w:t>
            </w:r>
          </w:p>
        </w:tc>
        <w:tc>
          <w:tcPr>
            <w:tcW w:w="708" w:type="dxa"/>
            <w:vMerge w:val="restart"/>
            <w:tcBorders>
              <w:bottom w:val="nil"/>
            </w:tcBorders>
            <w:vAlign w:val="top"/>
          </w:tcPr>
          <w:p w14:paraId="1E6CAB56">
            <w:pPr>
              <w:spacing w:line="263" w:lineRule="auto"/>
              <w:rPr>
                <w:rFonts w:ascii="Arial"/>
                <w:sz w:val="21"/>
              </w:rPr>
            </w:pPr>
          </w:p>
          <w:p w14:paraId="30A6B111">
            <w:pPr>
              <w:spacing w:line="264" w:lineRule="auto"/>
              <w:rPr>
                <w:rFonts w:ascii="Arial"/>
                <w:sz w:val="21"/>
              </w:rPr>
            </w:pPr>
          </w:p>
          <w:p w14:paraId="0F398D66">
            <w:pPr>
              <w:pStyle w:val="6"/>
              <w:spacing w:before="65" w:line="229" w:lineRule="auto"/>
              <w:ind w:left="153"/>
            </w:pPr>
            <w:r>
              <w:rPr>
                <w:spacing w:val="2"/>
              </w:rPr>
              <w:t>外购</w:t>
            </w:r>
          </w:p>
        </w:tc>
        <w:tc>
          <w:tcPr>
            <w:tcW w:w="3170" w:type="dxa"/>
            <w:vAlign w:val="top"/>
          </w:tcPr>
          <w:p w14:paraId="0D1A4423">
            <w:pPr>
              <w:pStyle w:val="6"/>
              <w:spacing w:before="259" w:line="228" w:lineRule="auto"/>
              <w:ind w:left="540"/>
            </w:pPr>
            <w:r>
              <w:rPr>
                <w:spacing w:val="8"/>
              </w:rPr>
              <w:t>猪瘟疫苗、蓝耳疫苗等</w:t>
            </w:r>
          </w:p>
        </w:tc>
      </w:tr>
      <w:tr w14:paraId="19434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71" w:type="dxa"/>
            <w:vMerge w:val="continue"/>
            <w:tcBorders>
              <w:top w:val="nil"/>
              <w:bottom w:val="nil"/>
            </w:tcBorders>
            <w:vAlign w:val="top"/>
          </w:tcPr>
          <w:p w14:paraId="5081E0BE">
            <w:pPr>
              <w:rPr>
                <w:rFonts w:ascii="Arial"/>
                <w:sz w:val="21"/>
              </w:rPr>
            </w:pPr>
          </w:p>
        </w:tc>
        <w:tc>
          <w:tcPr>
            <w:tcW w:w="2200" w:type="dxa"/>
            <w:vAlign w:val="top"/>
          </w:tcPr>
          <w:p w14:paraId="35493161">
            <w:pPr>
              <w:pStyle w:val="6"/>
              <w:spacing w:before="62" w:line="229" w:lineRule="auto"/>
              <w:ind w:left="895"/>
            </w:pPr>
            <w:r>
              <w:rPr>
                <w:spacing w:val="4"/>
              </w:rPr>
              <w:t>兽药</w:t>
            </w:r>
          </w:p>
        </w:tc>
        <w:tc>
          <w:tcPr>
            <w:tcW w:w="1701" w:type="dxa"/>
            <w:vAlign w:val="top"/>
          </w:tcPr>
          <w:p w14:paraId="32F6B863">
            <w:pPr>
              <w:spacing w:before="31"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0.4t/a</w:t>
            </w:r>
          </w:p>
        </w:tc>
        <w:tc>
          <w:tcPr>
            <w:tcW w:w="708" w:type="dxa"/>
            <w:vMerge w:val="continue"/>
            <w:tcBorders>
              <w:top w:val="nil"/>
              <w:bottom w:val="nil"/>
            </w:tcBorders>
            <w:vAlign w:val="top"/>
          </w:tcPr>
          <w:p w14:paraId="36A18DFE">
            <w:pPr>
              <w:rPr>
                <w:rFonts w:ascii="Arial"/>
                <w:sz w:val="21"/>
              </w:rPr>
            </w:pPr>
          </w:p>
        </w:tc>
        <w:tc>
          <w:tcPr>
            <w:tcW w:w="3170" w:type="dxa"/>
            <w:vAlign w:val="top"/>
          </w:tcPr>
          <w:p w14:paraId="53C04F32">
            <w:pPr>
              <w:pStyle w:val="6"/>
              <w:spacing w:before="62" w:line="228" w:lineRule="auto"/>
              <w:ind w:left="549"/>
            </w:pPr>
            <w:r>
              <w:rPr>
                <w:spacing w:val="8"/>
              </w:rPr>
              <w:t>阿莫西林、林可霉素等</w:t>
            </w:r>
          </w:p>
        </w:tc>
      </w:tr>
      <w:tr w14:paraId="67F99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71" w:type="dxa"/>
            <w:vMerge w:val="continue"/>
            <w:tcBorders>
              <w:top w:val="nil"/>
              <w:bottom w:val="nil"/>
            </w:tcBorders>
            <w:vAlign w:val="top"/>
          </w:tcPr>
          <w:p w14:paraId="47879DEC">
            <w:pPr>
              <w:rPr>
                <w:rFonts w:ascii="Arial"/>
                <w:sz w:val="21"/>
              </w:rPr>
            </w:pPr>
          </w:p>
        </w:tc>
        <w:tc>
          <w:tcPr>
            <w:tcW w:w="2200" w:type="dxa"/>
            <w:vAlign w:val="top"/>
          </w:tcPr>
          <w:p w14:paraId="24BCDA9D">
            <w:pPr>
              <w:pStyle w:val="6"/>
              <w:spacing w:before="62" w:line="228" w:lineRule="auto"/>
              <w:ind w:left="793"/>
            </w:pPr>
            <w:r>
              <w:rPr>
                <w:spacing w:val="5"/>
              </w:rPr>
              <w:t>消毒剂</w:t>
            </w:r>
          </w:p>
        </w:tc>
        <w:tc>
          <w:tcPr>
            <w:tcW w:w="1701" w:type="dxa"/>
            <w:vAlign w:val="top"/>
          </w:tcPr>
          <w:p w14:paraId="2EAC6840">
            <w:pPr>
              <w:spacing w:before="32" w:line="274" w:lineRule="exact"/>
              <w:ind w:left="6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2.3t/a</w:t>
            </w:r>
          </w:p>
        </w:tc>
        <w:tc>
          <w:tcPr>
            <w:tcW w:w="708" w:type="dxa"/>
            <w:vMerge w:val="continue"/>
            <w:tcBorders>
              <w:top w:val="nil"/>
            </w:tcBorders>
            <w:vAlign w:val="top"/>
          </w:tcPr>
          <w:p w14:paraId="63B9ABA6">
            <w:pPr>
              <w:rPr>
                <w:rFonts w:ascii="Arial"/>
                <w:sz w:val="21"/>
              </w:rPr>
            </w:pPr>
          </w:p>
        </w:tc>
        <w:tc>
          <w:tcPr>
            <w:tcW w:w="3170" w:type="dxa"/>
            <w:vAlign w:val="top"/>
          </w:tcPr>
          <w:p w14:paraId="0E9B74C7">
            <w:pPr>
              <w:pStyle w:val="6"/>
              <w:spacing w:before="62" w:line="228" w:lineRule="auto"/>
              <w:ind w:left="854"/>
            </w:pPr>
            <w:r>
              <w:rPr>
                <w:spacing w:val="8"/>
              </w:rPr>
              <w:t>碘、氯、醛制剂</w:t>
            </w:r>
          </w:p>
        </w:tc>
      </w:tr>
      <w:tr w14:paraId="6A72A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71" w:type="dxa"/>
            <w:vMerge w:val="continue"/>
            <w:tcBorders>
              <w:top w:val="nil"/>
            </w:tcBorders>
            <w:vAlign w:val="top"/>
          </w:tcPr>
          <w:p w14:paraId="5C589191">
            <w:pPr>
              <w:rPr>
                <w:rFonts w:ascii="Arial"/>
                <w:sz w:val="21"/>
              </w:rPr>
            </w:pPr>
          </w:p>
        </w:tc>
        <w:tc>
          <w:tcPr>
            <w:tcW w:w="2200" w:type="dxa"/>
            <w:vAlign w:val="top"/>
          </w:tcPr>
          <w:p w14:paraId="19D2388F">
            <w:pPr>
              <w:pStyle w:val="6"/>
              <w:spacing w:before="63" w:line="228" w:lineRule="auto"/>
              <w:ind w:left="801"/>
            </w:pPr>
            <w:r>
              <w:rPr>
                <w:spacing w:val="2"/>
              </w:rPr>
              <w:t>除臭剂</w:t>
            </w:r>
          </w:p>
        </w:tc>
        <w:tc>
          <w:tcPr>
            <w:tcW w:w="1701" w:type="dxa"/>
            <w:vAlign w:val="top"/>
          </w:tcPr>
          <w:p w14:paraId="08A8AD97">
            <w:pPr>
              <w:spacing w:before="33" w:line="274" w:lineRule="exact"/>
              <w:ind w:left="69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6t/a</w:t>
            </w:r>
          </w:p>
        </w:tc>
        <w:tc>
          <w:tcPr>
            <w:tcW w:w="708" w:type="dxa"/>
            <w:vAlign w:val="top"/>
          </w:tcPr>
          <w:p w14:paraId="5FC1A287">
            <w:pPr>
              <w:pStyle w:val="6"/>
              <w:spacing w:before="64" w:line="229" w:lineRule="auto"/>
              <w:ind w:left="153"/>
            </w:pPr>
            <w:r>
              <w:rPr>
                <w:spacing w:val="2"/>
              </w:rPr>
              <w:t>外购</w:t>
            </w:r>
          </w:p>
        </w:tc>
        <w:tc>
          <w:tcPr>
            <w:tcW w:w="3170" w:type="dxa"/>
            <w:vAlign w:val="top"/>
          </w:tcPr>
          <w:p w14:paraId="7C25DE11">
            <w:pPr>
              <w:pStyle w:val="6"/>
              <w:spacing w:before="64" w:line="228" w:lineRule="auto"/>
              <w:ind w:left="1282"/>
            </w:pPr>
            <w:r>
              <w:rPr>
                <w:spacing w:val="4"/>
              </w:rPr>
              <w:t>百芬百</w:t>
            </w:r>
          </w:p>
        </w:tc>
      </w:tr>
    </w:tbl>
    <w:p w14:paraId="5DEFB92D">
      <w:pPr>
        <w:pStyle w:val="2"/>
        <w:spacing w:line="325" w:lineRule="auto"/>
      </w:pPr>
    </w:p>
    <w:p w14:paraId="613F27B3">
      <w:pPr>
        <w:spacing w:before="102" w:line="226" w:lineRule="auto"/>
        <w:ind w:left="118"/>
        <w:outlineLvl w:val="1"/>
        <w:rPr>
          <w:rFonts w:ascii="宋体" w:hAnsi="宋体" w:eastAsia="宋体" w:cs="宋体"/>
          <w:sz w:val="31"/>
          <w:szCs w:val="31"/>
        </w:rPr>
      </w:pPr>
      <w:bookmarkStart w:id="21" w:name="bookmark19"/>
      <w:bookmarkEnd w:id="21"/>
      <w:r>
        <w:rPr>
          <w:rFonts w:ascii="Times New Roman" w:hAnsi="Times New Roman" w:eastAsia="Times New Roman" w:cs="Times New Roman"/>
          <w:b/>
          <w:bCs/>
          <w:spacing w:val="5"/>
          <w:sz w:val="31"/>
          <w:szCs w:val="31"/>
        </w:rPr>
        <w:t>3.2</w:t>
      </w:r>
      <w:r>
        <w:rPr>
          <w:rFonts w:ascii="宋体" w:hAnsi="宋体" w:eastAsia="宋体" w:cs="宋体"/>
          <w:b/>
          <w:bCs/>
          <w:spacing w:val="5"/>
          <w:sz w:val="31"/>
          <w:szCs w:val="31"/>
        </w:rPr>
        <w:t>辅助公用工程</w:t>
      </w:r>
    </w:p>
    <w:p w14:paraId="3590A7A6">
      <w:pPr>
        <w:pStyle w:val="2"/>
        <w:spacing w:line="409" w:lineRule="auto"/>
      </w:pPr>
    </w:p>
    <w:p w14:paraId="03B80472">
      <w:pPr>
        <w:spacing w:before="78" w:line="220"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3.2.1</w:t>
      </w:r>
      <w:r>
        <w:rPr>
          <w:rFonts w:ascii="宋体" w:hAnsi="宋体" w:eastAsia="宋体" w:cs="宋体"/>
          <w:b/>
          <w:bCs/>
          <w:spacing w:val="-2"/>
          <w:sz w:val="24"/>
          <w:szCs w:val="24"/>
        </w:rPr>
        <w:t>给排水工程</w:t>
      </w:r>
    </w:p>
    <w:p w14:paraId="4C382919">
      <w:pPr>
        <w:spacing w:before="203" w:line="220" w:lineRule="auto"/>
        <w:ind w:left="609"/>
        <w:rPr>
          <w:rFonts w:ascii="宋体" w:hAnsi="宋体" w:eastAsia="宋体" w:cs="宋体"/>
          <w:sz w:val="24"/>
          <w:szCs w:val="24"/>
        </w:rPr>
      </w:pPr>
      <w:r>
        <w:rPr>
          <w:rFonts w:ascii="Times New Roman" w:hAnsi="Times New Roman" w:eastAsia="Times New Roman" w:cs="Times New Roman"/>
          <w:b/>
          <w:bCs/>
          <w:spacing w:val="-12"/>
          <w:sz w:val="24"/>
          <w:szCs w:val="24"/>
        </w:rPr>
        <w:t>1</w:t>
      </w:r>
      <w:r>
        <w:rPr>
          <w:rFonts w:ascii="Times New Roman" w:hAnsi="Times New Roman" w:eastAsia="Times New Roman" w:cs="Times New Roman"/>
          <w:b/>
          <w:bCs/>
          <w:spacing w:val="-34"/>
          <w:sz w:val="24"/>
          <w:szCs w:val="24"/>
        </w:rPr>
        <w:t xml:space="preserve"> </w:t>
      </w:r>
      <w:r>
        <w:rPr>
          <w:rFonts w:ascii="宋体" w:hAnsi="宋体" w:eastAsia="宋体" w:cs="宋体"/>
          <w:b/>
          <w:bCs/>
          <w:spacing w:val="-12"/>
          <w:sz w:val="24"/>
          <w:szCs w:val="24"/>
        </w:rPr>
        <w:t>、给水</w:t>
      </w:r>
    </w:p>
    <w:p w14:paraId="082990F0">
      <w:pPr>
        <w:spacing w:line="220" w:lineRule="auto"/>
        <w:rPr>
          <w:rFonts w:ascii="宋体" w:hAnsi="宋体" w:eastAsia="宋体" w:cs="宋体"/>
          <w:sz w:val="24"/>
          <w:szCs w:val="24"/>
        </w:rPr>
        <w:sectPr>
          <w:footerReference r:id="rId65" w:type="default"/>
          <w:pgSz w:w="11906" w:h="16839"/>
          <w:pgMar w:top="400" w:right="1475" w:bottom="1485" w:left="1475" w:header="0" w:footer="1249" w:gutter="0"/>
          <w:cols w:space="720" w:num="1"/>
        </w:sectPr>
      </w:pPr>
    </w:p>
    <w:p w14:paraId="286EC9DC">
      <w:pPr>
        <w:pStyle w:val="2"/>
        <w:spacing w:line="264" w:lineRule="auto"/>
      </w:pPr>
    </w:p>
    <w:p w14:paraId="7103E564">
      <w:pPr>
        <w:pStyle w:val="2"/>
        <w:spacing w:line="264" w:lineRule="auto"/>
      </w:pPr>
    </w:p>
    <w:p w14:paraId="7FA15F47">
      <w:pPr>
        <w:pStyle w:val="2"/>
        <w:spacing w:line="264" w:lineRule="auto"/>
      </w:pPr>
    </w:p>
    <w:p w14:paraId="36087EA3">
      <w:pPr>
        <w:pStyle w:val="2"/>
        <w:spacing w:line="265" w:lineRule="auto"/>
      </w:pPr>
    </w:p>
    <w:p w14:paraId="63CF5423">
      <w:pPr>
        <w:spacing w:before="78" w:line="219" w:lineRule="auto"/>
        <w:ind w:left="603"/>
        <w:rPr>
          <w:rFonts w:ascii="宋体" w:hAnsi="宋体" w:eastAsia="宋体" w:cs="宋体"/>
          <w:sz w:val="24"/>
          <w:szCs w:val="24"/>
        </w:rPr>
      </w:pPr>
      <w:r>
        <w:rPr>
          <w:rFonts w:ascii="宋体" w:hAnsi="宋体" w:eastAsia="宋体" w:cs="宋体"/>
          <w:spacing w:val="-1"/>
          <w:sz w:val="24"/>
          <w:szCs w:val="24"/>
        </w:rPr>
        <w:t>本项目水源是市政供水的自来水。</w:t>
      </w:r>
    </w:p>
    <w:p w14:paraId="3836CC49">
      <w:pPr>
        <w:spacing w:before="169" w:line="360"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）用水量及水平衡</w:t>
      </w:r>
    </w:p>
    <w:p w14:paraId="0833B066">
      <w:pPr>
        <w:spacing w:before="163" w:line="376" w:lineRule="auto"/>
        <w:ind w:left="141" w:right="113" w:firstLine="462"/>
        <w:rPr>
          <w:rFonts w:ascii="宋体" w:hAnsi="宋体" w:eastAsia="宋体" w:cs="宋体"/>
          <w:sz w:val="24"/>
          <w:szCs w:val="24"/>
        </w:rPr>
      </w:pPr>
      <w:r>
        <w:rPr>
          <w:rFonts w:ascii="宋体" w:hAnsi="宋体" w:eastAsia="宋体" w:cs="宋体"/>
          <w:spacing w:val="2"/>
          <w:sz w:val="24"/>
          <w:szCs w:val="24"/>
        </w:rPr>
        <w:t>本项目主要用水是员工办公生活用水、猪只饮用水、猪舍清洗用水、夏季猪舍</w:t>
      </w:r>
      <w:r>
        <w:rPr>
          <w:rFonts w:ascii="宋体" w:hAnsi="宋体" w:eastAsia="宋体" w:cs="宋体"/>
          <w:spacing w:val="9"/>
          <w:sz w:val="24"/>
          <w:szCs w:val="24"/>
        </w:rPr>
        <w:t xml:space="preserve"> </w:t>
      </w:r>
      <w:r>
        <w:rPr>
          <w:rFonts w:ascii="宋体" w:hAnsi="宋体" w:eastAsia="宋体" w:cs="宋体"/>
          <w:spacing w:val="-5"/>
          <w:sz w:val="24"/>
          <w:szCs w:val="24"/>
        </w:rPr>
        <w:t>降温水帘用水。</w:t>
      </w:r>
    </w:p>
    <w:p w14:paraId="0C0F7BF8">
      <w:pPr>
        <w:spacing w:before="1" w:line="217" w:lineRule="auto"/>
        <w:ind w:left="602"/>
        <w:rPr>
          <w:rFonts w:ascii="宋体" w:hAnsi="宋体" w:eastAsia="宋体" w:cs="宋体"/>
          <w:sz w:val="24"/>
          <w:szCs w:val="24"/>
        </w:rPr>
      </w:pPr>
      <w:r>
        <w:rPr>
          <w:rFonts w:ascii="宋体" w:hAnsi="宋体" w:eastAsia="宋体" w:cs="宋体"/>
          <w:spacing w:val="-2"/>
          <w:sz w:val="24"/>
          <w:szCs w:val="24"/>
        </w:rPr>
        <w:t>①猪只饮用水</w:t>
      </w:r>
    </w:p>
    <w:p w14:paraId="2BED8119">
      <w:pPr>
        <w:spacing w:before="171" w:line="367" w:lineRule="auto"/>
        <w:ind w:left="123" w:right="110" w:firstLine="480"/>
        <w:rPr>
          <w:rFonts w:ascii="宋体" w:hAnsi="宋体" w:eastAsia="宋体" w:cs="宋体"/>
          <w:sz w:val="24"/>
          <w:szCs w:val="24"/>
        </w:rPr>
      </w:pPr>
      <w:r>
        <w:rPr>
          <w:rFonts w:ascii="宋体" w:hAnsi="宋体" w:eastAsia="宋体" w:cs="宋体"/>
          <w:spacing w:val="-1"/>
          <w:sz w:val="24"/>
          <w:szCs w:val="24"/>
        </w:rPr>
        <w:t>本项目猪只常年存栏量为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7000 </w:t>
      </w:r>
      <w:r>
        <w:rPr>
          <w:rFonts w:ascii="宋体" w:hAnsi="宋体" w:eastAsia="宋体" w:cs="宋体"/>
          <w:spacing w:val="-1"/>
          <w:sz w:val="24"/>
          <w:szCs w:val="24"/>
        </w:rPr>
        <w:t>头，均为育肥</w:t>
      </w:r>
      <w:r>
        <w:rPr>
          <w:rFonts w:ascii="宋体" w:hAnsi="宋体" w:eastAsia="宋体" w:cs="宋体"/>
          <w:spacing w:val="-2"/>
          <w:sz w:val="24"/>
          <w:szCs w:val="24"/>
        </w:rPr>
        <w:t>猪。根据《养猪场综合废水利用研</w:t>
      </w:r>
      <w:r>
        <w:rPr>
          <w:rFonts w:ascii="宋体" w:hAnsi="宋体" w:eastAsia="宋体" w:cs="宋体"/>
          <w:sz w:val="24"/>
          <w:szCs w:val="24"/>
        </w:rPr>
        <w:t xml:space="preserve"> </w:t>
      </w:r>
      <w:r>
        <w:rPr>
          <w:rFonts w:ascii="宋体" w:hAnsi="宋体" w:eastAsia="宋体" w:cs="宋体"/>
          <w:spacing w:val="2"/>
          <w:sz w:val="24"/>
          <w:szCs w:val="24"/>
        </w:rPr>
        <w:t>究》（张海燕</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孙艳青</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养猪场废水综合利用研究</w:t>
      </w:r>
      <w:r>
        <w:rPr>
          <w:rFonts w:ascii="Times New Roman" w:hAnsi="Times New Roman" w:eastAsia="Times New Roman" w:cs="Times New Roman"/>
          <w:spacing w:val="2"/>
          <w:sz w:val="24"/>
          <w:szCs w:val="24"/>
        </w:rPr>
        <w:t>[C]</w:t>
      </w:r>
      <w:r>
        <w:rPr>
          <w:rFonts w:ascii="Times New Roman" w:hAnsi="Times New Roman" w:eastAsia="Times New Roman" w:cs="Times New Roman"/>
          <w:spacing w:val="1"/>
          <w:sz w:val="24"/>
          <w:szCs w:val="24"/>
        </w:rPr>
        <w:t>//2010</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中国环境科学学会学术</w:t>
      </w:r>
      <w:r>
        <w:rPr>
          <w:rFonts w:ascii="宋体" w:hAnsi="宋体" w:eastAsia="宋体" w:cs="宋体"/>
          <w:sz w:val="24"/>
          <w:szCs w:val="24"/>
        </w:rPr>
        <w:t xml:space="preserve"> </w:t>
      </w:r>
      <w:r>
        <w:rPr>
          <w:rFonts w:ascii="宋体" w:hAnsi="宋体" w:eastAsia="宋体" w:cs="宋体"/>
          <w:spacing w:val="-1"/>
          <w:sz w:val="24"/>
          <w:szCs w:val="24"/>
        </w:rPr>
        <w:t>年会论文集</w:t>
      </w:r>
      <w:r>
        <w:rPr>
          <w:rFonts w:ascii="Times New Roman" w:hAnsi="Times New Roman" w:eastAsia="Times New Roman" w:cs="Times New Roman"/>
          <w:spacing w:val="-1"/>
          <w:sz w:val="24"/>
          <w:szCs w:val="24"/>
        </w:rPr>
        <w:t>(</w:t>
      </w:r>
      <w:r>
        <w:rPr>
          <w:rFonts w:ascii="宋体" w:hAnsi="宋体" w:eastAsia="宋体" w:cs="宋体"/>
          <w:spacing w:val="-1"/>
          <w:sz w:val="24"/>
          <w:szCs w:val="24"/>
        </w:rPr>
        <w:t>第三卷</w:t>
      </w:r>
      <w:r>
        <w:rPr>
          <w:rFonts w:ascii="Times New Roman" w:hAnsi="Times New Roman" w:eastAsia="Times New Roman" w:cs="Times New Roman"/>
          <w:spacing w:val="-1"/>
          <w:sz w:val="24"/>
          <w:szCs w:val="24"/>
        </w:rPr>
        <w:t>). 2010.</w:t>
      </w:r>
      <w:r>
        <w:rPr>
          <w:rFonts w:ascii="Times New Roman" w:hAnsi="Times New Roman" w:eastAsia="Times New Roman" w:cs="Times New Roman"/>
          <w:spacing w:val="-24"/>
          <w:sz w:val="24"/>
          <w:szCs w:val="24"/>
        </w:rPr>
        <w:t xml:space="preserve"> </w:t>
      </w:r>
      <w:r>
        <w:rPr>
          <w:rFonts w:ascii="宋体" w:hAnsi="宋体" w:eastAsia="宋体" w:cs="宋体"/>
          <w:spacing w:val="-10"/>
          <w:sz w:val="24"/>
          <w:szCs w:val="24"/>
        </w:rPr>
        <w:t>），</w:t>
      </w:r>
      <w:r>
        <w:rPr>
          <w:rFonts w:ascii="宋体" w:hAnsi="宋体" w:eastAsia="宋体" w:cs="宋体"/>
          <w:spacing w:val="-1"/>
          <w:sz w:val="24"/>
          <w:szCs w:val="24"/>
        </w:rPr>
        <w:t>项目猪只的饮水量见下表。</w:t>
      </w:r>
    </w:p>
    <w:p w14:paraId="25C8E682">
      <w:pPr>
        <w:spacing w:before="85" w:line="228" w:lineRule="auto"/>
        <w:ind w:left="3504"/>
        <w:rPr>
          <w:rFonts w:ascii="宋体" w:hAnsi="宋体" w:eastAsia="宋体" w:cs="宋体"/>
          <w:sz w:val="20"/>
          <w:szCs w:val="20"/>
        </w:rPr>
      </w:pPr>
      <w:r>
        <w:rPr>
          <w:rFonts w:ascii="宋体" w:hAnsi="宋体" w:eastAsia="宋体" w:cs="宋体"/>
          <w:b/>
          <w:bCs/>
          <w:spacing w:val="4"/>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b/>
          <w:bCs/>
          <w:spacing w:val="4"/>
          <w:sz w:val="20"/>
          <w:szCs w:val="20"/>
        </w:rPr>
        <w:t xml:space="preserve">3.2-1    </w:t>
      </w:r>
      <w:r>
        <w:rPr>
          <w:rFonts w:ascii="宋体" w:hAnsi="宋体" w:eastAsia="宋体" w:cs="宋体"/>
          <w:b/>
          <w:bCs/>
          <w:spacing w:val="4"/>
          <w:sz w:val="20"/>
          <w:szCs w:val="20"/>
        </w:rPr>
        <w:t>猪只饮水量</w:t>
      </w:r>
    </w:p>
    <w:p w14:paraId="3454B275">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0"/>
        <w:gridCol w:w="3043"/>
        <w:gridCol w:w="1609"/>
        <w:gridCol w:w="2408"/>
      </w:tblGrid>
      <w:tr w14:paraId="468CB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890" w:type="dxa"/>
            <w:vAlign w:val="top"/>
          </w:tcPr>
          <w:p w14:paraId="475A72A7">
            <w:pPr>
              <w:pStyle w:val="6"/>
              <w:spacing w:before="62" w:line="228" w:lineRule="auto"/>
              <w:ind w:left="531"/>
            </w:pPr>
            <w:r>
              <w:rPr>
                <w:spacing w:val="7"/>
              </w:rPr>
              <w:t>猪只类别</w:t>
            </w:r>
          </w:p>
        </w:tc>
        <w:tc>
          <w:tcPr>
            <w:tcW w:w="3043" w:type="dxa"/>
            <w:vAlign w:val="top"/>
          </w:tcPr>
          <w:p w14:paraId="7C7C7980">
            <w:pPr>
              <w:pStyle w:val="6"/>
              <w:spacing w:before="31" w:line="274" w:lineRule="exact"/>
              <w:ind w:left="353"/>
            </w:pPr>
            <w:r>
              <w:rPr>
                <w:spacing w:val="5"/>
                <w:position w:val="1"/>
              </w:rPr>
              <w:t>饮水系数（</w:t>
            </w:r>
            <w:r>
              <w:rPr>
                <w:rFonts w:ascii="Times New Roman" w:hAnsi="Times New Roman" w:eastAsia="Times New Roman" w:cs="Times New Roman"/>
                <w:spacing w:val="5"/>
                <w:position w:val="1"/>
              </w:rPr>
              <w:t>10</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5"/>
                <w:position w:val="1"/>
              </w:rPr>
              <w:t>m</w:t>
            </w:r>
            <w:r>
              <w:rPr>
                <w:rFonts w:ascii="Times New Roman" w:hAnsi="Times New Roman" w:eastAsia="Times New Roman" w:cs="Times New Roman"/>
                <w:spacing w:val="5"/>
                <w:position w:val="7"/>
                <w:sz w:val="13"/>
                <w:szCs w:val="13"/>
              </w:rPr>
              <w:t>3</w:t>
            </w:r>
            <w:r>
              <w:rPr>
                <w:rFonts w:ascii="Times New Roman" w:hAnsi="Times New Roman" w:eastAsia="Times New Roman" w:cs="Times New Roman"/>
                <w:spacing w:val="5"/>
                <w:position w:val="1"/>
              </w:rPr>
              <w:t>/</w:t>
            </w:r>
            <w:r>
              <w:rPr>
                <w:spacing w:val="5"/>
                <w:position w:val="1"/>
              </w:rPr>
              <w:t>头</w:t>
            </w:r>
            <w:r>
              <w:rPr>
                <w:rFonts w:ascii="Times New Roman" w:hAnsi="Times New Roman" w:eastAsia="Times New Roman" w:cs="Times New Roman"/>
                <w:spacing w:val="5"/>
                <w:position w:val="1"/>
              </w:rPr>
              <w:t>∙</w:t>
            </w:r>
            <w:r>
              <w:rPr>
                <w:spacing w:val="5"/>
                <w:position w:val="1"/>
              </w:rPr>
              <w:t>天）</w:t>
            </w:r>
          </w:p>
        </w:tc>
        <w:tc>
          <w:tcPr>
            <w:tcW w:w="1609" w:type="dxa"/>
            <w:vAlign w:val="top"/>
          </w:tcPr>
          <w:p w14:paraId="30846902">
            <w:pPr>
              <w:pStyle w:val="6"/>
              <w:spacing w:before="62" w:line="228" w:lineRule="auto"/>
              <w:ind w:left="287"/>
            </w:pPr>
            <w:r>
              <w:rPr>
                <w:spacing w:val="5"/>
              </w:rPr>
              <w:t>数量（头）</w:t>
            </w:r>
          </w:p>
        </w:tc>
        <w:tc>
          <w:tcPr>
            <w:tcW w:w="2408" w:type="dxa"/>
            <w:vAlign w:val="top"/>
          </w:tcPr>
          <w:p w14:paraId="5FB9DEC5">
            <w:pPr>
              <w:pStyle w:val="6"/>
              <w:spacing w:before="31" w:line="274" w:lineRule="exact"/>
              <w:ind w:left="277"/>
            </w:pPr>
            <w:r>
              <w:rPr>
                <w:spacing w:val="6"/>
                <w:position w:val="1"/>
              </w:rPr>
              <w:t>每天饮水量（</w:t>
            </w:r>
            <w:r>
              <w:rPr>
                <w:rFonts w:ascii="Times New Roman" w:hAnsi="Times New Roman" w:eastAsia="Times New Roman" w:cs="Times New Roman"/>
                <w:spacing w:val="6"/>
                <w:position w:val="1"/>
              </w:rPr>
              <w:t>m</w:t>
            </w:r>
            <w:r>
              <w:rPr>
                <w:rFonts w:ascii="Times New Roman" w:hAnsi="Times New Roman" w:eastAsia="Times New Roman" w:cs="Times New Roman"/>
                <w:spacing w:val="6"/>
                <w:position w:val="7"/>
                <w:sz w:val="13"/>
                <w:szCs w:val="13"/>
              </w:rPr>
              <w:t>3</w:t>
            </w:r>
            <w:r>
              <w:rPr>
                <w:rFonts w:ascii="Times New Roman" w:hAnsi="Times New Roman" w:eastAsia="Times New Roman" w:cs="Times New Roman"/>
                <w:spacing w:val="6"/>
                <w:position w:val="1"/>
              </w:rPr>
              <w:t>/d</w:t>
            </w:r>
            <w:r>
              <w:rPr>
                <w:spacing w:val="6"/>
                <w:position w:val="1"/>
              </w:rPr>
              <w:t>）</w:t>
            </w:r>
          </w:p>
        </w:tc>
      </w:tr>
      <w:tr w14:paraId="0456E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890" w:type="dxa"/>
            <w:vAlign w:val="top"/>
          </w:tcPr>
          <w:p w14:paraId="66509B0B">
            <w:pPr>
              <w:pStyle w:val="6"/>
              <w:spacing w:before="58" w:line="228" w:lineRule="auto"/>
              <w:ind w:left="643"/>
            </w:pPr>
            <w:r>
              <w:rPr>
                <w:spacing w:val="4"/>
              </w:rPr>
              <w:t>育肥猪</w:t>
            </w:r>
          </w:p>
        </w:tc>
        <w:tc>
          <w:tcPr>
            <w:tcW w:w="3043" w:type="dxa"/>
            <w:vAlign w:val="top"/>
          </w:tcPr>
          <w:p w14:paraId="513A151A">
            <w:pPr>
              <w:spacing w:before="98" w:line="192" w:lineRule="auto"/>
              <w:ind w:left="13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1609" w:type="dxa"/>
            <w:vAlign w:val="top"/>
          </w:tcPr>
          <w:p w14:paraId="765D05A4">
            <w:pPr>
              <w:spacing w:before="28" w:line="274" w:lineRule="exact"/>
              <w:ind w:left="6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7000</w:t>
            </w:r>
          </w:p>
        </w:tc>
        <w:tc>
          <w:tcPr>
            <w:tcW w:w="2408" w:type="dxa"/>
            <w:vAlign w:val="top"/>
          </w:tcPr>
          <w:p w14:paraId="086A094A">
            <w:pPr>
              <w:spacing w:before="28" w:line="274" w:lineRule="exact"/>
              <w:ind w:left="10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53.9</w:t>
            </w:r>
          </w:p>
        </w:tc>
      </w:tr>
      <w:tr w14:paraId="228CF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4933" w:type="dxa"/>
            <w:gridSpan w:val="2"/>
            <w:vAlign w:val="top"/>
          </w:tcPr>
          <w:p w14:paraId="3D994219">
            <w:pPr>
              <w:pStyle w:val="6"/>
              <w:spacing w:before="61" w:line="230" w:lineRule="auto"/>
              <w:ind w:left="2263"/>
            </w:pPr>
            <w:r>
              <w:rPr>
                <w:spacing w:val="4"/>
              </w:rPr>
              <w:t>合计</w:t>
            </w:r>
          </w:p>
        </w:tc>
        <w:tc>
          <w:tcPr>
            <w:tcW w:w="1609" w:type="dxa"/>
            <w:vAlign w:val="top"/>
          </w:tcPr>
          <w:p w14:paraId="5365C833">
            <w:pPr>
              <w:spacing w:before="30" w:line="274" w:lineRule="exact"/>
              <w:ind w:left="6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7000</w:t>
            </w:r>
          </w:p>
        </w:tc>
        <w:tc>
          <w:tcPr>
            <w:tcW w:w="2408" w:type="dxa"/>
            <w:vAlign w:val="top"/>
          </w:tcPr>
          <w:p w14:paraId="4A428F44">
            <w:pPr>
              <w:spacing w:before="30" w:line="274" w:lineRule="exact"/>
              <w:ind w:left="10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53.9</w:t>
            </w:r>
          </w:p>
        </w:tc>
      </w:tr>
    </w:tbl>
    <w:p w14:paraId="0A59A8A7">
      <w:pPr>
        <w:spacing w:before="253" w:line="359" w:lineRule="exact"/>
        <w:ind w:left="632"/>
        <w:rPr>
          <w:rFonts w:ascii="宋体" w:hAnsi="宋体" w:eastAsia="宋体" w:cs="宋体"/>
          <w:sz w:val="24"/>
          <w:szCs w:val="24"/>
        </w:rPr>
      </w:pPr>
      <w:r>
        <w:rPr>
          <w:rFonts w:ascii="宋体" w:hAnsi="宋体" w:eastAsia="宋体" w:cs="宋体"/>
          <w:spacing w:val="-1"/>
          <w:position w:val="2"/>
          <w:sz w:val="24"/>
          <w:szCs w:val="24"/>
        </w:rPr>
        <w:t>由上表可知，本项目猪只的饮水量为</w:t>
      </w:r>
      <w:r>
        <w:rPr>
          <w:rFonts w:ascii="宋体" w:hAnsi="宋体" w:eastAsia="宋体" w:cs="宋体"/>
          <w:spacing w:val="-48"/>
          <w:position w:val="2"/>
          <w:sz w:val="24"/>
          <w:szCs w:val="24"/>
        </w:rPr>
        <w:t xml:space="preserve"> </w:t>
      </w:r>
      <w:r>
        <w:rPr>
          <w:rFonts w:ascii="Times New Roman" w:hAnsi="Times New Roman" w:eastAsia="Times New Roman" w:cs="Times New Roman"/>
          <w:spacing w:val="-1"/>
          <w:position w:val="2"/>
          <w:sz w:val="24"/>
          <w:szCs w:val="24"/>
        </w:rPr>
        <w:t>53.9m</w:t>
      </w:r>
      <w:r>
        <w:rPr>
          <w:rFonts w:ascii="Times New Roman" w:hAnsi="Times New Roman" w:eastAsia="Times New Roman" w:cs="Times New Roman"/>
          <w:spacing w:val="-1"/>
          <w:position w:val="9"/>
          <w:sz w:val="15"/>
          <w:szCs w:val="15"/>
        </w:rPr>
        <w:t>3</w:t>
      </w:r>
      <w:r>
        <w:rPr>
          <w:rFonts w:ascii="Times New Roman" w:hAnsi="Times New Roman" w:eastAsia="Times New Roman" w:cs="Times New Roman"/>
          <w:spacing w:val="-1"/>
          <w:position w:val="2"/>
          <w:sz w:val="24"/>
          <w:szCs w:val="24"/>
        </w:rPr>
        <w:t>/d</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1967</w:t>
      </w:r>
      <w:r>
        <w:rPr>
          <w:rFonts w:ascii="Times New Roman" w:hAnsi="Times New Roman" w:eastAsia="Times New Roman" w:cs="Times New Roman"/>
          <w:spacing w:val="-2"/>
          <w:position w:val="2"/>
          <w:sz w:val="24"/>
          <w:szCs w:val="24"/>
        </w:rPr>
        <w:t>3.5m</w:t>
      </w:r>
      <w:r>
        <w:rPr>
          <w:rFonts w:ascii="Times New Roman" w:hAnsi="Times New Roman" w:eastAsia="Times New Roman" w:cs="Times New Roman"/>
          <w:spacing w:val="-2"/>
          <w:position w:val="9"/>
          <w:sz w:val="15"/>
          <w:szCs w:val="15"/>
        </w:rPr>
        <w:t>3</w:t>
      </w:r>
      <w:r>
        <w:rPr>
          <w:rFonts w:ascii="Times New Roman" w:hAnsi="Times New Roman" w:eastAsia="Times New Roman" w:cs="Times New Roman"/>
          <w:spacing w:val="-2"/>
          <w:position w:val="2"/>
          <w:sz w:val="24"/>
          <w:szCs w:val="24"/>
        </w:rPr>
        <w:t>/a</w:t>
      </w:r>
      <w:r>
        <w:rPr>
          <w:rFonts w:ascii="宋体" w:hAnsi="宋体" w:eastAsia="宋体" w:cs="宋体"/>
          <w:spacing w:val="-2"/>
          <w:position w:val="2"/>
          <w:sz w:val="24"/>
          <w:szCs w:val="24"/>
        </w:rPr>
        <w:t>）。</w:t>
      </w:r>
    </w:p>
    <w:p w14:paraId="37E37441">
      <w:pPr>
        <w:spacing w:before="166" w:line="218" w:lineRule="auto"/>
        <w:ind w:left="601"/>
        <w:rPr>
          <w:rFonts w:ascii="宋体" w:hAnsi="宋体" w:eastAsia="宋体" w:cs="宋体"/>
          <w:sz w:val="24"/>
          <w:szCs w:val="24"/>
        </w:rPr>
      </w:pPr>
      <w:r>
        <w:rPr>
          <w:rFonts w:ascii="宋体" w:hAnsi="宋体" w:eastAsia="宋体" w:cs="宋体"/>
          <w:spacing w:val="-2"/>
          <w:sz w:val="24"/>
          <w:szCs w:val="24"/>
        </w:rPr>
        <w:t>②猪舍冲洗用水</w:t>
      </w:r>
    </w:p>
    <w:p w14:paraId="25E3E891">
      <w:pPr>
        <w:spacing w:before="204" w:line="374" w:lineRule="auto"/>
        <w:ind w:left="122" w:right="47" w:firstLine="481"/>
        <w:rPr>
          <w:rFonts w:ascii="宋体" w:hAnsi="宋体" w:eastAsia="宋体" w:cs="宋体"/>
          <w:sz w:val="24"/>
          <w:szCs w:val="24"/>
        </w:rPr>
      </w:pPr>
      <w:r>
        <w:rPr>
          <w:rFonts w:ascii="宋体" w:hAnsi="宋体" w:eastAsia="宋体" w:cs="宋体"/>
          <w:spacing w:val="1"/>
          <w:sz w:val="24"/>
          <w:szCs w:val="24"/>
        </w:rPr>
        <w:t>本项目猪舍全部采用“机械干清粪</w:t>
      </w:r>
      <w:r>
        <w:rPr>
          <w:rFonts w:ascii="宋体" w:hAnsi="宋体" w:eastAsia="宋体" w:cs="宋体"/>
          <w:spacing w:val="-77"/>
          <w:sz w:val="24"/>
          <w:szCs w:val="24"/>
        </w:rPr>
        <w:t xml:space="preserve"> </w:t>
      </w:r>
      <w:r>
        <w:rPr>
          <w:rFonts w:ascii="宋体" w:hAnsi="宋体" w:eastAsia="宋体" w:cs="宋体"/>
          <w:spacing w:val="1"/>
          <w:sz w:val="24"/>
          <w:szCs w:val="24"/>
        </w:rPr>
        <w:t>”工艺饲养，仅在猪只出栏时清洗一次，根</w:t>
      </w:r>
      <w:r>
        <w:rPr>
          <w:rFonts w:ascii="宋体" w:hAnsi="宋体" w:eastAsia="宋体" w:cs="宋体"/>
          <w:sz w:val="24"/>
          <w:szCs w:val="24"/>
        </w:rPr>
        <w:t xml:space="preserve"> </w:t>
      </w:r>
      <w:r>
        <w:rPr>
          <w:rFonts w:ascii="宋体" w:hAnsi="宋体" w:eastAsia="宋体" w:cs="宋体"/>
          <w:spacing w:val="-5"/>
          <w:sz w:val="24"/>
          <w:szCs w:val="24"/>
        </w:rPr>
        <w:t>据《养猪场综合废水利用研究》（张海燕</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孙艳青</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养猪场废水综合利</w:t>
      </w:r>
      <w:r>
        <w:rPr>
          <w:rFonts w:ascii="宋体" w:hAnsi="宋体" w:eastAsia="宋体" w:cs="宋体"/>
          <w:spacing w:val="-6"/>
          <w:sz w:val="24"/>
          <w:szCs w:val="24"/>
        </w:rPr>
        <w:t>用研究</w:t>
      </w:r>
      <w:r>
        <w:rPr>
          <w:rFonts w:ascii="Times New Roman" w:hAnsi="Times New Roman" w:eastAsia="Times New Roman" w:cs="Times New Roman"/>
          <w:spacing w:val="-6"/>
          <w:sz w:val="24"/>
          <w:szCs w:val="24"/>
        </w:rPr>
        <w:t>[C]//2010</w:t>
      </w:r>
      <w:r>
        <w:rPr>
          <w:rFonts w:ascii="Times New Roman" w:hAnsi="Times New Roman" w:eastAsia="Times New Roman" w:cs="Times New Roman"/>
          <w:sz w:val="24"/>
          <w:szCs w:val="24"/>
        </w:rPr>
        <w:t xml:space="preserve">  </w:t>
      </w:r>
      <w:r>
        <w:rPr>
          <w:rFonts w:ascii="宋体" w:hAnsi="宋体" w:eastAsia="宋体" w:cs="宋体"/>
          <w:sz w:val="24"/>
          <w:szCs w:val="24"/>
        </w:rPr>
        <w:t>中国环境科学学会学术年会论文集</w:t>
      </w:r>
      <w:r>
        <w:rPr>
          <w:rFonts w:ascii="Times New Roman" w:hAnsi="Times New Roman" w:eastAsia="Times New Roman" w:cs="Times New Roman"/>
          <w:sz w:val="24"/>
          <w:szCs w:val="24"/>
        </w:rPr>
        <w:t>(</w:t>
      </w:r>
      <w:r>
        <w:rPr>
          <w:rFonts w:ascii="宋体" w:hAnsi="宋体" w:eastAsia="宋体" w:cs="宋体"/>
          <w:sz w:val="24"/>
          <w:szCs w:val="24"/>
        </w:rPr>
        <w:t>第三卷</w:t>
      </w:r>
      <w:r>
        <w:rPr>
          <w:rFonts w:ascii="Times New Roman" w:hAnsi="Times New Roman" w:eastAsia="Times New Roman" w:cs="Times New Roman"/>
          <w:sz w:val="24"/>
          <w:szCs w:val="24"/>
        </w:rPr>
        <w:t>). 2010.</w:t>
      </w:r>
      <w:r>
        <w:rPr>
          <w:rFonts w:ascii="Times New Roman" w:hAnsi="Times New Roman" w:eastAsia="Times New Roman" w:cs="Times New Roman"/>
          <w:spacing w:val="-25"/>
          <w:sz w:val="24"/>
          <w:szCs w:val="24"/>
        </w:rPr>
        <w:t xml:space="preserve"> </w:t>
      </w:r>
      <w:r>
        <w:rPr>
          <w:rFonts w:ascii="宋体" w:hAnsi="宋体" w:eastAsia="宋体" w:cs="宋体"/>
          <w:spacing w:val="-13"/>
          <w:sz w:val="24"/>
          <w:szCs w:val="24"/>
        </w:rPr>
        <w:t>），</w:t>
      </w:r>
      <w:r>
        <w:rPr>
          <w:rFonts w:ascii="宋体" w:hAnsi="宋体" w:eastAsia="宋体" w:cs="宋体"/>
          <w:sz w:val="24"/>
          <w:szCs w:val="24"/>
        </w:rPr>
        <w:t>清</w:t>
      </w:r>
      <w:r>
        <w:rPr>
          <w:rFonts w:ascii="宋体" w:hAnsi="宋体" w:eastAsia="宋体" w:cs="宋体"/>
          <w:spacing w:val="-1"/>
          <w:sz w:val="24"/>
          <w:szCs w:val="24"/>
        </w:rPr>
        <w:t>洗用水按</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6L/</w:t>
      </w:r>
      <w:r>
        <w:rPr>
          <w:rFonts w:ascii="宋体" w:hAnsi="宋体" w:eastAsia="宋体" w:cs="宋体"/>
          <w:spacing w:val="-1"/>
          <w:sz w:val="24"/>
          <w:szCs w:val="24"/>
        </w:rPr>
        <w:t>头</w:t>
      </w:r>
      <w:r>
        <w:rPr>
          <w:rFonts w:ascii="Times New Roman" w:hAnsi="Times New Roman" w:eastAsia="Times New Roman" w:cs="Times New Roman"/>
          <w:spacing w:val="-1"/>
          <w:sz w:val="24"/>
          <w:szCs w:val="24"/>
        </w:rPr>
        <w:t>∙</w:t>
      </w:r>
      <w:r>
        <w:rPr>
          <w:rFonts w:ascii="宋体" w:hAnsi="宋体" w:eastAsia="宋体" w:cs="宋体"/>
          <w:spacing w:val="-1"/>
          <w:sz w:val="24"/>
          <w:szCs w:val="24"/>
        </w:rPr>
        <w:t>次。项目猪</w:t>
      </w:r>
      <w:r>
        <w:rPr>
          <w:rFonts w:ascii="宋体" w:hAnsi="宋体" w:eastAsia="宋体" w:cs="宋体"/>
          <w:sz w:val="24"/>
          <w:szCs w:val="24"/>
        </w:rPr>
        <w:t xml:space="preserve"> </w:t>
      </w:r>
      <w:r>
        <w:rPr>
          <w:rFonts w:ascii="宋体" w:hAnsi="宋体" w:eastAsia="宋体" w:cs="宋体"/>
          <w:spacing w:val="1"/>
          <w:sz w:val="24"/>
          <w:szCs w:val="24"/>
        </w:rPr>
        <w:t>只出栏量为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15000</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头，项目只在猪只出栏时</w:t>
      </w:r>
      <w:r>
        <w:rPr>
          <w:rFonts w:ascii="宋体" w:hAnsi="宋体" w:eastAsia="宋体" w:cs="宋体"/>
          <w:sz w:val="24"/>
          <w:szCs w:val="24"/>
        </w:rPr>
        <w:t>清洗，项目约</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 xml:space="preserve">5 </w:t>
      </w:r>
      <w:r>
        <w:rPr>
          <w:rFonts w:ascii="宋体" w:hAnsi="宋体" w:eastAsia="宋体" w:cs="宋体"/>
          <w:sz w:val="24"/>
          <w:szCs w:val="24"/>
        </w:rPr>
        <w:t xml:space="preserve">个月出栏一次，由于所 </w:t>
      </w:r>
      <w:r>
        <w:rPr>
          <w:rFonts w:ascii="宋体" w:hAnsi="宋体" w:eastAsia="宋体" w:cs="宋体"/>
          <w:spacing w:val="-2"/>
          <w:sz w:val="24"/>
          <w:szCs w:val="24"/>
        </w:rPr>
        <w:t>有猪只是分很多不同批次出栏的，猪只每月出栏一次，因此清洗用水量为</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7.5m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w:t>
      </w:r>
      <w:r>
        <w:rPr>
          <w:rFonts w:ascii="宋体" w:hAnsi="宋体" w:eastAsia="宋体" w:cs="宋体"/>
          <w:spacing w:val="-2"/>
          <w:sz w:val="24"/>
          <w:szCs w:val="24"/>
        </w:rPr>
        <w:t>次，</w:t>
      </w:r>
      <w:r>
        <w:rPr>
          <w:rFonts w:ascii="宋体" w:hAnsi="宋体" w:eastAsia="宋体" w:cs="宋体"/>
          <w:sz w:val="24"/>
          <w:szCs w:val="24"/>
        </w:rPr>
        <w:t xml:space="preserve"> </w:t>
      </w:r>
      <w:r>
        <w:rPr>
          <w:rFonts w:ascii="Times New Roman" w:hAnsi="Times New Roman" w:eastAsia="Times New Roman" w:cs="Times New Roman"/>
          <w:spacing w:val="-2"/>
          <w:sz w:val="24"/>
          <w:szCs w:val="24"/>
        </w:rPr>
        <w:t>90 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/a</w:t>
      </w:r>
      <w:r>
        <w:rPr>
          <w:rFonts w:ascii="宋体" w:hAnsi="宋体" w:eastAsia="宋体" w:cs="宋体"/>
          <w:spacing w:val="-2"/>
          <w:sz w:val="24"/>
          <w:szCs w:val="24"/>
        </w:rPr>
        <w:t>。</w:t>
      </w:r>
    </w:p>
    <w:p w14:paraId="60E0B69C">
      <w:pPr>
        <w:spacing w:before="17" w:line="218" w:lineRule="auto"/>
        <w:ind w:left="601"/>
        <w:rPr>
          <w:rFonts w:ascii="宋体" w:hAnsi="宋体" w:eastAsia="宋体" w:cs="宋体"/>
          <w:sz w:val="24"/>
          <w:szCs w:val="24"/>
        </w:rPr>
      </w:pPr>
      <w:r>
        <w:rPr>
          <w:rFonts w:ascii="宋体" w:hAnsi="宋体" w:eastAsia="宋体" w:cs="宋体"/>
          <w:spacing w:val="-1"/>
          <w:sz w:val="24"/>
          <w:szCs w:val="24"/>
        </w:rPr>
        <w:t>③员工办公生活用水</w:t>
      </w:r>
    </w:p>
    <w:p w14:paraId="11D20A4F">
      <w:pPr>
        <w:spacing w:before="169" w:line="375" w:lineRule="auto"/>
        <w:ind w:left="123" w:right="108" w:firstLine="480"/>
        <w:rPr>
          <w:rFonts w:ascii="宋体" w:hAnsi="宋体" w:eastAsia="宋体" w:cs="宋体"/>
          <w:sz w:val="24"/>
          <w:szCs w:val="24"/>
        </w:rPr>
      </w:pPr>
      <w:r>
        <w:rPr>
          <w:rFonts w:ascii="宋体" w:hAnsi="宋体" w:eastAsia="宋体" w:cs="宋体"/>
          <w:spacing w:val="6"/>
          <w:sz w:val="24"/>
          <w:szCs w:val="24"/>
        </w:rPr>
        <w:t>本项</w:t>
      </w:r>
      <w:r>
        <w:rPr>
          <w:rFonts w:ascii="宋体" w:hAnsi="宋体" w:eastAsia="宋体" w:cs="宋体"/>
          <w:spacing w:val="-31"/>
          <w:sz w:val="24"/>
          <w:szCs w:val="24"/>
        </w:rPr>
        <w:t xml:space="preserve"> </w:t>
      </w:r>
      <w:r>
        <w:rPr>
          <w:rFonts w:ascii="宋体" w:hAnsi="宋体" w:eastAsia="宋体" w:cs="宋体"/>
          <w:spacing w:val="6"/>
          <w:sz w:val="24"/>
          <w:szCs w:val="24"/>
        </w:rPr>
        <w:t>目</w:t>
      </w:r>
      <w:r>
        <w:rPr>
          <w:rFonts w:ascii="宋体" w:hAnsi="宋体" w:eastAsia="宋体" w:cs="宋体"/>
          <w:spacing w:val="-70"/>
          <w:sz w:val="24"/>
          <w:szCs w:val="24"/>
        </w:rPr>
        <w:t xml:space="preserve"> </w:t>
      </w:r>
      <w:r>
        <w:rPr>
          <w:rFonts w:ascii="宋体" w:hAnsi="宋体" w:eastAsia="宋体" w:cs="宋体"/>
          <w:spacing w:val="6"/>
          <w:sz w:val="24"/>
          <w:szCs w:val="24"/>
        </w:rPr>
        <w:t xml:space="preserve">员工共 </w:t>
      </w:r>
      <w:r>
        <w:rPr>
          <w:rFonts w:ascii="Times New Roman" w:hAnsi="Times New Roman" w:eastAsia="Times New Roman" w:cs="Times New Roman"/>
          <w:spacing w:val="6"/>
          <w:sz w:val="24"/>
          <w:szCs w:val="24"/>
        </w:rPr>
        <w:t>12</w:t>
      </w:r>
      <w:r>
        <w:rPr>
          <w:rFonts w:ascii="Times New Roman" w:hAnsi="Times New Roman" w:eastAsia="Times New Roman" w:cs="Times New Roman"/>
          <w:spacing w:val="43"/>
          <w:sz w:val="24"/>
          <w:szCs w:val="24"/>
        </w:rPr>
        <w:t xml:space="preserve"> </w:t>
      </w:r>
      <w:r>
        <w:rPr>
          <w:rFonts w:ascii="宋体" w:hAnsi="宋体" w:eastAsia="宋体" w:cs="宋体"/>
          <w:spacing w:val="6"/>
          <w:sz w:val="24"/>
          <w:szCs w:val="24"/>
        </w:rPr>
        <w:t>人</w:t>
      </w:r>
      <w:r>
        <w:rPr>
          <w:rFonts w:ascii="宋体" w:hAnsi="宋体" w:eastAsia="宋体" w:cs="宋体"/>
          <w:spacing w:val="-63"/>
          <w:sz w:val="24"/>
          <w:szCs w:val="24"/>
        </w:rPr>
        <w:t xml:space="preserve"> </w:t>
      </w:r>
      <w:r>
        <w:rPr>
          <w:rFonts w:ascii="宋体" w:hAnsi="宋体" w:eastAsia="宋体" w:cs="宋体"/>
          <w:spacing w:val="6"/>
          <w:sz w:val="24"/>
          <w:szCs w:val="24"/>
        </w:rPr>
        <w:t>，其</w:t>
      </w:r>
      <w:r>
        <w:rPr>
          <w:rFonts w:ascii="宋体" w:hAnsi="宋体" w:eastAsia="宋体" w:cs="宋体"/>
          <w:spacing w:val="-57"/>
          <w:sz w:val="24"/>
          <w:szCs w:val="24"/>
        </w:rPr>
        <w:t xml:space="preserve"> </w:t>
      </w:r>
      <w:r>
        <w:rPr>
          <w:rFonts w:ascii="宋体" w:hAnsi="宋体" w:eastAsia="宋体" w:cs="宋体"/>
          <w:spacing w:val="6"/>
          <w:sz w:val="24"/>
          <w:szCs w:val="24"/>
        </w:rPr>
        <w:t>中</w:t>
      </w:r>
      <w:r>
        <w:rPr>
          <w:rFonts w:ascii="宋体" w:hAnsi="宋体" w:eastAsia="宋体" w:cs="宋体"/>
          <w:spacing w:val="-25"/>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45"/>
          <w:sz w:val="24"/>
          <w:szCs w:val="24"/>
        </w:rPr>
        <w:t xml:space="preserve"> </w:t>
      </w:r>
      <w:r>
        <w:rPr>
          <w:rFonts w:ascii="宋体" w:hAnsi="宋体" w:eastAsia="宋体" w:cs="宋体"/>
          <w:spacing w:val="6"/>
          <w:sz w:val="24"/>
          <w:szCs w:val="24"/>
        </w:rPr>
        <w:t>人在厂</w:t>
      </w:r>
      <w:r>
        <w:rPr>
          <w:rFonts w:ascii="宋体" w:hAnsi="宋体" w:eastAsia="宋体" w:cs="宋体"/>
          <w:spacing w:val="-62"/>
          <w:sz w:val="24"/>
          <w:szCs w:val="24"/>
        </w:rPr>
        <w:t xml:space="preserve"> </w:t>
      </w:r>
      <w:r>
        <w:rPr>
          <w:rFonts w:ascii="宋体" w:hAnsi="宋体" w:eastAsia="宋体" w:cs="宋体"/>
          <w:spacing w:val="6"/>
          <w:sz w:val="24"/>
          <w:szCs w:val="24"/>
        </w:rPr>
        <w:t>区食宿</w:t>
      </w:r>
      <w:r>
        <w:rPr>
          <w:rFonts w:ascii="宋体" w:hAnsi="宋体" w:eastAsia="宋体" w:cs="宋体"/>
          <w:spacing w:val="-56"/>
          <w:sz w:val="24"/>
          <w:szCs w:val="24"/>
        </w:rPr>
        <w:t xml:space="preserve"> </w:t>
      </w:r>
      <w:r>
        <w:rPr>
          <w:rFonts w:ascii="宋体" w:hAnsi="宋体" w:eastAsia="宋体" w:cs="宋体"/>
          <w:spacing w:val="6"/>
          <w:sz w:val="24"/>
          <w:szCs w:val="24"/>
        </w:rPr>
        <w:t>。根据广</w:t>
      </w:r>
      <w:r>
        <w:rPr>
          <w:rFonts w:ascii="宋体" w:hAnsi="宋体" w:eastAsia="宋体" w:cs="宋体"/>
          <w:spacing w:val="-68"/>
          <w:sz w:val="24"/>
          <w:szCs w:val="24"/>
        </w:rPr>
        <w:t xml:space="preserve"> </w:t>
      </w:r>
      <w:r>
        <w:rPr>
          <w:rFonts w:ascii="宋体" w:hAnsi="宋体" w:eastAsia="宋体" w:cs="宋体"/>
          <w:spacing w:val="5"/>
          <w:sz w:val="24"/>
          <w:szCs w:val="24"/>
        </w:rPr>
        <w:t>东省《</w:t>
      </w:r>
      <w:r>
        <w:rPr>
          <w:rFonts w:ascii="宋体" w:hAnsi="宋体" w:eastAsia="宋体" w:cs="宋体"/>
          <w:spacing w:val="-52"/>
          <w:sz w:val="24"/>
          <w:szCs w:val="24"/>
        </w:rPr>
        <w:t xml:space="preserve"> </w:t>
      </w:r>
      <w:r>
        <w:rPr>
          <w:rFonts w:ascii="宋体" w:hAnsi="宋体" w:eastAsia="宋体" w:cs="宋体"/>
          <w:spacing w:val="5"/>
          <w:sz w:val="24"/>
          <w:szCs w:val="24"/>
        </w:rPr>
        <w:t>用水定额</w:t>
      </w:r>
      <w:r>
        <w:rPr>
          <w:rFonts w:ascii="宋体" w:hAnsi="宋体" w:eastAsia="宋体" w:cs="宋体"/>
          <w:spacing w:val="-66"/>
          <w:sz w:val="24"/>
          <w:szCs w:val="24"/>
        </w:rPr>
        <w:t xml:space="preserve"> </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DB44/T</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3"/>
          <w:sz w:val="24"/>
          <w:szCs w:val="24"/>
        </w:rPr>
        <w:t>1461-2014</w:t>
      </w:r>
      <w:r>
        <w:rPr>
          <w:rFonts w:ascii="宋体" w:hAnsi="宋体" w:eastAsia="宋体" w:cs="宋体"/>
          <w:spacing w:val="-3"/>
          <w:sz w:val="24"/>
          <w:szCs w:val="24"/>
        </w:rPr>
        <w:t>）规定，本项目住宿员工参照“城镇生活综合用水定额</w:t>
      </w:r>
      <w:r>
        <w:rPr>
          <w:rFonts w:ascii="宋体" w:hAnsi="宋体" w:eastAsia="宋体" w:cs="宋体"/>
          <w:spacing w:val="-88"/>
          <w:sz w:val="24"/>
          <w:szCs w:val="24"/>
        </w:rPr>
        <w:t xml:space="preserve"> </w:t>
      </w:r>
      <w:r>
        <w:rPr>
          <w:rFonts w:ascii="宋体" w:hAnsi="宋体" w:eastAsia="宋体" w:cs="宋体"/>
          <w:spacing w:val="-3"/>
          <w:sz w:val="24"/>
          <w:szCs w:val="24"/>
        </w:rPr>
        <w:t>”小城镇</w:t>
      </w:r>
      <w:r>
        <w:rPr>
          <w:rFonts w:ascii="宋体" w:hAnsi="宋体" w:eastAsia="宋体" w:cs="宋体"/>
          <w:sz w:val="24"/>
          <w:szCs w:val="24"/>
        </w:rPr>
        <w:t xml:space="preserve"> </w:t>
      </w:r>
      <w:r>
        <w:rPr>
          <w:rFonts w:ascii="宋体" w:hAnsi="宋体" w:eastAsia="宋体" w:cs="宋体"/>
          <w:spacing w:val="1"/>
          <w:sz w:val="24"/>
          <w:szCs w:val="24"/>
        </w:rPr>
        <w:t>标准，即按</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80 </w:t>
      </w:r>
      <w:r>
        <w:rPr>
          <w:rFonts w:ascii="宋体" w:hAnsi="宋体" w:eastAsia="宋体" w:cs="宋体"/>
          <w:spacing w:val="1"/>
          <w:sz w:val="24"/>
          <w:szCs w:val="24"/>
        </w:rPr>
        <w:t>升</w:t>
      </w:r>
      <w:r>
        <w:rPr>
          <w:rFonts w:ascii="Times New Roman" w:hAnsi="Times New Roman" w:eastAsia="Times New Roman" w:cs="Times New Roman"/>
          <w:spacing w:val="1"/>
          <w:sz w:val="24"/>
          <w:szCs w:val="24"/>
        </w:rPr>
        <w:t>/</w:t>
      </w:r>
      <w:r>
        <w:rPr>
          <w:rFonts w:ascii="宋体" w:hAnsi="宋体" w:eastAsia="宋体" w:cs="宋体"/>
          <w:spacing w:val="1"/>
          <w:sz w:val="24"/>
          <w:szCs w:val="24"/>
        </w:rPr>
        <w:t>人</w:t>
      </w:r>
      <w:r>
        <w:rPr>
          <w:rFonts w:ascii="Times New Roman" w:hAnsi="Times New Roman" w:eastAsia="Times New Roman" w:cs="Times New Roman"/>
          <w:spacing w:val="1"/>
          <w:sz w:val="24"/>
          <w:szCs w:val="24"/>
        </w:rPr>
        <w:t>∙</w:t>
      </w:r>
      <w:r>
        <w:rPr>
          <w:rFonts w:ascii="宋体" w:hAnsi="宋体" w:eastAsia="宋体" w:cs="宋体"/>
          <w:spacing w:val="1"/>
          <w:sz w:val="24"/>
          <w:szCs w:val="24"/>
        </w:rPr>
        <w:t>天计算，不在厂区住</w:t>
      </w:r>
      <w:r>
        <w:rPr>
          <w:rFonts w:ascii="宋体" w:hAnsi="宋体" w:eastAsia="宋体" w:cs="宋体"/>
          <w:sz w:val="24"/>
          <w:szCs w:val="24"/>
        </w:rPr>
        <w:t>宿员工参照“机关事业单位</w:t>
      </w:r>
      <w:r>
        <w:rPr>
          <w:rFonts w:ascii="宋体" w:hAnsi="宋体" w:eastAsia="宋体" w:cs="宋体"/>
          <w:spacing w:val="-86"/>
          <w:sz w:val="24"/>
          <w:szCs w:val="24"/>
        </w:rPr>
        <w:t xml:space="preserve"> </w:t>
      </w:r>
      <w:r>
        <w:rPr>
          <w:rFonts w:ascii="宋体" w:hAnsi="宋体" w:eastAsia="宋体" w:cs="宋体"/>
          <w:sz w:val="24"/>
          <w:szCs w:val="24"/>
        </w:rPr>
        <w:t>”无食堂浴室 标准，即按</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40 </w:t>
      </w:r>
      <w:r>
        <w:rPr>
          <w:rFonts w:ascii="宋体" w:hAnsi="宋体" w:eastAsia="宋体" w:cs="宋体"/>
          <w:sz w:val="24"/>
          <w:szCs w:val="24"/>
        </w:rPr>
        <w:t>升</w:t>
      </w:r>
      <w:r>
        <w:rPr>
          <w:rFonts w:ascii="Times New Roman" w:hAnsi="Times New Roman" w:eastAsia="Times New Roman" w:cs="Times New Roman"/>
          <w:sz w:val="24"/>
          <w:szCs w:val="24"/>
        </w:rPr>
        <w:t>/</w:t>
      </w:r>
      <w:r>
        <w:rPr>
          <w:rFonts w:ascii="宋体" w:hAnsi="宋体" w:eastAsia="宋体" w:cs="宋体"/>
          <w:sz w:val="24"/>
          <w:szCs w:val="24"/>
        </w:rPr>
        <w:t>人</w:t>
      </w:r>
      <w:r>
        <w:rPr>
          <w:rFonts w:ascii="Times New Roman" w:hAnsi="Times New Roman" w:eastAsia="Times New Roman" w:cs="Times New Roman"/>
          <w:sz w:val="24"/>
          <w:szCs w:val="24"/>
        </w:rPr>
        <w:t>∙</w:t>
      </w:r>
      <w:r>
        <w:rPr>
          <w:rFonts w:ascii="宋体" w:hAnsi="宋体" w:eastAsia="宋体" w:cs="宋体"/>
          <w:sz w:val="24"/>
          <w:szCs w:val="24"/>
        </w:rPr>
        <w:t>天计算，则本项目办公生活用水量</w:t>
      </w:r>
      <w:r>
        <w:rPr>
          <w:rFonts w:ascii="宋体" w:hAnsi="宋体" w:eastAsia="宋体" w:cs="宋体"/>
          <w:spacing w:val="-1"/>
          <w:sz w:val="24"/>
          <w:szCs w:val="24"/>
        </w:rPr>
        <w:t>为</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0.64m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r>
        <w:rPr>
          <w:rFonts w:ascii="Times New Roman" w:hAnsi="Times New Roman" w:eastAsia="Times New Roman" w:cs="Times New Roman"/>
          <w:spacing w:val="-1"/>
          <w:sz w:val="24"/>
          <w:szCs w:val="24"/>
        </w:rPr>
        <w:t>233.6m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p>
    <w:p w14:paraId="43BD1DC4">
      <w:pPr>
        <w:spacing w:before="44" w:line="218" w:lineRule="auto"/>
        <w:ind w:left="601"/>
        <w:rPr>
          <w:rFonts w:ascii="宋体" w:hAnsi="宋体" w:eastAsia="宋体" w:cs="宋体"/>
          <w:sz w:val="24"/>
          <w:szCs w:val="24"/>
        </w:rPr>
      </w:pPr>
      <w:r>
        <w:rPr>
          <w:rFonts w:ascii="宋体" w:hAnsi="宋体" w:eastAsia="宋体" w:cs="宋体"/>
          <w:spacing w:val="-1"/>
          <w:sz w:val="24"/>
          <w:szCs w:val="24"/>
        </w:rPr>
        <w:t>④夏季降温水帘用水量</w:t>
      </w:r>
    </w:p>
    <w:p w14:paraId="09D157BC">
      <w:pPr>
        <w:spacing w:before="167" w:line="375" w:lineRule="auto"/>
        <w:ind w:left="123" w:right="107" w:firstLine="479"/>
        <w:rPr>
          <w:rFonts w:ascii="宋体" w:hAnsi="宋体" w:eastAsia="宋体" w:cs="宋体"/>
          <w:sz w:val="24"/>
          <w:szCs w:val="24"/>
        </w:rPr>
      </w:pPr>
      <w:r>
        <w:rPr>
          <w:rFonts w:ascii="宋体" w:hAnsi="宋体" w:eastAsia="宋体" w:cs="宋体"/>
          <w:spacing w:val="-2"/>
          <w:sz w:val="24"/>
          <w:szCs w:val="24"/>
        </w:rPr>
        <w:t>每栋猪舍均设有水帘，用于夏季高温天气给猪舍降温，循环量水量约为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4m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/h</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2"/>
          <w:sz w:val="24"/>
          <w:szCs w:val="24"/>
        </w:rPr>
        <w:t>年工作时间按</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个月算，每天</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小时计算，补水量按循环量的</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1.2%</w:t>
      </w:r>
      <w:r>
        <w:rPr>
          <w:rFonts w:ascii="宋体" w:hAnsi="宋体" w:eastAsia="宋体" w:cs="宋体"/>
          <w:spacing w:val="-2"/>
          <w:sz w:val="24"/>
          <w:szCs w:val="24"/>
        </w:rPr>
        <w:t>计算，则项目水</w:t>
      </w:r>
      <w:r>
        <w:rPr>
          <w:rFonts w:ascii="宋体" w:hAnsi="宋体" w:eastAsia="宋体" w:cs="宋体"/>
          <w:sz w:val="24"/>
          <w:szCs w:val="24"/>
        </w:rPr>
        <w:t xml:space="preserve"> </w:t>
      </w:r>
      <w:r>
        <w:rPr>
          <w:rFonts w:ascii="宋体" w:hAnsi="宋体" w:eastAsia="宋体" w:cs="宋体"/>
          <w:spacing w:val="-1"/>
          <w:sz w:val="24"/>
          <w:szCs w:val="24"/>
        </w:rPr>
        <w:t>帘补水量为</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0.384m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r>
        <w:rPr>
          <w:rFonts w:ascii="Times New Roman" w:hAnsi="Times New Roman" w:eastAsia="Times New Roman" w:cs="Times New Roman"/>
          <w:spacing w:val="-1"/>
          <w:sz w:val="24"/>
          <w:szCs w:val="24"/>
        </w:rPr>
        <w:t>46.08m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p>
    <w:p w14:paraId="4FE1F993">
      <w:pPr>
        <w:spacing w:line="375" w:lineRule="auto"/>
        <w:rPr>
          <w:rFonts w:ascii="宋体" w:hAnsi="宋体" w:eastAsia="宋体" w:cs="宋体"/>
          <w:sz w:val="24"/>
          <w:szCs w:val="24"/>
        </w:rPr>
        <w:sectPr>
          <w:footerReference r:id="rId66" w:type="default"/>
          <w:pgSz w:w="11906" w:h="16839"/>
          <w:pgMar w:top="400" w:right="1475" w:bottom="1425" w:left="1475" w:header="0" w:footer="1265" w:gutter="0"/>
          <w:cols w:space="720" w:num="1"/>
        </w:sectPr>
      </w:pPr>
    </w:p>
    <w:p w14:paraId="4F3EDEE3">
      <w:pPr>
        <w:pStyle w:val="2"/>
        <w:spacing w:line="271" w:lineRule="auto"/>
      </w:pPr>
    </w:p>
    <w:p w14:paraId="68232F91">
      <w:pPr>
        <w:pStyle w:val="2"/>
        <w:spacing w:line="271" w:lineRule="auto"/>
      </w:pPr>
    </w:p>
    <w:p w14:paraId="7215EF67">
      <w:pPr>
        <w:pStyle w:val="2"/>
        <w:spacing w:line="271" w:lineRule="auto"/>
      </w:pPr>
    </w:p>
    <w:p w14:paraId="3F4A3FB9">
      <w:pPr>
        <w:pStyle w:val="2"/>
        <w:spacing w:line="271" w:lineRule="auto"/>
      </w:pPr>
    </w:p>
    <w:p w14:paraId="7AE7DDBB">
      <w:pPr>
        <w:spacing w:before="65" w:line="227" w:lineRule="auto"/>
        <w:ind w:left="3296"/>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44"/>
          <w:sz w:val="20"/>
          <w:szCs w:val="20"/>
        </w:rPr>
        <w:t xml:space="preserve"> </w:t>
      </w:r>
      <w:r>
        <w:rPr>
          <w:rFonts w:ascii="Times New Roman" w:hAnsi="Times New Roman" w:eastAsia="Times New Roman" w:cs="Times New Roman"/>
          <w:b/>
          <w:bCs/>
          <w:spacing w:val="5"/>
          <w:sz w:val="20"/>
          <w:szCs w:val="20"/>
        </w:rPr>
        <w:t xml:space="preserve">3.2-2    </w:t>
      </w:r>
      <w:r>
        <w:rPr>
          <w:rFonts w:ascii="宋体" w:hAnsi="宋体" w:eastAsia="宋体" w:cs="宋体"/>
          <w:b/>
          <w:bCs/>
          <w:spacing w:val="5"/>
          <w:sz w:val="20"/>
          <w:szCs w:val="20"/>
        </w:rPr>
        <w:t>项目用水估量表</w:t>
      </w:r>
    </w:p>
    <w:p w14:paraId="5ED01012">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1275"/>
        <w:gridCol w:w="993"/>
        <w:gridCol w:w="1418"/>
        <w:gridCol w:w="1135"/>
        <w:gridCol w:w="1275"/>
        <w:gridCol w:w="2033"/>
      </w:tblGrid>
      <w:tr w14:paraId="2DBC5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2096" w:type="dxa"/>
            <w:gridSpan w:val="2"/>
            <w:vAlign w:val="top"/>
          </w:tcPr>
          <w:p w14:paraId="755DDC8E">
            <w:pPr>
              <w:pStyle w:val="6"/>
              <w:spacing w:before="170" w:line="228" w:lineRule="auto"/>
              <w:ind w:left="844"/>
            </w:pPr>
            <w:r>
              <w:rPr>
                <w:spacing w:val="4"/>
              </w:rPr>
              <w:t>来源</w:t>
            </w:r>
          </w:p>
        </w:tc>
        <w:tc>
          <w:tcPr>
            <w:tcW w:w="993" w:type="dxa"/>
            <w:vAlign w:val="top"/>
          </w:tcPr>
          <w:p w14:paraId="7E1BE3D6">
            <w:pPr>
              <w:pStyle w:val="6"/>
              <w:spacing w:before="170" w:line="228" w:lineRule="auto"/>
              <w:ind w:left="291"/>
            </w:pPr>
            <w:r>
              <w:rPr>
                <w:spacing w:val="4"/>
              </w:rPr>
              <w:t>规模</w:t>
            </w:r>
          </w:p>
        </w:tc>
        <w:tc>
          <w:tcPr>
            <w:tcW w:w="1418" w:type="dxa"/>
            <w:vAlign w:val="top"/>
          </w:tcPr>
          <w:p w14:paraId="61F4A1CE">
            <w:pPr>
              <w:pStyle w:val="6"/>
              <w:spacing w:before="170" w:line="228" w:lineRule="auto"/>
              <w:ind w:left="507"/>
            </w:pPr>
            <w:r>
              <w:rPr>
                <w:spacing w:val="2"/>
              </w:rPr>
              <w:t>系数</w:t>
            </w:r>
          </w:p>
        </w:tc>
        <w:tc>
          <w:tcPr>
            <w:tcW w:w="1135" w:type="dxa"/>
            <w:vAlign w:val="top"/>
          </w:tcPr>
          <w:p w14:paraId="70B9934B">
            <w:pPr>
              <w:pStyle w:val="6"/>
              <w:spacing w:before="36" w:line="224" w:lineRule="auto"/>
              <w:ind w:left="366"/>
            </w:pPr>
            <w:r>
              <w:rPr>
                <w:spacing w:val="3"/>
              </w:rPr>
              <w:t>水量</w:t>
            </w:r>
          </w:p>
          <w:p w14:paraId="05488B60">
            <w:pPr>
              <w:pStyle w:val="6"/>
              <w:spacing w:line="265" w:lineRule="exact"/>
              <w:ind w:left="177"/>
            </w:pPr>
            <w:r>
              <w:rPr>
                <w:spacing w:val="1"/>
                <w:position w:val="1"/>
              </w:rPr>
              <w:t>（</w:t>
            </w:r>
            <w:r>
              <w:rPr>
                <w:rFonts w:ascii="Times New Roman" w:hAnsi="Times New Roman" w:eastAsia="Times New Roman" w:cs="Times New Roman"/>
                <w:spacing w:val="1"/>
                <w:position w:val="1"/>
              </w:rPr>
              <w:t>m</w:t>
            </w:r>
            <w:r>
              <w:rPr>
                <w:rFonts w:ascii="Times New Roman" w:hAnsi="Times New Roman" w:eastAsia="Times New Roman" w:cs="Times New Roman"/>
                <w:spacing w:val="1"/>
                <w:position w:val="7"/>
                <w:sz w:val="13"/>
                <w:szCs w:val="13"/>
              </w:rPr>
              <w:t>3</w:t>
            </w:r>
            <w:r>
              <w:rPr>
                <w:rFonts w:ascii="Times New Roman" w:hAnsi="Times New Roman" w:eastAsia="Times New Roman" w:cs="Times New Roman"/>
                <w:spacing w:val="1"/>
                <w:position w:val="1"/>
              </w:rPr>
              <w:t>/d</w:t>
            </w:r>
            <w:r>
              <w:rPr>
                <w:spacing w:val="1"/>
                <w:position w:val="1"/>
              </w:rPr>
              <w:t>）</w:t>
            </w:r>
          </w:p>
        </w:tc>
        <w:tc>
          <w:tcPr>
            <w:tcW w:w="1275" w:type="dxa"/>
            <w:vAlign w:val="top"/>
          </w:tcPr>
          <w:p w14:paraId="124D695E">
            <w:pPr>
              <w:pStyle w:val="6"/>
              <w:spacing w:before="36" w:line="224" w:lineRule="auto"/>
              <w:ind w:left="225"/>
            </w:pPr>
            <w:r>
              <w:rPr>
                <w:spacing w:val="7"/>
              </w:rPr>
              <w:t>年用水量</w:t>
            </w:r>
          </w:p>
          <w:p w14:paraId="35C086D6">
            <w:pPr>
              <w:pStyle w:val="6"/>
              <w:spacing w:line="265" w:lineRule="exact"/>
              <w:ind w:left="254"/>
            </w:pPr>
            <w:r>
              <w:rPr>
                <w:spacing w:val="1"/>
                <w:position w:val="1"/>
              </w:rPr>
              <w:t>（</w:t>
            </w:r>
            <w:r>
              <w:rPr>
                <w:rFonts w:ascii="Times New Roman" w:hAnsi="Times New Roman" w:eastAsia="Times New Roman" w:cs="Times New Roman"/>
                <w:spacing w:val="1"/>
                <w:position w:val="1"/>
              </w:rPr>
              <w:t>m</w:t>
            </w:r>
            <w:r>
              <w:rPr>
                <w:rFonts w:ascii="Times New Roman" w:hAnsi="Times New Roman" w:eastAsia="Times New Roman" w:cs="Times New Roman"/>
                <w:spacing w:val="1"/>
                <w:position w:val="7"/>
                <w:sz w:val="13"/>
                <w:szCs w:val="13"/>
              </w:rPr>
              <w:t>3</w:t>
            </w:r>
            <w:r>
              <w:rPr>
                <w:rFonts w:ascii="Times New Roman" w:hAnsi="Times New Roman" w:eastAsia="Times New Roman" w:cs="Times New Roman"/>
                <w:spacing w:val="1"/>
                <w:position w:val="1"/>
              </w:rPr>
              <w:t>/a</w:t>
            </w:r>
            <w:r>
              <w:rPr>
                <w:spacing w:val="1"/>
                <w:position w:val="1"/>
              </w:rPr>
              <w:t>）</w:t>
            </w:r>
          </w:p>
        </w:tc>
        <w:tc>
          <w:tcPr>
            <w:tcW w:w="2033" w:type="dxa"/>
            <w:vAlign w:val="top"/>
          </w:tcPr>
          <w:p w14:paraId="13DEB997">
            <w:pPr>
              <w:pStyle w:val="6"/>
              <w:spacing w:before="170" w:line="230" w:lineRule="auto"/>
              <w:ind w:left="815"/>
            </w:pPr>
            <w:r>
              <w:rPr>
                <w:spacing w:val="3"/>
              </w:rPr>
              <w:t>备注</w:t>
            </w:r>
          </w:p>
        </w:tc>
      </w:tr>
      <w:tr w14:paraId="06920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21" w:type="dxa"/>
            <w:vAlign w:val="top"/>
          </w:tcPr>
          <w:p w14:paraId="2EA69BA0">
            <w:pPr>
              <w:pStyle w:val="6"/>
              <w:spacing w:before="31" w:line="229" w:lineRule="auto"/>
              <w:ind w:left="205"/>
            </w:pPr>
            <w:r>
              <w:rPr>
                <w:spacing w:val="4"/>
              </w:rPr>
              <w:t>猪只</w:t>
            </w:r>
          </w:p>
          <w:p w14:paraId="5BF553E7">
            <w:pPr>
              <w:pStyle w:val="6"/>
              <w:spacing w:before="22" w:line="235" w:lineRule="auto"/>
              <w:ind w:left="313" w:right="200" w:hanging="108"/>
            </w:pPr>
            <w:r>
              <w:rPr>
                <w:spacing w:val="4"/>
              </w:rPr>
              <w:t>饮用</w:t>
            </w:r>
            <w:r>
              <w:t xml:space="preserve"> 水</w:t>
            </w:r>
          </w:p>
        </w:tc>
        <w:tc>
          <w:tcPr>
            <w:tcW w:w="1275" w:type="dxa"/>
            <w:vAlign w:val="top"/>
          </w:tcPr>
          <w:p w14:paraId="3C368190">
            <w:pPr>
              <w:pStyle w:val="6"/>
              <w:spacing w:before="302" w:line="228" w:lineRule="auto"/>
              <w:ind w:left="335"/>
            </w:pPr>
            <w:r>
              <w:rPr>
                <w:spacing w:val="4"/>
              </w:rPr>
              <w:t>育肥猪</w:t>
            </w:r>
          </w:p>
        </w:tc>
        <w:tc>
          <w:tcPr>
            <w:tcW w:w="993" w:type="dxa"/>
            <w:vAlign w:val="top"/>
          </w:tcPr>
          <w:p w14:paraId="78F1255C">
            <w:pPr>
              <w:pStyle w:val="6"/>
              <w:spacing w:before="271" w:line="274" w:lineRule="exact"/>
              <w:ind w:left="158"/>
            </w:pPr>
            <w:r>
              <w:rPr>
                <w:rFonts w:ascii="Times New Roman" w:hAnsi="Times New Roman" w:eastAsia="Times New Roman" w:cs="Times New Roman"/>
                <w:spacing w:val="2"/>
                <w:position w:val="1"/>
              </w:rPr>
              <w:t>7000</w:t>
            </w:r>
            <w:r>
              <w:rPr>
                <w:rFonts w:ascii="Times New Roman" w:hAnsi="Times New Roman" w:eastAsia="Times New Roman" w:cs="Times New Roman"/>
                <w:spacing w:val="15"/>
                <w:w w:val="101"/>
                <w:position w:val="1"/>
              </w:rPr>
              <w:t xml:space="preserve"> </w:t>
            </w:r>
            <w:r>
              <w:rPr>
                <w:spacing w:val="2"/>
                <w:position w:val="1"/>
              </w:rPr>
              <w:t>头</w:t>
            </w:r>
          </w:p>
        </w:tc>
        <w:tc>
          <w:tcPr>
            <w:tcW w:w="1418" w:type="dxa"/>
            <w:vAlign w:val="top"/>
          </w:tcPr>
          <w:p w14:paraId="19221089">
            <w:pPr>
              <w:pStyle w:val="6"/>
              <w:spacing w:before="271" w:line="274" w:lineRule="exact"/>
              <w:ind w:left="252"/>
            </w:pPr>
            <w:r>
              <w:rPr>
                <w:rFonts w:ascii="Times New Roman" w:hAnsi="Times New Roman" w:eastAsia="Times New Roman" w:cs="Times New Roman"/>
                <w:spacing w:val="4"/>
                <w:position w:val="1"/>
              </w:rPr>
              <w:t>7.7L/</w:t>
            </w:r>
            <w:r>
              <w:rPr>
                <w:spacing w:val="4"/>
                <w:position w:val="1"/>
              </w:rPr>
              <w:t>头</w:t>
            </w:r>
            <w:r>
              <w:rPr>
                <w:rFonts w:ascii="Times New Roman" w:hAnsi="Times New Roman" w:eastAsia="Times New Roman" w:cs="Times New Roman"/>
                <w:spacing w:val="4"/>
                <w:position w:val="1"/>
              </w:rPr>
              <w:t>∙</w:t>
            </w:r>
            <w:r>
              <w:rPr>
                <w:spacing w:val="4"/>
                <w:position w:val="1"/>
              </w:rPr>
              <w:t>天</w:t>
            </w:r>
          </w:p>
        </w:tc>
        <w:tc>
          <w:tcPr>
            <w:tcW w:w="1135" w:type="dxa"/>
            <w:vAlign w:val="top"/>
          </w:tcPr>
          <w:p w14:paraId="27915290">
            <w:pPr>
              <w:spacing w:before="271" w:line="274" w:lineRule="exact"/>
              <w:ind w:left="3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53.9</w:t>
            </w:r>
          </w:p>
        </w:tc>
        <w:tc>
          <w:tcPr>
            <w:tcW w:w="1275" w:type="dxa"/>
            <w:vAlign w:val="top"/>
          </w:tcPr>
          <w:p w14:paraId="78E2DC75">
            <w:pPr>
              <w:spacing w:before="271"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19673.5</w:t>
            </w:r>
          </w:p>
        </w:tc>
        <w:tc>
          <w:tcPr>
            <w:tcW w:w="2033" w:type="dxa"/>
            <w:vAlign w:val="top"/>
          </w:tcPr>
          <w:p w14:paraId="351DB3C2">
            <w:pPr>
              <w:spacing w:line="366" w:lineRule="auto"/>
              <w:rPr>
                <w:rFonts w:ascii="Arial"/>
                <w:sz w:val="21"/>
              </w:rPr>
            </w:pPr>
          </w:p>
          <w:p w14:paraId="429F5E54">
            <w:pPr>
              <w:spacing w:before="58" w:line="97" w:lineRule="exact"/>
              <w:ind w:left="95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r>
      <w:tr w14:paraId="008B3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2096" w:type="dxa"/>
            <w:gridSpan w:val="2"/>
            <w:vAlign w:val="top"/>
          </w:tcPr>
          <w:p w14:paraId="7713D5F1">
            <w:pPr>
              <w:spacing w:line="374" w:lineRule="auto"/>
              <w:rPr>
                <w:rFonts w:ascii="Arial"/>
                <w:sz w:val="21"/>
              </w:rPr>
            </w:pPr>
          </w:p>
          <w:p w14:paraId="50DB53D6">
            <w:pPr>
              <w:pStyle w:val="6"/>
              <w:spacing w:before="65" w:line="228" w:lineRule="auto"/>
              <w:ind w:left="529"/>
            </w:pPr>
            <w:r>
              <w:rPr>
                <w:spacing w:val="8"/>
              </w:rPr>
              <w:t>猪舍冲洗水</w:t>
            </w:r>
          </w:p>
        </w:tc>
        <w:tc>
          <w:tcPr>
            <w:tcW w:w="993" w:type="dxa"/>
            <w:vAlign w:val="top"/>
          </w:tcPr>
          <w:p w14:paraId="12E3F4AE">
            <w:pPr>
              <w:pStyle w:val="6"/>
              <w:spacing w:before="288" w:line="265" w:lineRule="exact"/>
              <w:ind w:left="129"/>
            </w:pPr>
            <w:r>
              <w:rPr>
                <w:rFonts w:ascii="Times New Roman" w:hAnsi="Times New Roman" w:eastAsia="Times New Roman" w:cs="Times New Roman"/>
                <w:position w:val="1"/>
              </w:rPr>
              <w:t xml:space="preserve">15000 </w:t>
            </w:r>
            <w:r>
              <w:rPr>
                <w:position w:val="1"/>
              </w:rPr>
              <w:t>头</w:t>
            </w:r>
          </w:p>
          <w:p w14:paraId="4831357B">
            <w:pPr>
              <w:spacing w:line="265" w:lineRule="exact"/>
              <w:ind w:left="4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/a</w:t>
            </w:r>
          </w:p>
        </w:tc>
        <w:tc>
          <w:tcPr>
            <w:tcW w:w="1418" w:type="dxa"/>
            <w:vAlign w:val="top"/>
          </w:tcPr>
          <w:p w14:paraId="6A5AAC57">
            <w:pPr>
              <w:spacing w:line="343" w:lineRule="auto"/>
              <w:rPr>
                <w:rFonts w:ascii="Arial"/>
                <w:sz w:val="21"/>
              </w:rPr>
            </w:pPr>
          </w:p>
          <w:p w14:paraId="7A52BA23">
            <w:pPr>
              <w:pStyle w:val="6"/>
              <w:spacing w:before="65" w:line="274" w:lineRule="exact"/>
              <w:ind w:left="333"/>
            </w:pPr>
            <w:r>
              <w:rPr>
                <w:rFonts w:ascii="Times New Roman" w:hAnsi="Times New Roman" w:eastAsia="Times New Roman" w:cs="Times New Roman"/>
                <w:spacing w:val="4"/>
                <w:position w:val="1"/>
              </w:rPr>
              <w:t>6L/</w:t>
            </w:r>
            <w:r>
              <w:rPr>
                <w:spacing w:val="4"/>
                <w:position w:val="1"/>
              </w:rPr>
              <w:t>头</w:t>
            </w:r>
            <w:r>
              <w:rPr>
                <w:rFonts w:ascii="Times New Roman" w:hAnsi="Times New Roman" w:eastAsia="Times New Roman" w:cs="Times New Roman"/>
                <w:spacing w:val="4"/>
                <w:position w:val="1"/>
              </w:rPr>
              <w:t>∙</w:t>
            </w:r>
            <w:r>
              <w:rPr>
                <w:spacing w:val="4"/>
                <w:position w:val="1"/>
              </w:rPr>
              <w:t>次</w:t>
            </w:r>
          </w:p>
        </w:tc>
        <w:tc>
          <w:tcPr>
            <w:tcW w:w="1135" w:type="dxa"/>
            <w:vAlign w:val="top"/>
          </w:tcPr>
          <w:p w14:paraId="747149BB">
            <w:pPr>
              <w:spacing w:line="343" w:lineRule="auto"/>
              <w:rPr>
                <w:rFonts w:ascii="Arial"/>
                <w:sz w:val="21"/>
              </w:rPr>
            </w:pPr>
          </w:p>
          <w:p w14:paraId="2237AD9F">
            <w:pPr>
              <w:pStyle w:val="6"/>
              <w:spacing w:before="65" w:line="274" w:lineRule="exact"/>
              <w:ind w:left="193"/>
            </w:pPr>
            <w:r>
              <w:rPr>
                <w:rFonts w:ascii="Times New Roman" w:hAnsi="Times New Roman" w:eastAsia="Times New Roman" w:cs="Times New Roman"/>
                <w:spacing w:val="3"/>
                <w:position w:val="1"/>
              </w:rPr>
              <w:t>7.5m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rPr>
              <w:t>/</w:t>
            </w:r>
            <w:r>
              <w:rPr>
                <w:spacing w:val="3"/>
                <w:position w:val="1"/>
              </w:rPr>
              <w:t>次</w:t>
            </w:r>
          </w:p>
        </w:tc>
        <w:tc>
          <w:tcPr>
            <w:tcW w:w="1275" w:type="dxa"/>
            <w:vAlign w:val="top"/>
          </w:tcPr>
          <w:p w14:paraId="666DD92E">
            <w:pPr>
              <w:spacing w:line="350" w:lineRule="auto"/>
              <w:rPr>
                <w:rFonts w:ascii="Arial"/>
                <w:sz w:val="21"/>
              </w:rPr>
            </w:pPr>
          </w:p>
          <w:p w14:paraId="3E636498">
            <w:pPr>
              <w:spacing w:before="58" w:line="274" w:lineRule="exact"/>
              <w:ind w:left="53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c>
          <w:tcPr>
            <w:tcW w:w="2033" w:type="dxa"/>
            <w:vAlign w:val="top"/>
          </w:tcPr>
          <w:p w14:paraId="1F9A25B1">
            <w:pPr>
              <w:pStyle w:val="6"/>
              <w:spacing w:before="33" w:line="229" w:lineRule="auto"/>
              <w:ind w:left="207"/>
              <w:rPr>
                <w:rFonts w:ascii="Times New Roman" w:hAnsi="Times New Roman" w:eastAsia="Times New Roman" w:cs="Times New Roman"/>
              </w:rPr>
            </w:pPr>
            <w:r>
              <w:rPr>
                <w:spacing w:val="7"/>
              </w:rPr>
              <w:t>猪只生长周期为</w:t>
            </w:r>
            <w:r>
              <w:rPr>
                <w:spacing w:val="-32"/>
              </w:rPr>
              <w:t xml:space="preserve"> </w:t>
            </w:r>
            <w:r>
              <w:rPr>
                <w:rFonts w:ascii="Times New Roman" w:hAnsi="Times New Roman" w:eastAsia="Times New Roman" w:cs="Times New Roman"/>
                <w:spacing w:val="7"/>
              </w:rPr>
              <w:t>5</w:t>
            </w:r>
          </w:p>
          <w:p w14:paraId="4EA810EC">
            <w:pPr>
              <w:pStyle w:val="6"/>
              <w:spacing w:before="23" w:line="228" w:lineRule="auto"/>
              <w:ind w:left="116"/>
            </w:pPr>
            <w:r>
              <w:t>个月，由于猪只不是</w:t>
            </w:r>
          </w:p>
          <w:p w14:paraId="25DC002A">
            <w:pPr>
              <w:pStyle w:val="6"/>
              <w:spacing w:before="24" w:line="228" w:lineRule="auto"/>
              <w:ind w:left="119"/>
            </w:pPr>
            <w:r>
              <w:t>一起出栏的，猪只每</w:t>
            </w:r>
          </w:p>
          <w:p w14:paraId="64435D6F">
            <w:pPr>
              <w:pStyle w:val="6"/>
              <w:spacing w:before="25" w:line="216" w:lineRule="auto"/>
              <w:ind w:left="500"/>
            </w:pPr>
            <w:r>
              <w:rPr>
                <w:spacing w:val="7"/>
              </w:rPr>
              <w:t>月出栏一次</w:t>
            </w:r>
          </w:p>
        </w:tc>
      </w:tr>
      <w:tr w14:paraId="28397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096" w:type="dxa"/>
            <w:gridSpan w:val="2"/>
            <w:vAlign w:val="top"/>
          </w:tcPr>
          <w:p w14:paraId="36B75F68">
            <w:pPr>
              <w:pStyle w:val="6"/>
              <w:spacing w:before="97" w:line="228" w:lineRule="auto"/>
              <w:ind w:left="530"/>
            </w:pPr>
            <w:r>
              <w:rPr>
                <w:spacing w:val="7"/>
              </w:rPr>
              <w:t>养殖区合计</w:t>
            </w:r>
          </w:p>
        </w:tc>
        <w:tc>
          <w:tcPr>
            <w:tcW w:w="993" w:type="dxa"/>
            <w:vAlign w:val="top"/>
          </w:tcPr>
          <w:p w14:paraId="70261C20">
            <w:pPr>
              <w:spacing w:before="221" w:line="96" w:lineRule="exact"/>
              <w:ind w:left="4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418" w:type="dxa"/>
            <w:vAlign w:val="top"/>
          </w:tcPr>
          <w:p w14:paraId="189F11D8">
            <w:pPr>
              <w:spacing w:before="221" w:line="96" w:lineRule="exact"/>
              <w:ind w:left="6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1135" w:type="dxa"/>
            <w:vAlign w:val="top"/>
          </w:tcPr>
          <w:p w14:paraId="41C6E943">
            <w:pPr>
              <w:spacing w:before="221" w:line="96" w:lineRule="exact"/>
              <w:ind w:left="5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75" w:type="dxa"/>
            <w:vAlign w:val="top"/>
          </w:tcPr>
          <w:p w14:paraId="2DF8B1EA">
            <w:pPr>
              <w:spacing w:before="66"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19763.5</w:t>
            </w:r>
          </w:p>
        </w:tc>
        <w:tc>
          <w:tcPr>
            <w:tcW w:w="2033" w:type="dxa"/>
            <w:vAlign w:val="top"/>
          </w:tcPr>
          <w:p w14:paraId="1F07441D">
            <w:pPr>
              <w:spacing w:before="221" w:line="96" w:lineRule="exact"/>
              <w:ind w:left="95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r>
      <w:tr w14:paraId="5EB9E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21" w:type="dxa"/>
            <w:vMerge w:val="restart"/>
            <w:tcBorders>
              <w:bottom w:val="nil"/>
            </w:tcBorders>
            <w:vAlign w:val="top"/>
          </w:tcPr>
          <w:p w14:paraId="0859BF92">
            <w:pPr>
              <w:pStyle w:val="6"/>
              <w:spacing w:before="33" w:line="228" w:lineRule="auto"/>
              <w:ind w:left="209"/>
            </w:pPr>
            <w:r>
              <w:rPr>
                <w:spacing w:val="2"/>
              </w:rPr>
              <w:t>办公</w:t>
            </w:r>
          </w:p>
          <w:p w14:paraId="0501752B">
            <w:pPr>
              <w:pStyle w:val="6"/>
              <w:spacing w:before="26" w:line="229" w:lineRule="auto"/>
              <w:ind w:left="207"/>
            </w:pPr>
            <w:r>
              <w:rPr>
                <w:spacing w:val="3"/>
              </w:rPr>
              <w:t>生活</w:t>
            </w:r>
          </w:p>
          <w:p w14:paraId="6B793C0E">
            <w:pPr>
              <w:pStyle w:val="6"/>
              <w:spacing w:before="22" w:line="215" w:lineRule="auto"/>
              <w:ind w:left="207"/>
            </w:pPr>
            <w:r>
              <w:rPr>
                <w:spacing w:val="3"/>
              </w:rPr>
              <w:t>用水</w:t>
            </w:r>
          </w:p>
        </w:tc>
        <w:tc>
          <w:tcPr>
            <w:tcW w:w="1275" w:type="dxa"/>
            <w:vAlign w:val="top"/>
          </w:tcPr>
          <w:p w14:paraId="6CAF506B">
            <w:pPr>
              <w:pStyle w:val="6"/>
              <w:spacing w:before="32" w:line="216" w:lineRule="auto"/>
              <w:ind w:left="430"/>
            </w:pPr>
            <w:r>
              <w:rPr>
                <w:spacing w:val="5"/>
              </w:rPr>
              <w:t>住宿</w:t>
            </w:r>
          </w:p>
        </w:tc>
        <w:tc>
          <w:tcPr>
            <w:tcW w:w="993" w:type="dxa"/>
            <w:vAlign w:val="top"/>
          </w:tcPr>
          <w:p w14:paraId="732339A8">
            <w:pPr>
              <w:pStyle w:val="6"/>
              <w:spacing w:before="2" w:line="264" w:lineRule="exact"/>
              <w:ind w:left="312"/>
            </w:pPr>
            <w:r>
              <w:rPr>
                <w:rFonts w:ascii="Times New Roman" w:hAnsi="Times New Roman" w:eastAsia="Times New Roman" w:cs="Times New Roman"/>
                <w:position w:val="1"/>
              </w:rPr>
              <w:t>4</w:t>
            </w:r>
            <w:r>
              <w:rPr>
                <w:rFonts w:ascii="Times New Roman" w:hAnsi="Times New Roman" w:eastAsia="Times New Roman" w:cs="Times New Roman"/>
                <w:spacing w:val="13"/>
                <w:w w:val="101"/>
                <w:position w:val="1"/>
              </w:rPr>
              <w:t xml:space="preserve"> </w:t>
            </w:r>
            <w:r>
              <w:rPr>
                <w:position w:val="1"/>
              </w:rPr>
              <w:t>人</w:t>
            </w:r>
          </w:p>
        </w:tc>
        <w:tc>
          <w:tcPr>
            <w:tcW w:w="1418" w:type="dxa"/>
            <w:vAlign w:val="top"/>
          </w:tcPr>
          <w:p w14:paraId="1F960D3F">
            <w:pPr>
              <w:pStyle w:val="6"/>
              <w:spacing w:before="2" w:line="264" w:lineRule="exact"/>
              <w:ind w:left="284"/>
            </w:pPr>
            <w:r>
              <w:rPr>
                <w:rFonts w:ascii="Times New Roman" w:hAnsi="Times New Roman" w:eastAsia="Times New Roman" w:cs="Times New Roman"/>
                <w:spacing w:val="4"/>
                <w:position w:val="1"/>
              </w:rPr>
              <w:t>80L/</w:t>
            </w:r>
            <w:r>
              <w:rPr>
                <w:spacing w:val="4"/>
                <w:position w:val="1"/>
              </w:rPr>
              <w:t>人</w:t>
            </w:r>
            <w:r>
              <w:rPr>
                <w:rFonts w:ascii="Times New Roman" w:hAnsi="Times New Roman" w:eastAsia="Times New Roman" w:cs="Times New Roman"/>
                <w:spacing w:val="4"/>
                <w:position w:val="1"/>
              </w:rPr>
              <w:t>∙</w:t>
            </w:r>
            <w:r>
              <w:rPr>
                <w:spacing w:val="4"/>
                <w:position w:val="1"/>
              </w:rPr>
              <w:t>天</w:t>
            </w:r>
          </w:p>
        </w:tc>
        <w:tc>
          <w:tcPr>
            <w:tcW w:w="1135" w:type="dxa"/>
            <w:vAlign w:val="top"/>
          </w:tcPr>
          <w:p w14:paraId="1FD25246">
            <w:pPr>
              <w:spacing w:before="2" w:line="26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0.32</w:t>
            </w:r>
          </w:p>
        </w:tc>
        <w:tc>
          <w:tcPr>
            <w:tcW w:w="1275" w:type="dxa"/>
            <w:vAlign w:val="top"/>
          </w:tcPr>
          <w:p w14:paraId="0E1E8B21">
            <w:pPr>
              <w:spacing w:before="2" w:line="264"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116.8</w:t>
            </w:r>
          </w:p>
        </w:tc>
        <w:tc>
          <w:tcPr>
            <w:tcW w:w="2033" w:type="dxa"/>
            <w:vMerge w:val="restart"/>
            <w:tcBorders>
              <w:bottom w:val="nil"/>
            </w:tcBorders>
            <w:vAlign w:val="top"/>
          </w:tcPr>
          <w:p w14:paraId="3D6C40A3">
            <w:pPr>
              <w:pStyle w:val="6"/>
              <w:spacing w:before="33" w:line="224" w:lineRule="auto"/>
              <w:ind w:left="116"/>
            </w:pPr>
            <w:r>
              <w:rPr>
                <w:spacing w:val="7"/>
              </w:rPr>
              <w:t>广东省《用水定额》</w:t>
            </w:r>
          </w:p>
          <w:p w14:paraId="2B1BB2FF">
            <w:pPr>
              <w:pStyle w:val="6"/>
              <w:spacing w:line="274" w:lineRule="exact"/>
              <w:ind w:left="129"/>
              <w:rPr>
                <w:rFonts w:ascii="Times New Roman" w:hAnsi="Times New Roman" w:eastAsia="Times New Roman" w:cs="Times New Roman"/>
              </w:rPr>
            </w:pPr>
            <w:r>
              <w:rPr>
                <w:spacing w:val="2"/>
                <w:position w:val="1"/>
              </w:rPr>
              <w:t>（</w:t>
            </w:r>
            <w:r>
              <w:rPr>
                <w:rFonts w:ascii="Times New Roman" w:hAnsi="Times New Roman" w:eastAsia="Times New Roman" w:cs="Times New Roman"/>
                <w:position w:val="1"/>
              </w:rPr>
              <w:t>DB</w:t>
            </w:r>
            <w:r>
              <w:rPr>
                <w:rFonts w:ascii="Times New Roman" w:hAnsi="Times New Roman" w:eastAsia="Times New Roman" w:cs="Times New Roman"/>
                <w:spacing w:val="2"/>
                <w:position w:val="1"/>
              </w:rPr>
              <w:t>44/T</w:t>
            </w:r>
            <w:r>
              <w:rPr>
                <w:rFonts w:ascii="Times New Roman" w:hAnsi="Times New Roman" w:eastAsia="Times New Roman" w:cs="Times New Roman"/>
                <w:spacing w:val="-14"/>
                <w:position w:val="1"/>
              </w:rPr>
              <w:t xml:space="preserve"> </w:t>
            </w:r>
            <w:r>
              <w:rPr>
                <w:rFonts w:ascii="Times New Roman" w:hAnsi="Times New Roman" w:eastAsia="Times New Roman" w:cs="Times New Roman"/>
                <w:spacing w:val="2"/>
                <w:position w:val="1"/>
              </w:rPr>
              <w:t>1461-2014</w:t>
            </w:r>
          </w:p>
          <w:p w14:paraId="6890179F">
            <w:pPr>
              <w:pStyle w:val="6"/>
              <w:spacing w:before="27" w:line="215" w:lineRule="auto"/>
              <w:ind w:left="937"/>
            </w:pPr>
            <w:r>
              <w:t>)</w:t>
            </w:r>
          </w:p>
        </w:tc>
      </w:tr>
      <w:tr w14:paraId="0BDE7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821" w:type="dxa"/>
            <w:vMerge w:val="continue"/>
            <w:tcBorders>
              <w:top w:val="nil"/>
            </w:tcBorders>
            <w:vAlign w:val="top"/>
          </w:tcPr>
          <w:p w14:paraId="57D97BCC">
            <w:pPr>
              <w:rPr>
                <w:rFonts w:ascii="Arial"/>
                <w:sz w:val="21"/>
              </w:rPr>
            </w:pPr>
          </w:p>
        </w:tc>
        <w:tc>
          <w:tcPr>
            <w:tcW w:w="1275" w:type="dxa"/>
            <w:vAlign w:val="top"/>
          </w:tcPr>
          <w:p w14:paraId="0057088A">
            <w:pPr>
              <w:pStyle w:val="6"/>
              <w:spacing w:before="164" w:line="228" w:lineRule="auto"/>
              <w:ind w:left="331"/>
            </w:pPr>
            <w:r>
              <w:rPr>
                <w:spacing w:val="5"/>
              </w:rPr>
              <w:t>非住宿</w:t>
            </w:r>
          </w:p>
        </w:tc>
        <w:tc>
          <w:tcPr>
            <w:tcW w:w="993" w:type="dxa"/>
            <w:vAlign w:val="top"/>
          </w:tcPr>
          <w:p w14:paraId="300EC99A">
            <w:pPr>
              <w:pStyle w:val="6"/>
              <w:spacing w:before="133" w:line="274" w:lineRule="exact"/>
              <w:ind w:left="322"/>
            </w:pPr>
            <w:r>
              <w:rPr>
                <w:rFonts w:ascii="Times New Roman" w:hAnsi="Times New Roman" w:eastAsia="Times New Roman" w:cs="Times New Roman"/>
                <w:spacing w:val="-5"/>
                <w:position w:val="1"/>
              </w:rPr>
              <w:t>8</w:t>
            </w:r>
            <w:r>
              <w:rPr>
                <w:rFonts w:ascii="Times New Roman" w:hAnsi="Times New Roman" w:eastAsia="Times New Roman" w:cs="Times New Roman"/>
                <w:spacing w:val="14"/>
                <w:position w:val="1"/>
              </w:rPr>
              <w:t xml:space="preserve"> </w:t>
            </w:r>
            <w:r>
              <w:rPr>
                <w:spacing w:val="-5"/>
                <w:position w:val="1"/>
              </w:rPr>
              <w:t>人</w:t>
            </w:r>
          </w:p>
        </w:tc>
        <w:tc>
          <w:tcPr>
            <w:tcW w:w="1418" w:type="dxa"/>
            <w:vAlign w:val="top"/>
          </w:tcPr>
          <w:p w14:paraId="5AD66093">
            <w:pPr>
              <w:pStyle w:val="6"/>
              <w:spacing w:before="133" w:line="274" w:lineRule="exact"/>
              <w:ind w:left="248"/>
            </w:pPr>
            <w:r>
              <w:rPr>
                <w:rFonts w:ascii="Times New Roman" w:hAnsi="Times New Roman" w:eastAsia="Times New Roman" w:cs="Times New Roman"/>
                <w:spacing w:val="4"/>
                <w:position w:val="1"/>
              </w:rPr>
              <w:t>40 L/</w:t>
            </w:r>
            <w:r>
              <w:rPr>
                <w:spacing w:val="4"/>
                <w:position w:val="1"/>
              </w:rPr>
              <w:t>人</w:t>
            </w:r>
            <w:r>
              <w:rPr>
                <w:rFonts w:ascii="Times New Roman" w:hAnsi="Times New Roman" w:eastAsia="Times New Roman" w:cs="Times New Roman"/>
                <w:spacing w:val="4"/>
                <w:position w:val="1"/>
              </w:rPr>
              <w:t>∙</w:t>
            </w:r>
            <w:r>
              <w:rPr>
                <w:spacing w:val="4"/>
                <w:position w:val="1"/>
              </w:rPr>
              <w:t>天</w:t>
            </w:r>
          </w:p>
        </w:tc>
        <w:tc>
          <w:tcPr>
            <w:tcW w:w="1135" w:type="dxa"/>
            <w:vAlign w:val="top"/>
          </w:tcPr>
          <w:p w14:paraId="53F291F9">
            <w:pPr>
              <w:spacing w:before="133"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0.32</w:t>
            </w:r>
          </w:p>
        </w:tc>
        <w:tc>
          <w:tcPr>
            <w:tcW w:w="1275" w:type="dxa"/>
            <w:vAlign w:val="top"/>
          </w:tcPr>
          <w:p w14:paraId="3EAEDC66">
            <w:pPr>
              <w:spacing w:before="133" w:line="274"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116.8</w:t>
            </w:r>
          </w:p>
        </w:tc>
        <w:tc>
          <w:tcPr>
            <w:tcW w:w="2033" w:type="dxa"/>
            <w:vMerge w:val="continue"/>
            <w:tcBorders>
              <w:top w:val="nil"/>
            </w:tcBorders>
            <w:vAlign w:val="top"/>
          </w:tcPr>
          <w:p w14:paraId="07711823">
            <w:pPr>
              <w:rPr>
                <w:rFonts w:ascii="Arial"/>
                <w:sz w:val="21"/>
              </w:rPr>
            </w:pPr>
          </w:p>
        </w:tc>
      </w:tr>
      <w:tr w14:paraId="16412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096" w:type="dxa"/>
            <w:gridSpan w:val="2"/>
            <w:vAlign w:val="top"/>
          </w:tcPr>
          <w:p w14:paraId="6A856C9A">
            <w:pPr>
              <w:pStyle w:val="6"/>
              <w:spacing w:before="35" w:line="214" w:lineRule="auto"/>
              <w:ind w:left="531"/>
            </w:pPr>
            <w:r>
              <w:rPr>
                <w:spacing w:val="7"/>
              </w:rPr>
              <w:t>生活区合计</w:t>
            </w:r>
          </w:p>
        </w:tc>
        <w:tc>
          <w:tcPr>
            <w:tcW w:w="993" w:type="dxa"/>
            <w:vAlign w:val="top"/>
          </w:tcPr>
          <w:p w14:paraId="1F1721A9">
            <w:pPr>
              <w:spacing w:before="159" w:line="97" w:lineRule="exact"/>
              <w:ind w:left="4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418" w:type="dxa"/>
            <w:vAlign w:val="top"/>
          </w:tcPr>
          <w:p w14:paraId="3D11F0D6">
            <w:pPr>
              <w:spacing w:before="159" w:line="97" w:lineRule="exact"/>
              <w:ind w:left="6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1135" w:type="dxa"/>
            <w:vAlign w:val="top"/>
          </w:tcPr>
          <w:p w14:paraId="43C8BDB5">
            <w:pPr>
              <w:spacing w:before="4" w:line="262"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0.64</w:t>
            </w:r>
          </w:p>
        </w:tc>
        <w:tc>
          <w:tcPr>
            <w:tcW w:w="1275" w:type="dxa"/>
            <w:vAlign w:val="top"/>
          </w:tcPr>
          <w:p w14:paraId="310AA3EF">
            <w:pPr>
              <w:spacing w:before="4" w:line="262" w:lineRule="exact"/>
              <w:ind w:left="40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233.6</w:t>
            </w:r>
          </w:p>
        </w:tc>
        <w:tc>
          <w:tcPr>
            <w:tcW w:w="2033" w:type="dxa"/>
            <w:vAlign w:val="top"/>
          </w:tcPr>
          <w:p w14:paraId="1E462063">
            <w:pPr>
              <w:spacing w:before="159" w:line="97" w:lineRule="exact"/>
              <w:ind w:left="95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r>
      <w:tr w14:paraId="4A652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096" w:type="dxa"/>
            <w:gridSpan w:val="2"/>
            <w:vAlign w:val="top"/>
          </w:tcPr>
          <w:p w14:paraId="7B48654F">
            <w:pPr>
              <w:pStyle w:val="6"/>
              <w:spacing w:before="34" w:line="216" w:lineRule="auto"/>
              <w:ind w:left="321"/>
            </w:pPr>
            <w:r>
              <w:rPr>
                <w:spacing w:val="8"/>
              </w:rPr>
              <w:t>项目区域内合计</w:t>
            </w:r>
          </w:p>
        </w:tc>
        <w:tc>
          <w:tcPr>
            <w:tcW w:w="993" w:type="dxa"/>
            <w:vAlign w:val="top"/>
          </w:tcPr>
          <w:p w14:paraId="050A6487">
            <w:pPr>
              <w:spacing w:before="158" w:line="97" w:lineRule="exact"/>
              <w:ind w:left="4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418" w:type="dxa"/>
            <w:vAlign w:val="top"/>
          </w:tcPr>
          <w:p w14:paraId="509B4BAD">
            <w:pPr>
              <w:spacing w:before="158" w:line="97" w:lineRule="exact"/>
              <w:ind w:left="6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1135" w:type="dxa"/>
            <w:vAlign w:val="top"/>
          </w:tcPr>
          <w:p w14:paraId="0D13311F">
            <w:pPr>
              <w:spacing w:before="158" w:line="97" w:lineRule="exact"/>
              <w:ind w:left="5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75" w:type="dxa"/>
            <w:vAlign w:val="top"/>
          </w:tcPr>
          <w:p w14:paraId="09DBC608">
            <w:pPr>
              <w:spacing w:before="3" w:line="265"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19997.1</w:t>
            </w:r>
          </w:p>
        </w:tc>
        <w:tc>
          <w:tcPr>
            <w:tcW w:w="2033" w:type="dxa"/>
            <w:vAlign w:val="top"/>
          </w:tcPr>
          <w:p w14:paraId="776ED702">
            <w:pPr>
              <w:spacing w:before="158" w:line="97" w:lineRule="exact"/>
              <w:ind w:left="95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r>
      <w:tr w14:paraId="6D2F0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096" w:type="dxa"/>
            <w:gridSpan w:val="2"/>
            <w:vAlign w:val="top"/>
          </w:tcPr>
          <w:p w14:paraId="08100213">
            <w:pPr>
              <w:pStyle w:val="6"/>
              <w:spacing w:before="306" w:line="228" w:lineRule="auto"/>
              <w:ind w:left="423"/>
            </w:pPr>
            <w:r>
              <w:rPr>
                <w:spacing w:val="8"/>
              </w:rPr>
              <w:t>夏季降温用水</w:t>
            </w:r>
          </w:p>
        </w:tc>
        <w:tc>
          <w:tcPr>
            <w:tcW w:w="993" w:type="dxa"/>
            <w:vAlign w:val="top"/>
          </w:tcPr>
          <w:p w14:paraId="4CFC830E">
            <w:pPr>
              <w:pStyle w:val="6"/>
              <w:spacing w:before="274" w:line="275" w:lineRule="exact"/>
              <w:ind w:left="266"/>
            </w:pPr>
            <w:r>
              <w:rPr>
                <w:rFonts w:ascii="Times New Roman" w:hAnsi="Times New Roman" w:eastAsia="Times New Roman" w:cs="Times New Roman"/>
                <w:spacing w:val="1"/>
                <w:position w:val="1"/>
              </w:rPr>
              <w:t>8h/</w:t>
            </w:r>
            <w:r>
              <w:rPr>
                <w:spacing w:val="1"/>
                <w:position w:val="1"/>
              </w:rPr>
              <w:t>天</w:t>
            </w:r>
          </w:p>
        </w:tc>
        <w:tc>
          <w:tcPr>
            <w:tcW w:w="1418" w:type="dxa"/>
            <w:vAlign w:val="top"/>
          </w:tcPr>
          <w:p w14:paraId="6D0DEE88">
            <w:pPr>
              <w:spacing w:before="274" w:line="275"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4m</w:t>
            </w:r>
            <w:r>
              <w:rPr>
                <w:rFonts w:ascii="Times New Roman" w:hAnsi="Times New Roman" w:eastAsia="Times New Roman" w:cs="Times New Roman"/>
                <w:spacing w:val="4"/>
                <w:position w:val="7"/>
                <w:sz w:val="13"/>
                <w:szCs w:val="13"/>
              </w:rPr>
              <w:t>3</w:t>
            </w:r>
            <w:r>
              <w:rPr>
                <w:rFonts w:ascii="Times New Roman" w:hAnsi="Times New Roman" w:eastAsia="Times New Roman" w:cs="Times New Roman"/>
                <w:spacing w:val="4"/>
                <w:position w:val="1"/>
                <w:sz w:val="20"/>
                <w:szCs w:val="20"/>
              </w:rPr>
              <w:t>/h*0.012</w:t>
            </w:r>
          </w:p>
        </w:tc>
        <w:tc>
          <w:tcPr>
            <w:tcW w:w="1135" w:type="dxa"/>
            <w:vAlign w:val="top"/>
          </w:tcPr>
          <w:p w14:paraId="50296054">
            <w:pPr>
              <w:spacing w:before="274" w:line="275"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0.384</w:t>
            </w:r>
          </w:p>
        </w:tc>
        <w:tc>
          <w:tcPr>
            <w:tcW w:w="1275" w:type="dxa"/>
            <w:vAlign w:val="top"/>
          </w:tcPr>
          <w:p w14:paraId="2055A083">
            <w:pPr>
              <w:spacing w:before="274" w:line="275" w:lineRule="exact"/>
              <w:ind w:left="40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46.08</w:t>
            </w:r>
          </w:p>
        </w:tc>
        <w:tc>
          <w:tcPr>
            <w:tcW w:w="2033" w:type="dxa"/>
            <w:vAlign w:val="top"/>
          </w:tcPr>
          <w:p w14:paraId="4F7F3DD4">
            <w:pPr>
              <w:pStyle w:val="6"/>
              <w:spacing w:before="34" w:line="222" w:lineRule="auto"/>
              <w:ind w:left="119"/>
            </w:pPr>
            <w:r>
              <w:rPr>
                <w:spacing w:val="-1"/>
              </w:rPr>
              <w:t>蒸发损耗，无废水产</w:t>
            </w:r>
          </w:p>
          <w:p w14:paraId="54BED38A">
            <w:pPr>
              <w:pStyle w:val="6"/>
              <w:spacing w:line="274" w:lineRule="exact"/>
              <w:ind w:left="118"/>
            </w:pPr>
            <w:r>
              <w:rPr>
                <w:spacing w:val="-1"/>
                <w:position w:val="1"/>
              </w:rPr>
              <w:t>生，每年约有</w:t>
            </w:r>
            <w:r>
              <w:rPr>
                <w:spacing w:val="-42"/>
                <w:position w:val="1"/>
              </w:rPr>
              <w:t xml:space="preserve"> </w:t>
            </w:r>
            <w:r>
              <w:rPr>
                <w:rFonts w:ascii="Times New Roman" w:hAnsi="Times New Roman" w:eastAsia="Times New Roman" w:cs="Times New Roman"/>
                <w:spacing w:val="-1"/>
                <w:position w:val="1"/>
              </w:rPr>
              <w:t xml:space="preserve">4 </w:t>
            </w:r>
            <w:r>
              <w:rPr>
                <w:spacing w:val="-1"/>
                <w:position w:val="1"/>
              </w:rPr>
              <w:t>个月</w:t>
            </w:r>
          </w:p>
          <w:p w14:paraId="66E62524">
            <w:pPr>
              <w:pStyle w:val="6"/>
              <w:spacing w:before="30" w:line="214" w:lineRule="auto"/>
              <w:ind w:left="611"/>
            </w:pPr>
            <w:r>
              <w:rPr>
                <w:spacing w:val="4"/>
              </w:rPr>
              <w:t>需要降温</w:t>
            </w:r>
          </w:p>
        </w:tc>
      </w:tr>
      <w:tr w14:paraId="6D84F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096" w:type="dxa"/>
            <w:gridSpan w:val="2"/>
            <w:vAlign w:val="top"/>
          </w:tcPr>
          <w:p w14:paraId="73443BE3">
            <w:pPr>
              <w:pStyle w:val="6"/>
              <w:spacing w:before="36" w:line="216" w:lineRule="auto"/>
              <w:ind w:left="846"/>
            </w:pPr>
            <w:r>
              <w:rPr>
                <w:spacing w:val="3"/>
              </w:rPr>
              <w:t>总计</w:t>
            </w:r>
          </w:p>
        </w:tc>
        <w:tc>
          <w:tcPr>
            <w:tcW w:w="993" w:type="dxa"/>
            <w:vAlign w:val="top"/>
          </w:tcPr>
          <w:p w14:paraId="3608FD15">
            <w:pPr>
              <w:spacing w:before="160" w:line="97" w:lineRule="exact"/>
              <w:ind w:left="4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418" w:type="dxa"/>
            <w:vAlign w:val="top"/>
          </w:tcPr>
          <w:p w14:paraId="2ADEA178">
            <w:pPr>
              <w:spacing w:before="160" w:line="97" w:lineRule="exact"/>
              <w:ind w:left="6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1135" w:type="dxa"/>
            <w:vAlign w:val="top"/>
          </w:tcPr>
          <w:p w14:paraId="3A5590D5">
            <w:pPr>
              <w:spacing w:before="160" w:line="97" w:lineRule="exact"/>
              <w:ind w:left="5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75" w:type="dxa"/>
            <w:vAlign w:val="top"/>
          </w:tcPr>
          <w:p w14:paraId="1933D577">
            <w:pPr>
              <w:spacing w:before="5" w:line="265"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20043.18</w:t>
            </w:r>
          </w:p>
        </w:tc>
        <w:tc>
          <w:tcPr>
            <w:tcW w:w="2033" w:type="dxa"/>
            <w:vAlign w:val="top"/>
          </w:tcPr>
          <w:p w14:paraId="053F8A80">
            <w:pPr>
              <w:spacing w:before="160" w:line="97" w:lineRule="exact"/>
              <w:ind w:left="95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r>
    </w:tbl>
    <w:p w14:paraId="7934B43C">
      <w:pPr>
        <w:pStyle w:val="2"/>
        <w:spacing w:line="370" w:lineRule="auto"/>
      </w:pPr>
    </w:p>
    <w:p w14:paraId="5D4C126A">
      <w:pPr>
        <w:spacing w:before="78" w:line="220" w:lineRule="auto"/>
        <w:ind w:left="599"/>
        <w:rPr>
          <w:rFonts w:ascii="宋体" w:hAnsi="宋体" w:eastAsia="宋体" w:cs="宋体"/>
          <w:sz w:val="24"/>
          <w:szCs w:val="24"/>
        </w:rPr>
      </w:pPr>
      <w:r>
        <w:rPr>
          <w:rFonts w:ascii="Times New Roman" w:hAnsi="Times New Roman" w:eastAsia="Times New Roman" w:cs="Times New Roman"/>
          <w:b/>
          <w:bCs/>
          <w:spacing w:val="-10"/>
          <w:sz w:val="24"/>
          <w:szCs w:val="24"/>
        </w:rPr>
        <w:t>2</w:t>
      </w:r>
      <w:r>
        <w:rPr>
          <w:rFonts w:ascii="Times New Roman" w:hAnsi="Times New Roman" w:eastAsia="Times New Roman" w:cs="Times New Roman"/>
          <w:b/>
          <w:bCs/>
          <w:spacing w:val="-32"/>
          <w:sz w:val="24"/>
          <w:szCs w:val="24"/>
        </w:rPr>
        <w:t xml:space="preserve"> </w:t>
      </w:r>
      <w:r>
        <w:rPr>
          <w:rFonts w:ascii="宋体" w:hAnsi="宋体" w:eastAsia="宋体" w:cs="宋体"/>
          <w:b/>
          <w:bCs/>
          <w:spacing w:val="-10"/>
          <w:sz w:val="24"/>
          <w:szCs w:val="24"/>
        </w:rPr>
        <w:t>、排水</w:t>
      </w:r>
    </w:p>
    <w:p w14:paraId="56827849">
      <w:pPr>
        <w:spacing w:before="203" w:line="219" w:lineRule="auto"/>
        <w:ind w:left="603"/>
        <w:rPr>
          <w:rFonts w:ascii="宋体" w:hAnsi="宋体" w:eastAsia="宋体" w:cs="宋体"/>
          <w:sz w:val="24"/>
          <w:szCs w:val="24"/>
        </w:rPr>
      </w:pPr>
      <w:r>
        <w:rPr>
          <w:rFonts w:ascii="宋体" w:hAnsi="宋体" w:eastAsia="宋体" w:cs="宋体"/>
          <w:spacing w:val="-1"/>
          <w:sz w:val="24"/>
          <w:szCs w:val="24"/>
        </w:rPr>
        <w:t>本项目采用雨污分流制排水系统。</w:t>
      </w:r>
    </w:p>
    <w:p w14:paraId="4C875E0D">
      <w:pPr>
        <w:spacing w:before="204" w:line="218" w:lineRule="auto"/>
        <w:ind w:left="602"/>
        <w:rPr>
          <w:rFonts w:ascii="宋体" w:hAnsi="宋体" w:eastAsia="宋体" w:cs="宋体"/>
          <w:sz w:val="24"/>
          <w:szCs w:val="24"/>
        </w:rPr>
      </w:pPr>
      <w:r>
        <w:rPr>
          <w:rFonts w:ascii="宋体" w:hAnsi="宋体" w:eastAsia="宋体" w:cs="宋体"/>
          <w:spacing w:val="-2"/>
          <w:sz w:val="24"/>
          <w:szCs w:val="24"/>
        </w:rPr>
        <w:t>①牲畜尿液量</w:t>
      </w:r>
    </w:p>
    <w:p w14:paraId="4D6D57A7">
      <w:pPr>
        <w:spacing w:before="168" w:line="367" w:lineRule="auto"/>
        <w:ind w:left="122" w:right="108" w:firstLine="481"/>
        <w:rPr>
          <w:rFonts w:ascii="宋体" w:hAnsi="宋体" w:eastAsia="宋体" w:cs="宋体"/>
          <w:sz w:val="24"/>
          <w:szCs w:val="24"/>
        </w:rPr>
      </w:pPr>
      <w:r>
        <w:rPr>
          <w:rFonts w:ascii="宋体" w:hAnsi="宋体" w:eastAsia="宋体" w:cs="宋体"/>
          <w:spacing w:val="2"/>
          <w:sz w:val="24"/>
          <w:szCs w:val="24"/>
        </w:rPr>
        <w:t>本项目存栏猪只的饮水量为</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53.9m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r>
        <w:rPr>
          <w:rFonts w:ascii="Times New Roman" w:hAnsi="Times New Roman" w:eastAsia="Times New Roman" w:cs="Times New Roman"/>
          <w:spacing w:val="1"/>
          <w:sz w:val="24"/>
          <w:szCs w:val="24"/>
        </w:rPr>
        <w:t>19673.5m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/a</w:t>
      </w:r>
      <w:r>
        <w:rPr>
          <w:rFonts w:ascii="宋体" w:hAnsi="宋体" w:eastAsia="宋体" w:cs="宋体"/>
          <w:spacing w:val="12"/>
          <w:sz w:val="24"/>
          <w:szCs w:val="24"/>
        </w:rPr>
        <w:t>），</w:t>
      </w:r>
      <w:r>
        <w:rPr>
          <w:rFonts w:ascii="宋体" w:hAnsi="宋体" w:eastAsia="宋体" w:cs="宋体"/>
          <w:spacing w:val="1"/>
          <w:sz w:val="24"/>
          <w:szCs w:val="24"/>
        </w:rPr>
        <w:t>根据经验公式，猪的排</w:t>
      </w:r>
      <w:r>
        <w:rPr>
          <w:rFonts w:ascii="宋体" w:hAnsi="宋体" w:eastAsia="宋体" w:cs="宋体"/>
          <w:sz w:val="24"/>
          <w:szCs w:val="24"/>
        </w:rPr>
        <w:t xml:space="preserve"> </w:t>
      </w:r>
      <w:r>
        <w:rPr>
          <w:rFonts w:ascii="宋体" w:hAnsi="宋体" w:eastAsia="宋体" w:cs="宋体"/>
          <w:spacing w:val="-1"/>
          <w:sz w:val="24"/>
          <w:szCs w:val="24"/>
        </w:rPr>
        <w:t>尿量可根据以下公式计算</w:t>
      </w:r>
    </w:p>
    <w:p w14:paraId="328ACF06">
      <w:pPr>
        <w:spacing w:before="26" w:line="315" w:lineRule="exact"/>
        <w:ind w:left="3620"/>
        <w:rPr>
          <w:rFonts w:ascii="Times New Roman" w:hAnsi="Times New Roman" w:eastAsia="Times New Roman" w:cs="Times New Roman"/>
          <w:sz w:val="24"/>
          <w:szCs w:val="24"/>
        </w:rPr>
      </w:pPr>
      <w:r>
        <w:rPr>
          <w:rFonts w:ascii="Times New Roman" w:hAnsi="Times New Roman" w:eastAsia="Times New Roman" w:cs="Times New Roman"/>
          <w:i/>
          <w:iCs/>
          <w:spacing w:val="5"/>
          <w:position w:val="2"/>
          <w:sz w:val="24"/>
          <w:szCs w:val="24"/>
        </w:rPr>
        <w:t>Y</w:t>
      </w:r>
      <w:r>
        <w:rPr>
          <w:rFonts w:ascii="Times New Roman" w:hAnsi="Times New Roman" w:eastAsia="Times New Roman" w:cs="Times New Roman"/>
          <w:i/>
          <w:iCs/>
          <w:position w:val="1"/>
          <w:sz w:val="15"/>
          <w:szCs w:val="15"/>
        </w:rPr>
        <w:t>u</w:t>
      </w:r>
      <w:r>
        <w:rPr>
          <w:rFonts w:ascii="Times New Roman" w:hAnsi="Times New Roman" w:eastAsia="Times New Roman" w:cs="Times New Roman"/>
          <w:position w:val="2"/>
          <w:sz w:val="24"/>
          <w:szCs w:val="24"/>
        </w:rPr>
        <w:t>=0.025+0.438</w:t>
      </w:r>
      <w:r>
        <w:rPr>
          <w:rFonts w:ascii="Times New Roman" w:hAnsi="Times New Roman" w:eastAsia="Times New Roman" w:cs="Times New Roman"/>
          <w:i/>
          <w:iCs/>
          <w:position w:val="2"/>
          <w:sz w:val="24"/>
          <w:szCs w:val="24"/>
        </w:rPr>
        <w:t>W</w:t>
      </w:r>
    </w:p>
    <w:p w14:paraId="322B5A50">
      <w:pPr>
        <w:spacing w:before="172" w:line="333" w:lineRule="exact"/>
        <w:ind w:left="607"/>
        <w:rPr>
          <w:rFonts w:ascii="宋体" w:hAnsi="宋体" w:eastAsia="宋体" w:cs="宋体"/>
          <w:sz w:val="24"/>
          <w:szCs w:val="24"/>
        </w:rPr>
      </w:pPr>
      <w:r>
        <w:rPr>
          <w:rFonts w:ascii="宋体" w:hAnsi="宋体" w:eastAsia="宋体" w:cs="宋体"/>
          <w:spacing w:val="-1"/>
          <w:position w:val="3"/>
          <w:sz w:val="24"/>
          <w:szCs w:val="24"/>
        </w:rPr>
        <w:t>式中：</w:t>
      </w:r>
      <w:r>
        <w:rPr>
          <w:rFonts w:ascii="Times New Roman" w:hAnsi="Times New Roman" w:eastAsia="Times New Roman" w:cs="Times New Roman"/>
          <w:i/>
          <w:iCs/>
          <w:spacing w:val="-1"/>
          <w:position w:val="3"/>
          <w:sz w:val="24"/>
          <w:szCs w:val="24"/>
        </w:rPr>
        <w:t>Y</w:t>
      </w:r>
      <w:r>
        <w:rPr>
          <w:rFonts w:ascii="Times New Roman" w:hAnsi="Times New Roman" w:eastAsia="Times New Roman" w:cs="Times New Roman"/>
          <w:i/>
          <w:iCs/>
          <w:spacing w:val="-1"/>
          <w:position w:val="2"/>
          <w:sz w:val="15"/>
          <w:szCs w:val="15"/>
        </w:rPr>
        <w:t>u</w:t>
      </w:r>
      <w:r>
        <w:rPr>
          <w:rFonts w:ascii="宋体" w:hAnsi="宋体" w:eastAsia="宋体" w:cs="宋体"/>
          <w:spacing w:val="-1"/>
          <w:position w:val="3"/>
          <w:sz w:val="24"/>
          <w:szCs w:val="24"/>
        </w:rPr>
        <w:t>——尿的排放量，</w:t>
      </w:r>
      <w:r>
        <w:rPr>
          <w:rFonts w:ascii="Times New Roman" w:hAnsi="Times New Roman" w:eastAsia="Times New Roman" w:cs="Times New Roman"/>
          <w:spacing w:val="-1"/>
          <w:position w:val="3"/>
          <w:sz w:val="24"/>
          <w:szCs w:val="24"/>
        </w:rPr>
        <w:t>kg</w:t>
      </w:r>
      <w:r>
        <w:rPr>
          <w:rFonts w:ascii="宋体" w:hAnsi="宋体" w:eastAsia="宋体" w:cs="宋体"/>
          <w:spacing w:val="-1"/>
          <w:position w:val="3"/>
          <w:sz w:val="24"/>
          <w:szCs w:val="24"/>
        </w:rPr>
        <w:t>；</w:t>
      </w:r>
    </w:p>
    <w:p w14:paraId="1C133893">
      <w:pPr>
        <w:spacing w:before="157" w:line="333" w:lineRule="exact"/>
        <w:ind w:left="1342"/>
        <w:rPr>
          <w:rFonts w:ascii="宋体" w:hAnsi="宋体" w:eastAsia="宋体" w:cs="宋体"/>
          <w:sz w:val="24"/>
          <w:szCs w:val="24"/>
        </w:rPr>
      </w:pPr>
      <w:r>
        <w:rPr>
          <w:rFonts w:ascii="Times New Roman" w:hAnsi="Times New Roman" w:eastAsia="Times New Roman" w:cs="Times New Roman"/>
          <w:i/>
          <w:iCs/>
          <w:spacing w:val="-4"/>
          <w:position w:val="3"/>
          <w:sz w:val="24"/>
          <w:szCs w:val="24"/>
        </w:rPr>
        <w:t>W</w:t>
      </w:r>
      <w:r>
        <w:rPr>
          <w:rFonts w:ascii="宋体" w:hAnsi="宋体" w:eastAsia="宋体" w:cs="宋体"/>
          <w:spacing w:val="-4"/>
          <w:position w:val="3"/>
          <w:sz w:val="24"/>
          <w:szCs w:val="24"/>
        </w:rPr>
        <w:t>——饮水量，</w:t>
      </w:r>
      <w:r>
        <w:rPr>
          <w:rFonts w:ascii="Times New Roman" w:hAnsi="Times New Roman" w:eastAsia="Times New Roman" w:cs="Times New Roman"/>
          <w:spacing w:val="-4"/>
          <w:position w:val="3"/>
          <w:sz w:val="24"/>
          <w:szCs w:val="24"/>
        </w:rPr>
        <w:t>kg</w:t>
      </w:r>
      <w:r>
        <w:rPr>
          <w:rFonts w:ascii="宋体" w:hAnsi="宋体" w:eastAsia="宋体" w:cs="宋体"/>
          <w:spacing w:val="-4"/>
          <w:position w:val="3"/>
          <w:sz w:val="24"/>
          <w:szCs w:val="24"/>
        </w:rPr>
        <w:t>。</w:t>
      </w:r>
    </w:p>
    <w:p w14:paraId="265B4E3C">
      <w:pPr>
        <w:spacing w:before="156" w:line="361" w:lineRule="exact"/>
        <w:ind w:left="602"/>
        <w:rPr>
          <w:rFonts w:ascii="宋体" w:hAnsi="宋体" w:eastAsia="宋体" w:cs="宋体"/>
          <w:sz w:val="24"/>
          <w:szCs w:val="24"/>
        </w:rPr>
      </w:pPr>
      <w:r>
        <w:rPr>
          <w:rFonts w:ascii="宋体" w:hAnsi="宋体" w:eastAsia="宋体" w:cs="宋体"/>
          <w:position w:val="2"/>
          <w:sz w:val="24"/>
          <w:szCs w:val="24"/>
        </w:rPr>
        <w:t>计算得，项目运营期猪只排尿量为</w:t>
      </w:r>
      <w:r>
        <w:rPr>
          <w:rFonts w:ascii="宋体" w:hAnsi="宋体" w:eastAsia="宋体" w:cs="宋体"/>
          <w:spacing w:val="-55"/>
          <w:position w:val="2"/>
          <w:sz w:val="24"/>
          <w:szCs w:val="24"/>
        </w:rPr>
        <w:t xml:space="preserve"> </w:t>
      </w:r>
      <w:r>
        <w:rPr>
          <w:rFonts w:ascii="Times New Roman" w:hAnsi="Times New Roman" w:eastAsia="Times New Roman" w:cs="Times New Roman"/>
          <w:position w:val="2"/>
          <w:sz w:val="24"/>
          <w:szCs w:val="24"/>
        </w:rPr>
        <w:t>23.6</w:t>
      </w:r>
      <w:r>
        <w:rPr>
          <w:rFonts w:ascii="Times New Roman" w:hAnsi="Times New Roman" w:eastAsia="Times New Roman" w:cs="Times New Roman"/>
          <w:spacing w:val="-1"/>
          <w:position w:val="2"/>
          <w:sz w:val="24"/>
          <w:szCs w:val="24"/>
        </w:rPr>
        <w:t>3t/d</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8617.02t/a</w:t>
      </w:r>
      <w:r>
        <w:rPr>
          <w:rFonts w:ascii="宋体" w:hAnsi="宋体" w:eastAsia="宋体" w:cs="宋体"/>
          <w:spacing w:val="-1"/>
          <w:position w:val="2"/>
          <w:sz w:val="24"/>
          <w:szCs w:val="24"/>
        </w:rPr>
        <w:t>）。</w:t>
      </w:r>
    </w:p>
    <w:p w14:paraId="29E4AD01">
      <w:pPr>
        <w:spacing w:before="164" w:line="218" w:lineRule="auto"/>
        <w:ind w:left="601"/>
        <w:rPr>
          <w:rFonts w:ascii="宋体" w:hAnsi="宋体" w:eastAsia="宋体" w:cs="宋体"/>
          <w:sz w:val="24"/>
          <w:szCs w:val="24"/>
        </w:rPr>
      </w:pPr>
      <w:r>
        <w:rPr>
          <w:rFonts w:ascii="宋体" w:hAnsi="宋体" w:eastAsia="宋体" w:cs="宋体"/>
          <w:spacing w:val="-2"/>
          <w:sz w:val="24"/>
          <w:szCs w:val="24"/>
        </w:rPr>
        <w:t>②猪舍冲洗废水</w:t>
      </w:r>
    </w:p>
    <w:p w14:paraId="00A2451C">
      <w:pPr>
        <w:spacing w:before="169" w:line="374" w:lineRule="auto"/>
        <w:ind w:left="128" w:right="110" w:firstLine="475"/>
        <w:rPr>
          <w:rFonts w:ascii="宋体" w:hAnsi="宋体" w:eastAsia="宋体" w:cs="宋体"/>
          <w:sz w:val="24"/>
          <w:szCs w:val="24"/>
        </w:rPr>
      </w:pPr>
      <w:r>
        <w:rPr>
          <w:rFonts w:ascii="宋体" w:hAnsi="宋体" w:eastAsia="宋体" w:cs="宋体"/>
          <w:spacing w:val="2"/>
          <w:sz w:val="24"/>
          <w:szCs w:val="24"/>
        </w:rPr>
        <w:t>本项目猪舍冲洗用水量为</w:t>
      </w:r>
      <w:r>
        <w:rPr>
          <w:rFonts w:ascii="Times New Roman" w:hAnsi="Times New Roman" w:eastAsia="Times New Roman" w:cs="Times New Roman"/>
          <w:spacing w:val="2"/>
          <w:sz w:val="24"/>
          <w:szCs w:val="24"/>
        </w:rPr>
        <w:t>90m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/a</w:t>
      </w:r>
      <w:r>
        <w:rPr>
          <w:rFonts w:ascii="宋体" w:hAnsi="宋体" w:eastAsia="宋体" w:cs="宋体"/>
          <w:spacing w:val="2"/>
          <w:sz w:val="24"/>
          <w:szCs w:val="24"/>
        </w:rPr>
        <w:t>，排污系数取</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1"/>
          <w:sz w:val="24"/>
          <w:szCs w:val="24"/>
        </w:rPr>
        <w:t>9</w:t>
      </w:r>
      <w:r>
        <w:rPr>
          <w:rFonts w:ascii="宋体" w:hAnsi="宋体" w:eastAsia="宋体" w:cs="宋体"/>
          <w:spacing w:val="1"/>
          <w:sz w:val="24"/>
          <w:szCs w:val="24"/>
        </w:rPr>
        <w:t>，则本项目猪舍冲洗废水量为</w:t>
      </w:r>
      <w:r>
        <w:rPr>
          <w:rFonts w:ascii="宋体" w:hAnsi="宋体" w:eastAsia="宋体" w:cs="宋体"/>
          <w:sz w:val="24"/>
          <w:szCs w:val="24"/>
        </w:rPr>
        <w:t xml:space="preserve"> </w:t>
      </w:r>
      <w:r>
        <w:rPr>
          <w:rFonts w:ascii="Times New Roman" w:hAnsi="Times New Roman" w:eastAsia="Times New Roman" w:cs="Times New Roman"/>
          <w:spacing w:val="-3"/>
          <w:sz w:val="24"/>
          <w:szCs w:val="24"/>
        </w:rPr>
        <w:t>81m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/a</w:t>
      </w:r>
      <w:r>
        <w:rPr>
          <w:rFonts w:ascii="宋体" w:hAnsi="宋体" w:eastAsia="宋体" w:cs="宋体"/>
          <w:sz w:val="24"/>
          <w:szCs w:val="24"/>
        </w:rPr>
        <w:t>（</w:t>
      </w:r>
      <w:r>
        <w:rPr>
          <w:rFonts w:ascii="Times New Roman" w:hAnsi="Times New Roman" w:eastAsia="Times New Roman" w:cs="Times New Roman"/>
          <w:sz w:val="24"/>
          <w:szCs w:val="24"/>
        </w:rPr>
        <w:t>6.75m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w:t>
      </w:r>
      <w:r>
        <w:rPr>
          <w:rFonts w:ascii="宋体" w:hAnsi="宋体" w:eastAsia="宋体" w:cs="宋体"/>
          <w:sz w:val="24"/>
          <w:szCs w:val="24"/>
        </w:rPr>
        <w:t>次）。</w:t>
      </w:r>
    </w:p>
    <w:p w14:paraId="414A873A">
      <w:pPr>
        <w:spacing w:before="42" w:line="218" w:lineRule="auto"/>
        <w:ind w:left="601"/>
        <w:rPr>
          <w:rFonts w:ascii="宋体" w:hAnsi="宋体" w:eastAsia="宋体" w:cs="宋体"/>
          <w:sz w:val="24"/>
          <w:szCs w:val="24"/>
        </w:rPr>
      </w:pPr>
      <w:r>
        <w:rPr>
          <w:rFonts w:ascii="宋体" w:hAnsi="宋体" w:eastAsia="宋体" w:cs="宋体"/>
          <w:spacing w:val="-2"/>
          <w:sz w:val="24"/>
          <w:szCs w:val="24"/>
        </w:rPr>
        <w:t>③生活污水</w:t>
      </w:r>
    </w:p>
    <w:p w14:paraId="229869D5">
      <w:pPr>
        <w:spacing w:before="171" w:line="372" w:lineRule="auto"/>
        <w:ind w:left="125" w:right="106" w:firstLine="478"/>
        <w:rPr>
          <w:rFonts w:ascii="宋体" w:hAnsi="宋体" w:eastAsia="宋体" w:cs="宋体"/>
          <w:sz w:val="24"/>
          <w:szCs w:val="24"/>
        </w:rPr>
      </w:pPr>
      <w:r>
        <w:rPr>
          <w:rFonts w:ascii="宋体" w:hAnsi="宋体" w:eastAsia="宋体" w:cs="宋体"/>
          <w:spacing w:val="-1"/>
          <w:sz w:val="24"/>
          <w:szCs w:val="24"/>
        </w:rPr>
        <w:t>本项目生活用水量为</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0.64m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r>
        <w:rPr>
          <w:rFonts w:ascii="Times New Roman" w:hAnsi="Times New Roman" w:eastAsia="Times New Roman" w:cs="Times New Roman"/>
          <w:spacing w:val="-1"/>
          <w:sz w:val="24"/>
          <w:szCs w:val="24"/>
        </w:rPr>
        <w:t>233.</w:t>
      </w:r>
      <w:r>
        <w:rPr>
          <w:rFonts w:ascii="Times New Roman" w:hAnsi="Times New Roman" w:eastAsia="Times New Roman" w:cs="Times New Roman"/>
          <w:spacing w:val="-2"/>
          <w:sz w:val="24"/>
          <w:szCs w:val="24"/>
        </w:rPr>
        <w:t>6m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/a</w:t>
      </w:r>
      <w:r>
        <w:rPr>
          <w:rFonts w:ascii="宋体" w:hAnsi="宋体" w:eastAsia="宋体" w:cs="宋体"/>
          <w:sz w:val="24"/>
          <w:szCs w:val="24"/>
        </w:rPr>
        <w:t>），</w:t>
      </w:r>
      <w:r>
        <w:rPr>
          <w:rFonts w:ascii="宋体" w:hAnsi="宋体" w:eastAsia="宋体" w:cs="宋体"/>
          <w:spacing w:val="-2"/>
          <w:sz w:val="24"/>
          <w:szCs w:val="24"/>
        </w:rPr>
        <w:t>排污系数取</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0.9</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，则本项目生活污</w:t>
      </w:r>
      <w:r>
        <w:rPr>
          <w:rFonts w:ascii="宋体" w:hAnsi="宋体" w:eastAsia="宋体" w:cs="宋体"/>
          <w:sz w:val="24"/>
          <w:szCs w:val="24"/>
        </w:rPr>
        <w:t xml:space="preserve"> </w:t>
      </w:r>
      <w:r>
        <w:rPr>
          <w:rFonts w:ascii="宋体" w:hAnsi="宋体" w:eastAsia="宋体" w:cs="宋体"/>
          <w:spacing w:val="-1"/>
          <w:sz w:val="24"/>
          <w:szCs w:val="24"/>
        </w:rPr>
        <w:t>水产生量为</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0.58m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r>
        <w:rPr>
          <w:rFonts w:ascii="Times New Roman" w:hAnsi="Times New Roman" w:eastAsia="Times New Roman" w:cs="Times New Roman"/>
          <w:spacing w:val="-1"/>
          <w:sz w:val="24"/>
          <w:szCs w:val="24"/>
        </w:rPr>
        <w:t>210.24m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p>
    <w:p w14:paraId="4FB0FE15">
      <w:pPr>
        <w:spacing w:line="372" w:lineRule="auto"/>
        <w:rPr>
          <w:rFonts w:ascii="宋体" w:hAnsi="宋体" w:eastAsia="宋体" w:cs="宋体"/>
          <w:sz w:val="24"/>
          <w:szCs w:val="24"/>
        </w:rPr>
        <w:sectPr>
          <w:footerReference r:id="rId67" w:type="default"/>
          <w:pgSz w:w="11906" w:h="16839"/>
          <w:pgMar w:top="400" w:right="1475" w:bottom="1485" w:left="1475" w:header="0" w:footer="1249" w:gutter="0"/>
          <w:cols w:space="720" w:num="1"/>
        </w:sectPr>
      </w:pPr>
    </w:p>
    <w:p w14:paraId="6ABCCF18">
      <w:pPr>
        <w:pStyle w:val="2"/>
        <w:spacing w:line="264" w:lineRule="auto"/>
      </w:pPr>
    </w:p>
    <w:p w14:paraId="56346D82">
      <w:pPr>
        <w:pStyle w:val="2"/>
        <w:spacing w:line="264" w:lineRule="auto"/>
      </w:pPr>
    </w:p>
    <w:p w14:paraId="72394D99">
      <w:pPr>
        <w:pStyle w:val="2"/>
        <w:spacing w:line="264" w:lineRule="auto"/>
      </w:pPr>
    </w:p>
    <w:p w14:paraId="65BC1E6F">
      <w:pPr>
        <w:pStyle w:val="2"/>
        <w:spacing w:line="265" w:lineRule="auto"/>
      </w:pPr>
    </w:p>
    <w:p w14:paraId="67750FC0">
      <w:pPr>
        <w:spacing w:before="78" w:line="218" w:lineRule="auto"/>
        <w:ind w:left="601"/>
        <w:rPr>
          <w:rFonts w:ascii="宋体" w:hAnsi="宋体" w:eastAsia="宋体" w:cs="宋体"/>
          <w:sz w:val="24"/>
          <w:szCs w:val="24"/>
        </w:rPr>
      </w:pPr>
      <w:r>
        <w:rPr>
          <w:rFonts w:ascii="宋体" w:hAnsi="宋体" w:eastAsia="宋体" w:cs="宋体"/>
          <w:spacing w:val="-2"/>
          <w:sz w:val="24"/>
          <w:szCs w:val="24"/>
        </w:rPr>
        <w:t>④排放去向</w:t>
      </w:r>
    </w:p>
    <w:p w14:paraId="41628EDF">
      <w:pPr>
        <w:spacing w:before="169" w:line="372" w:lineRule="auto"/>
        <w:ind w:left="122" w:right="106" w:firstLine="483"/>
        <w:rPr>
          <w:rFonts w:ascii="宋体" w:hAnsi="宋体" w:eastAsia="宋体" w:cs="宋体"/>
          <w:sz w:val="24"/>
          <w:szCs w:val="24"/>
        </w:rPr>
      </w:pPr>
      <w:r>
        <w:rPr>
          <w:rFonts w:ascii="宋体" w:hAnsi="宋体" w:eastAsia="宋体" w:cs="宋体"/>
          <w:spacing w:val="-1"/>
          <w:sz w:val="24"/>
          <w:szCs w:val="24"/>
        </w:rPr>
        <w:t>项目运营期生活污水产生量为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0.58m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r>
        <w:rPr>
          <w:rFonts w:ascii="Times New Roman" w:hAnsi="Times New Roman" w:eastAsia="Times New Roman" w:cs="Times New Roman"/>
          <w:spacing w:val="-1"/>
          <w:sz w:val="24"/>
          <w:szCs w:val="24"/>
        </w:rPr>
        <w:t>210.24m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/a</w:t>
      </w:r>
      <w:r>
        <w:rPr>
          <w:rFonts w:ascii="宋体" w:hAnsi="宋体" w:eastAsia="宋体" w:cs="宋体"/>
          <w:spacing w:val="5"/>
          <w:sz w:val="24"/>
          <w:szCs w:val="24"/>
        </w:rPr>
        <w:t>），</w:t>
      </w:r>
      <w:r>
        <w:rPr>
          <w:rFonts w:ascii="宋体" w:hAnsi="宋体" w:eastAsia="宋体" w:cs="宋体"/>
          <w:spacing w:val="-1"/>
          <w:sz w:val="24"/>
          <w:szCs w:val="24"/>
        </w:rPr>
        <w:t>猪只尿液与猪舍冲洗废</w:t>
      </w:r>
      <w:r>
        <w:rPr>
          <w:rFonts w:ascii="宋体" w:hAnsi="宋体" w:eastAsia="宋体" w:cs="宋体"/>
          <w:sz w:val="24"/>
          <w:szCs w:val="24"/>
        </w:rPr>
        <w:t xml:space="preserve"> </w:t>
      </w:r>
      <w:r>
        <w:rPr>
          <w:rFonts w:ascii="宋体" w:hAnsi="宋体" w:eastAsia="宋体" w:cs="宋体"/>
          <w:spacing w:val="-2"/>
          <w:sz w:val="24"/>
          <w:szCs w:val="24"/>
        </w:rPr>
        <w:t>水产生量为</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8707.74 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，猪舍只在猪只出栏是冲洗，此时产生</w:t>
      </w:r>
      <w:r>
        <w:rPr>
          <w:rFonts w:ascii="宋体" w:hAnsi="宋体" w:eastAsia="宋体" w:cs="宋体"/>
          <w:spacing w:val="-3"/>
          <w:sz w:val="24"/>
          <w:szCs w:val="24"/>
        </w:rPr>
        <w:t>的尿液、冲洗废水的</w:t>
      </w:r>
      <w:r>
        <w:rPr>
          <w:rFonts w:ascii="宋体" w:hAnsi="宋体" w:eastAsia="宋体" w:cs="宋体"/>
          <w:sz w:val="24"/>
          <w:szCs w:val="24"/>
        </w:rPr>
        <w:t xml:space="preserve"> </w:t>
      </w:r>
      <w:r>
        <w:rPr>
          <w:rFonts w:ascii="宋体" w:hAnsi="宋体" w:eastAsia="宋体" w:cs="宋体"/>
          <w:spacing w:val="-1"/>
          <w:sz w:val="24"/>
          <w:szCs w:val="24"/>
        </w:rPr>
        <w:t>量最大，为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30.96m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。项目猪只尿液、猪舍冲洗水与猪只粪便一起</w:t>
      </w:r>
      <w:r>
        <w:rPr>
          <w:rFonts w:ascii="宋体" w:hAnsi="宋体" w:eastAsia="宋体" w:cs="宋体"/>
          <w:spacing w:val="-2"/>
          <w:sz w:val="24"/>
          <w:szCs w:val="24"/>
        </w:rPr>
        <w:t>经刮粪机一起送</w:t>
      </w:r>
      <w:r>
        <w:rPr>
          <w:rFonts w:ascii="宋体" w:hAnsi="宋体" w:eastAsia="宋体" w:cs="宋体"/>
          <w:sz w:val="24"/>
          <w:szCs w:val="24"/>
        </w:rPr>
        <w:t xml:space="preserve"> </w:t>
      </w:r>
      <w:r>
        <w:rPr>
          <w:rFonts w:ascii="宋体" w:hAnsi="宋体" w:eastAsia="宋体" w:cs="宋体"/>
          <w:spacing w:val="2"/>
          <w:sz w:val="24"/>
          <w:szCs w:val="24"/>
        </w:rPr>
        <w:t>刮出，收集到集污切粪池中，待发酵处理成有机肥半成品。生活污水经污水管道送</w:t>
      </w:r>
      <w:r>
        <w:rPr>
          <w:rFonts w:ascii="宋体" w:hAnsi="宋体" w:eastAsia="宋体" w:cs="宋体"/>
          <w:spacing w:val="6"/>
          <w:sz w:val="24"/>
          <w:szCs w:val="24"/>
        </w:rPr>
        <w:t xml:space="preserve"> </w:t>
      </w:r>
      <w:r>
        <w:rPr>
          <w:rFonts w:ascii="宋体" w:hAnsi="宋体" w:eastAsia="宋体" w:cs="宋体"/>
          <w:spacing w:val="2"/>
          <w:sz w:val="24"/>
          <w:szCs w:val="24"/>
        </w:rPr>
        <w:t>集污切粪池，待发酵处理成有机肥半成品。本项目设有</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套异位发酵床，对项目粪</w:t>
      </w:r>
      <w:r>
        <w:rPr>
          <w:rFonts w:ascii="宋体" w:hAnsi="宋体" w:eastAsia="宋体" w:cs="宋体"/>
          <w:sz w:val="24"/>
          <w:szCs w:val="24"/>
        </w:rPr>
        <w:t xml:space="preserve"> </w:t>
      </w:r>
      <w:r>
        <w:rPr>
          <w:rFonts w:ascii="宋体" w:hAnsi="宋体" w:eastAsia="宋体" w:cs="宋体"/>
          <w:spacing w:val="-1"/>
          <w:sz w:val="24"/>
          <w:szCs w:val="24"/>
        </w:rPr>
        <w:t>污进行发酵处理成为有机肥半成品外售。</w:t>
      </w:r>
    </w:p>
    <w:p w14:paraId="5550212A">
      <w:pPr>
        <w:spacing w:before="70" w:line="220" w:lineRule="auto"/>
        <w:ind w:left="597"/>
        <w:rPr>
          <w:rFonts w:ascii="宋体" w:hAnsi="宋体" w:eastAsia="宋体" w:cs="宋体"/>
          <w:sz w:val="24"/>
          <w:szCs w:val="24"/>
        </w:rPr>
      </w:pPr>
      <w:r>
        <w:rPr>
          <w:rFonts w:ascii="Times New Roman" w:hAnsi="Times New Roman" w:eastAsia="Times New Roman" w:cs="Times New Roman"/>
          <w:b/>
          <w:bCs/>
          <w:spacing w:val="-9"/>
          <w:sz w:val="24"/>
          <w:szCs w:val="24"/>
        </w:rPr>
        <w:t>3</w:t>
      </w:r>
      <w:r>
        <w:rPr>
          <w:rFonts w:ascii="Times New Roman" w:hAnsi="Times New Roman" w:eastAsia="Times New Roman" w:cs="Times New Roman"/>
          <w:b/>
          <w:bCs/>
          <w:spacing w:val="-34"/>
          <w:sz w:val="24"/>
          <w:szCs w:val="24"/>
        </w:rPr>
        <w:t xml:space="preserve"> </w:t>
      </w:r>
      <w:r>
        <w:rPr>
          <w:rFonts w:ascii="宋体" w:hAnsi="宋体" w:eastAsia="宋体" w:cs="宋体"/>
          <w:b/>
          <w:bCs/>
          <w:spacing w:val="-9"/>
          <w:sz w:val="24"/>
          <w:szCs w:val="24"/>
        </w:rPr>
        <w:t>、降温</w:t>
      </w:r>
    </w:p>
    <w:p w14:paraId="39E60E52">
      <w:pPr>
        <w:spacing w:before="200" w:line="371" w:lineRule="auto"/>
        <w:ind w:left="122" w:right="49" w:firstLine="480"/>
        <w:jc w:val="both"/>
        <w:rPr>
          <w:rFonts w:ascii="宋体" w:hAnsi="宋体" w:eastAsia="宋体" w:cs="宋体"/>
          <w:sz w:val="24"/>
          <w:szCs w:val="24"/>
        </w:rPr>
      </w:pPr>
      <w:r>
        <w:rPr>
          <w:rFonts w:ascii="宋体" w:hAnsi="宋体" w:eastAsia="宋体" w:cs="宋体"/>
          <w:sz w:val="24"/>
          <w:szCs w:val="24"/>
        </w:rPr>
        <w:t>夏季，猪舍采用水帘降温系统进行降温；办公生活区</w:t>
      </w:r>
      <w:r>
        <w:rPr>
          <w:rFonts w:ascii="宋体" w:hAnsi="宋体" w:eastAsia="宋体" w:cs="宋体"/>
          <w:spacing w:val="-1"/>
          <w:sz w:val="24"/>
          <w:szCs w:val="24"/>
        </w:rPr>
        <w:t>采用分体式空调制冷。在</w:t>
      </w:r>
      <w:r>
        <w:rPr>
          <w:rFonts w:ascii="宋体" w:hAnsi="宋体" w:eastAsia="宋体" w:cs="宋体"/>
          <w:sz w:val="24"/>
          <w:szCs w:val="24"/>
        </w:rPr>
        <w:t xml:space="preserve">  </w:t>
      </w:r>
      <w:r>
        <w:rPr>
          <w:rFonts w:ascii="宋体" w:hAnsi="宋体" w:eastAsia="宋体" w:cs="宋体"/>
          <w:spacing w:val="-3"/>
          <w:sz w:val="24"/>
          <w:szCs w:val="24"/>
        </w:rPr>
        <w:t>猪舍墙壁安装降温水帘，定时或不定时的为猪舍直接降温。在舍内温度达到</w:t>
      </w:r>
      <w:r>
        <w:rPr>
          <w:rFonts w:ascii="Times New Roman" w:hAnsi="Times New Roman" w:eastAsia="Times New Roman" w:cs="Times New Roman"/>
          <w:spacing w:val="-3"/>
          <w:sz w:val="24"/>
          <w:szCs w:val="24"/>
        </w:rPr>
        <w:t>30</w:t>
      </w:r>
      <w:r>
        <w:rPr>
          <w:rFonts w:ascii="宋体" w:hAnsi="宋体" w:eastAsia="宋体" w:cs="宋体"/>
          <w:spacing w:val="-3"/>
          <w:sz w:val="24"/>
          <w:szCs w:val="24"/>
        </w:rPr>
        <w:t>℃时，</w:t>
      </w:r>
      <w:r>
        <w:rPr>
          <w:rFonts w:ascii="宋体" w:hAnsi="宋体" w:eastAsia="宋体" w:cs="宋体"/>
          <w:spacing w:val="15"/>
          <w:sz w:val="24"/>
          <w:szCs w:val="24"/>
        </w:rPr>
        <w:t xml:space="preserve"> </w:t>
      </w:r>
      <w:r>
        <w:rPr>
          <w:rFonts w:ascii="宋体" w:hAnsi="宋体" w:eastAsia="宋体" w:cs="宋体"/>
          <w:spacing w:val="-2"/>
          <w:sz w:val="24"/>
          <w:szCs w:val="24"/>
        </w:rPr>
        <w:t>就需要开启降温水帘，降温水帘能使厂房内的温度迅速在</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分钟内下降，降温环保</w:t>
      </w:r>
      <w:r>
        <w:rPr>
          <w:rFonts w:ascii="宋体" w:hAnsi="宋体" w:eastAsia="宋体" w:cs="宋体"/>
          <w:sz w:val="24"/>
          <w:szCs w:val="24"/>
        </w:rPr>
        <w:t xml:space="preserve"> </w:t>
      </w:r>
      <w:r>
        <w:rPr>
          <w:rFonts w:ascii="宋体" w:hAnsi="宋体" w:eastAsia="宋体" w:cs="宋体"/>
          <w:spacing w:val="-2"/>
          <w:sz w:val="24"/>
          <w:szCs w:val="24"/>
        </w:rPr>
        <w:t>效果佳。降温水帘通常在夏季</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5-9</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月使用。</w:t>
      </w:r>
    </w:p>
    <w:p w14:paraId="0EF95EDF">
      <w:pPr>
        <w:spacing w:before="42" w:line="228" w:lineRule="auto"/>
        <w:ind w:left="3128"/>
        <w:rPr>
          <w:rFonts w:ascii="Times New Roman" w:hAnsi="Times New Roman" w:eastAsia="Times New Roman" w:cs="Times New Roman"/>
          <w:sz w:val="20"/>
          <w:szCs w:val="20"/>
        </w:rPr>
      </w:pPr>
      <w:r>
        <w:rPr>
          <w:rFonts w:ascii="宋体" w:hAnsi="宋体" w:eastAsia="宋体" w:cs="宋体"/>
          <w:b/>
          <w:bCs/>
          <w:spacing w:val="4"/>
          <w:sz w:val="20"/>
          <w:szCs w:val="20"/>
        </w:rPr>
        <w:t>表</w:t>
      </w:r>
      <w:r>
        <w:rPr>
          <w:rFonts w:ascii="宋体" w:hAnsi="宋体" w:eastAsia="宋体" w:cs="宋体"/>
          <w:spacing w:val="-36"/>
          <w:sz w:val="20"/>
          <w:szCs w:val="20"/>
        </w:rPr>
        <w:t xml:space="preserve"> </w:t>
      </w:r>
      <w:r>
        <w:rPr>
          <w:rFonts w:ascii="Times New Roman" w:hAnsi="Times New Roman" w:eastAsia="Times New Roman" w:cs="Times New Roman"/>
          <w:b/>
          <w:bCs/>
          <w:spacing w:val="4"/>
          <w:sz w:val="20"/>
          <w:szCs w:val="20"/>
        </w:rPr>
        <w:t>3.2-3</w:t>
      </w:r>
      <w:r>
        <w:rPr>
          <w:rFonts w:ascii="Times New Roman" w:hAnsi="Times New Roman" w:eastAsia="Times New Roman" w:cs="Times New Roman"/>
          <w:b/>
          <w:bCs/>
          <w:spacing w:val="15"/>
          <w:w w:val="101"/>
          <w:sz w:val="20"/>
          <w:szCs w:val="20"/>
        </w:rPr>
        <w:t xml:space="preserve"> </w:t>
      </w:r>
      <w:r>
        <w:rPr>
          <w:rFonts w:ascii="宋体" w:hAnsi="宋体" w:eastAsia="宋体" w:cs="宋体"/>
          <w:b/>
          <w:bCs/>
          <w:spacing w:val="4"/>
          <w:sz w:val="20"/>
          <w:szCs w:val="20"/>
        </w:rPr>
        <w:t>项目用水量统计表</w:t>
      </w:r>
      <w:r>
        <w:rPr>
          <w:rFonts w:ascii="宋体" w:hAnsi="宋体" w:eastAsia="宋体" w:cs="宋体"/>
          <w:spacing w:val="-41"/>
          <w:sz w:val="20"/>
          <w:szCs w:val="20"/>
        </w:rPr>
        <w:t xml:space="preserve"> </w:t>
      </w:r>
      <w:r>
        <w:rPr>
          <w:rFonts w:ascii="Times New Roman" w:hAnsi="Times New Roman" w:eastAsia="Times New Roman" w:cs="Times New Roman"/>
          <w:b/>
          <w:bCs/>
          <w:spacing w:val="4"/>
          <w:sz w:val="20"/>
          <w:szCs w:val="20"/>
        </w:rPr>
        <w:t>t/a</w:t>
      </w:r>
    </w:p>
    <w:p w14:paraId="6E95D1E0">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1362"/>
        <w:gridCol w:w="1940"/>
        <w:gridCol w:w="1004"/>
        <w:gridCol w:w="1166"/>
        <w:gridCol w:w="1180"/>
        <w:gridCol w:w="1185"/>
      </w:tblGrid>
      <w:tr w14:paraId="273F9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113" w:type="dxa"/>
            <w:vAlign w:val="top"/>
          </w:tcPr>
          <w:p w14:paraId="24B6EFD6">
            <w:pPr>
              <w:pStyle w:val="6"/>
              <w:spacing w:before="170" w:line="230" w:lineRule="auto"/>
              <w:ind w:left="351"/>
            </w:pPr>
            <w:r>
              <w:rPr>
                <w:b/>
                <w:bCs/>
                <w:spacing w:val="4"/>
              </w:rPr>
              <w:t>序号</w:t>
            </w:r>
          </w:p>
        </w:tc>
        <w:tc>
          <w:tcPr>
            <w:tcW w:w="1362" w:type="dxa"/>
            <w:vAlign w:val="top"/>
          </w:tcPr>
          <w:p w14:paraId="19D468EC">
            <w:pPr>
              <w:pStyle w:val="6"/>
              <w:spacing w:before="170" w:line="228" w:lineRule="auto"/>
              <w:ind w:left="265"/>
            </w:pPr>
            <w:r>
              <w:rPr>
                <w:b/>
                <w:bCs/>
                <w:spacing w:val="6"/>
              </w:rPr>
              <w:t>用水单元</w:t>
            </w:r>
          </w:p>
        </w:tc>
        <w:tc>
          <w:tcPr>
            <w:tcW w:w="1940" w:type="dxa"/>
            <w:vAlign w:val="top"/>
          </w:tcPr>
          <w:p w14:paraId="0AAA2DCC">
            <w:pPr>
              <w:pStyle w:val="6"/>
              <w:spacing w:before="170" w:line="228" w:lineRule="auto"/>
              <w:ind w:left="450"/>
            </w:pPr>
            <w:r>
              <w:rPr>
                <w:b/>
                <w:bCs/>
                <w:spacing w:val="6"/>
              </w:rPr>
              <w:t>新鲜用水量</w:t>
            </w:r>
          </w:p>
        </w:tc>
        <w:tc>
          <w:tcPr>
            <w:tcW w:w="1004" w:type="dxa"/>
            <w:vAlign w:val="top"/>
          </w:tcPr>
          <w:p w14:paraId="1764F1F8">
            <w:pPr>
              <w:pStyle w:val="6"/>
              <w:spacing w:before="170" w:line="228" w:lineRule="auto"/>
              <w:ind w:left="192"/>
            </w:pPr>
            <w:r>
              <w:rPr>
                <w:b/>
                <w:bCs/>
                <w:spacing w:val="5"/>
              </w:rPr>
              <w:t>损耗量</w:t>
            </w:r>
          </w:p>
        </w:tc>
        <w:tc>
          <w:tcPr>
            <w:tcW w:w="1166" w:type="dxa"/>
            <w:vAlign w:val="top"/>
          </w:tcPr>
          <w:p w14:paraId="46071A24">
            <w:pPr>
              <w:pStyle w:val="6"/>
              <w:spacing w:before="36" w:line="228" w:lineRule="auto"/>
              <w:ind w:left="168"/>
            </w:pPr>
            <w:r>
              <w:rPr>
                <w:b/>
                <w:bCs/>
                <w:spacing w:val="6"/>
              </w:rPr>
              <w:t>废水产生</w:t>
            </w:r>
          </w:p>
          <w:p w14:paraId="3686ABB9">
            <w:pPr>
              <w:pStyle w:val="6"/>
              <w:spacing w:before="25" w:line="216" w:lineRule="auto"/>
              <w:ind w:left="484"/>
            </w:pPr>
            <w:r>
              <w:rPr>
                <w:b/>
                <w:bCs/>
                <w:spacing w:val="-2"/>
              </w:rPr>
              <w:t>量</w:t>
            </w:r>
          </w:p>
        </w:tc>
        <w:tc>
          <w:tcPr>
            <w:tcW w:w="1180" w:type="dxa"/>
            <w:vAlign w:val="top"/>
          </w:tcPr>
          <w:p w14:paraId="185BD257">
            <w:pPr>
              <w:pStyle w:val="6"/>
              <w:spacing w:before="170" w:line="228" w:lineRule="auto"/>
              <w:ind w:left="197"/>
            </w:pPr>
            <w:r>
              <w:rPr>
                <w:b/>
                <w:bCs/>
                <w:spacing w:val="1"/>
              </w:rPr>
              <w:t>回用水量</w:t>
            </w:r>
          </w:p>
        </w:tc>
        <w:tc>
          <w:tcPr>
            <w:tcW w:w="1185" w:type="dxa"/>
            <w:vAlign w:val="top"/>
          </w:tcPr>
          <w:p w14:paraId="1AA4072A">
            <w:pPr>
              <w:pStyle w:val="6"/>
              <w:spacing w:before="170" w:line="228" w:lineRule="auto"/>
              <w:ind w:left="182"/>
            </w:pPr>
            <w:r>
              <w:rPr>
                <w:b/>
                <w:bCs/>
                <w:spacing w:val="5"/>
              </w:rPr>
              <w:t>外排水量</w:t>
            </w:r>
          </w:p>
        </w:tc>
      </w:tr>
      <w:tr w14:paraId="60952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13" w:type="dxa"/>
            <w:vAlign w:val="top"/>
          </w:tcPr>
          <w:p w14:paraId="00F70DC6">
            <w:pPr>
              <w:spacing w:before="1" w:line="264" w:lineRule="exact"/>
              <w:ind w:left="52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362" w:type="dxa"/>
            <w:vAlign w:val="top"/>
          </w:tcPr>
          <w:p w14:paraId="2BA871B1">
            <w:pPr>
              <w:pStyle w:val="6"/>
              <w:spacing w:before="31" w:line="216" w:lineRule="auto"/>
              <w:ind w:left="263"/>
            </w:pPr>
            <w:r>
              <w:rPr>
                <w:spacing w:val="7"/>
              </w:rPr>
              <w:t>猪只饮用</w:t>
            </w:r>
          </w:p>
        </w:tc>
        <w:tc>
          <w:tcPr>
            <w:tcW w:w="1940" w:type="dxa"/>
            <w:vAlign w:val="top"/>
          </w:tcPr>
          <w:p w14:paraId="304DCD26">
            <w:pPr>
              <w:spacing w:before="1" w:line="264" w:lineRule="exact"/>
              <w:ind w:left="65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19673.5</w:t>
            </w:r>
          </w:p>
        </w:tc>
        <w:tc>
          <w:tcPr>
            <w:tcW w:w="1004" w:type="dxa"/>
            <w:vAlign w:val="top"/>
          </w:tcPr>
          <w:p w14:paraId="686DB330">
            <w:pPr>
              <w:spacing w:before="1" w:line="264"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11056.48</w:t>
            </w:r>
          </w:p>
        </w:tc>
        <w:tc>
          <w:tcPr>
            <w:tcW w:w="1166" w:type="dxa"/>
            <w:vAlign w:val="top"/>
          </w:tcPr>
          <w:p w14:paraId="000D14C8">
            <w:pPr>
              <w:spacing w:before="1" w:line="26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8617.02</w:t>
            </w:r>
          </w:p>
        </w:tc>
        <w:tc>
          <w:tcPr>
            <w:tcW w:w="1180" w:type="dxa"/>
            <w:vMerge w:val="restart"/>
            <w:tcBorders>
              <w:bottom w:val="nil"/>
            </w:tcBorders>
            <w:vAlign w:val="top"/>
          </w:tcPr>
          <w:p w14:paraId="667F84C3">
            <w:pPr>
              <w:spacing w:before="284" w:line="274"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8908.26</w:t>
            </w:r>
          </w:p>
        </w:tc>
        <w:tc>
          <w:tcPr>
            <w:tcW w:w="1185" w:type="dxa"/>
            <w:vMerge w:val="restart"/>
            <w:tcBorders>
              <w:bottom w:val="nil"/>
            </w:tcBorders>
            <w:vAlign w:val="top"/>
          </w:tcPr>
          <w:p w14:paraId="055D0362">
            <w:pPr>
              <w:spacing w:line="364" w:lineRule="auto"/>
              <w:rPr>
                <w:rFonts w:ascii="Arial"/>
                <w:sz w:val="21"/>
              </w:rPr>
            </w:pPr>
          </w:p>
          <w:p w14:paraId="75DF5CE7">
            <w:pPr>
              <w:spacing w:before="57" w:line="274" w:lineRule="exact"/>
              <w:ind w:left="54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4CC32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13" w:type="dxa"/>
            <w:vAlign w:val="top"/>
          </w:tcPr>
          <w:p w14:paraId="5A0D8B61">
            <w:pPr>
              <w:spacing w:before="3" w:line="262" w:lineRule="exact"/>
              <w:ind w:left="50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362" w:type="dxa"/>
            <w:vAlign w:val="top"/>
          </w:tcPr>
          <w:p w14:paraId="0AC65439">
            <w:pPr>
              <w:pStyle w:val="6"/>
              <w:spacing w:before="34" w:line="214" w:lineRule="auto"/>
              <w:ind w:left="263"/>
            </w:pPr>
            <w:r>
              <w:rPr>
                <w:spacing w:val="7"/>
              </w:rPr>
              <w:t>猪舍冲洗</w:t>
            </w:r>
          </w:p>
        </w:tc>
        <w:tc>
          <w:tcPr>
            <w:tcW w:w="1940" w:type="dxa"/>
            <w:vAlign w:val="top"/>
          </w:tcPr>
          <w:p w14:paraId="0ED1796E">
            <w:pPr>
              <w:spacing w:before="3" w:line="262" w:lineRule="exact"/>
              <w:ind w:left="86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90</w:t>
            </w:r>
          </w:p>
        </w:tc>
        <w:tc>
          <w:tcPr>
            <w:tcW w:w="1004" w:type="dxa"/>
            <w:vAlign w:val="top"/>
          </w:tcPr>
          <w:p w14:paraId="682C3C8D">
            <w:pPr>
              <w:spacing w:before="3" w:line="262" w:lineRule="exact"/>
              <w:ind w:left="45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9</w:t>
            </w:r>
          </w:p>
        </w:tc>
        <w:tc>
          <w:tcPr>
            <w:tcW w:w="1166" w:type="dxa"/>
            <w:vAlign w:val="top"/>
          </w:tcPr>
          <w:p w14:paraId="548FBCB5">
            <w:pPr>
              <w:spacing w:before="3" w:line="262" w:lineRule="exact"/>
              <w:ind w:left="48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81</w:t>
            </w:r>
          </w:p>
        </w:tc>
        <w:tc>
          <w:tcPr>
            <w:tcW w:w="1180" w:type="dxa"/>
            <w:vMerge w:val="continue"/>
            <w:tcBorders>
              <w:top w:val="nil"/>
              <w:bottom w:val="nil"/>
            </w:tcBorders>
            <w:vAlign w:val="top"/>
          </w:tcPr>
          <w:p w14:paraId="6422373E">
            <w:pPr>
              <w:rPr>
                <w:rFonts w:ascii="Arial"/>
                <w:sz w:val="21"/>
              </w:rPr>
            </w:pPr>
          </w:p>
        </w:tc>
        <w:tc>
          <w:tcPr>
            <w:tcW w:w="1185" w:type="dxa"/>
            <w:vMerge w:val="continue"/>
            <w:tcBorders>
              <w:top w:val="nil"/>
              <w:bottom w:val="nil"/>
            </w:tcBorders>
            <w:vAlign w:val="top"/>
          </w:tcPr>
          <w:p w14:paraId="4129DDF2">
            <w:pPr>
              <w:rPr>
                <w:rFonts w:ascii="Arial"/>
                <w:sz w:val="21"/>
              </w:rPr>
            </w:pPr>
          </w:p>
        </w:tc>
      </w:tr>
      <w:tr w14:paraId="27231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13" w:type="dxa"/>
            <w:vAlign w:val="top"/>
          </w:tcPr>
          <w:p w14:paraId="4EDF9CCD">
            <w:pPr>
              <w:spacing w:before="3" w:line="264" w:lineRule="exact"/>
              <w:ind w:left="51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3</w:t>
            </w:r>
          </w:p>
        </w:tc>
        <w:tc>
          <w:tcPr>
            <w:tcW w:w="1362" w:type="dxa"/>
            <w:vAlign w:val="top"/>
          </w:tcPr>
          <w:p w14:paraId="3D2E7FC4">
            <w:pPr>
              <w:pStyle w:val="6"/>
              <w:spacing w:before="34" w:line="215" w:lineRule="auto"/>
              <w:ind w:left="267"/>
            </w:pPr>
            <w:r>
              <w:rPr>
                <w:spacing w:val="6"/>
              </w:rPr>
              <w:t>办公生活</w:t>
            </w:r>
          </w:p>
        </w:tc>
        <w:tc>
          <w:tcPr>
            <w:tcW w:w="1940" w:type="dxa"/>
            <w:vAlign w:val="top"/>
          </w:tcPr>
          <w:p w14:paraId="21272D50">
            <w:pPr>
              <w:spacing w:before="3" w:line="264"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233.6</w:t>
            </w:r>
          </w:p>
        </w:tc>
        <w:tc>
          <w:tcPr>
            <w:tcW w:w="1004" w:type="dxa"/>
            <w:vAlign w:val="top"/>
          </w:tcPr>
          <w:p w14:paraId="311D8290">
            <w:pPr>
              <w:spacing w:before="3" w:line="264" w:lineRule="exact"/>
              <w:ind w:left="26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23.36</w:t>
            </w:r>
          </w:p>
        </w:tc>
        <w:tc>
          <w:tcPr>
            <w:tcW w:w="1166" w:type="dxa"/>
            <w:vAlign w:val="top"/>
          </w:tcPr>
          <w:p w14:paraId="63F6E1EF">
            <w:pPr>
              <w:spacing w:before="3" w:line="264" w:lineRule="exact"/>
              <w:ind w:left="29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210.24</w:t>
            </w:r>
          </w:p>
        </w:tc>
        <w:tc>
          <w:tcPr>
            <w:tcW w:w="1180" w:type="dxa"/>
            <w:vMerge w:val="continue"/>
            <w:tcBorders>
              <w:top w:val="nil"/>
            </w:tcBorders>
            <w:vAlign w:val="top"/>
          </w:tcPr>
          <w:p w14:paraId="0740750A">
            <w:pPr>
              <w:rPr>
                <w:rFonts w:ascii="Arial"/>
                <w:sz w:val="21"/>
              </w:rPr>
            </w:pPr>
          </w:p>
        </w:tc>
        <w:tc>
          <w:tcPr>
            <w:tcW w:w="1185" w:type="dxa"/>
            <w:vMerge w:val="continue"/>
            <w:tcBorders>
              <w:top w:val="nil"/>
              <w:bottom w:val="nil"/>
            </w:tcBorders>
            <w:vAlign w:val="top"/>
          </w:tcPr>
          <w:p w14:paraId="0AD21025">
            <w:pPr>
              <w:rPr>
                <w:rFonts w:ascii="Arial"/>
                <w:sz w:val="21"/>
              </w:rPr>
            </w:pPr>
          </w:p>
        </w:tc>
      </w:tr>
      <w:tr w14:paraId="583B9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113" w:type="dxa"/>
            <w:vAlign w:val="top"/>
          </w:tcPr>
          <w:p w14:paraId="1948528C">
            <w:pPr>
              <w:spacing w:before="4" w:line="266" w:lineRule="exact"/>
              <w:ind w:left="505"/>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362" w:type="dxa"/>
            <w:vAlign w:val="top"/>
          </w:tcPr>
          <w:p w14:paraId="10C241AE">
            <w:pPr>
              <w:pStyle w:val="6"/>
              <w:spacing w:before="35" w:line="217" w:lineRule="auto"/>
              <w:ind w:left="266"/>
            </w:pPr>
            <w:r>
              <w:rPr>
                <w:spacing w:val="6"/>
              </w:rPr>
              <w:t>水帘用水</w:t>
            </w:r>
          </w:p>
        </w:tc>
        <w:tc>
          <w:tcPr>
            <w:tcW w:w="1940" w:type="dxa"/>
            <w:vAlign w:val="top"/>
          </w:tcPr>
          <w:p w14:paraId="30DC94EE">
            <w:pPr>
              <w:spacing w:before="4" w:line="266" w:lineRule="exact"/>
              <w:ind w:left="732"/>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46.08</w:t>
            </w:r>
          </w:p>
        </w:tc>
        <w:tc>
          <w:tcPr>
            <w:tcW w:w="1004" w:type="dxa"/>
            <w:vAlign w:val="top"/>
          </w:tcPr>
          <w:p w14:paraId="404ED873">
            <w:pPr>
              <w:spacing w:before="4" w:line="266" w:lineRule="exact"/>
              <w:ind w:left="266"/>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46.08</w:t>
            </w:r>
          </w:p>
        </w:tc>
        <w:tc>
          <w:tcPr>
            <w:tcW w:w="1166" w:type="dxa"/>
            <w:vAlign w:val="top"/>
          </w:tcPr>
          <w:p w14:paraId="502E84F9">
            <w:pPr>
              <w:spacing w:before="4" w:line="266" w:lineRule="exact"/>
              <w:ind w:left="53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0</w:t>
            </w:r>
          </w:p>
        </w:tc>
        <w:tc>
          <w:tcPr>
            <w:tcW w:w="1180" w:type="dxa"/>
            <w:vAlign w:val="top"/>
          </w:tcPr>
          <w:p w14:paraId="7C36E973">
            <w:pPr>
              <w:spacing w:before="4" w:line="266" w:lineRule="exact"/>
              <w:ind w:left="54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0</w:t>
            </w:r>
          </w:p>
        </w:tc>
        <w:tc>
          <w:tcPr>
            <w:tcW w:w="1185" w:type="dxa"/>
            <w:vMerge w:val="continue"/>
            <w:tcBorders>
              <w:top w:val="nil"/>
            </w:tcBorders>
            <w:vAlign w:val="top"/>
          </w:tcPr>
          <w:p w14:paraId="7D2D3CA1">
            <w:pPr>
              <w:rPr>
                <w:rFonts w:ascii="Arial"/>
                <w:sz w:val="21"/>
              </w:rPr>
            </w:pPr>
          </w:p>
        </w:tc>
      </w:tr>
    </w:tbl>
    <w:p w14:paraId="555CA190">
      <w:pPr>
        <w:spacing w:before="48" w:line="5020" w:lineRule="exact"/>
        <w:ind w:firstLine="449"/>
      </w:pPr>
      <w:r>
        <w:rPr>
          <w:position w:val="-100"/>
        </w:rPr>
        <w:drawing>
          <wp:inline distT="0" distB="0" distL="0" distR="0">
            <wp:extent cx="5101590" cy="31877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13"/>
                    <a:stretch>
                      <a:fillRect/>
                    </a:stretch>
                  </pic:blipFill>
                  <pic:spPr>
                    <a:xfrm>
                      <a:off x="0" y="0"/>
                      <a:ext cx="5101852" cy="3188043"/>
                    </a:xfrm>
                    <a:prstGeom prst="rect">
                      <a:avLst/>
                    </a:prstGeom>
                  </pic:spPr>
                </pic:pic>
              </a:graphicData>
            </a:graphic>
          </wp:inline>
        </w:drawing>
      </w:r>
    </w:p>
    <w:p w14:paraId="6334FD15">
      <w:pPr>
        <w:spacing w:before="273" w:line="220" w:lineRule="auto"/>
        <w:ind w:left="2599"/>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50"/>
          <w:sz w:val="24"/>
          <w:szCs w:val="24"/>
        </w:rPr>
        <w:t xml:space="preserve"> </w:t>
      </w:r>
      <w:r>
        <w:rPr>
          <w:rFonts w:ascii="Times New Roman" w:hAnsi="Times New Roman" w:eastAsia="Times New Roman" w:cs="Times New Roman"/>
          <w:b/>
          <w:bCs/>
          <w:spacing w:val="-3"/>
          <w:sz w:val="24"/>
          <w:szCs w:val="24"/>
        </w:rPr>
        <w:t xml:space="preserve">3.2-1  </w:t>
      </w:r>
      <w:r>
        <w:rPr>
          <w:rFonts w:ascii="宋体" w:hAnsi="宋体" w:eastAsia="宋体" w:cs="宋体"/>
          <w:b/>
          <w:bCs/>
          <w:spacing w:val="-3"/>
          <w:sz w:val="24"/>
          <w:szCs w:val="24"/>
        </w:rPr>
        <w:t>项目水平衡图（单位：</w:t>
      </w:r>
      <w:r>
        <w:rPr>
          <w:rFonts w:ascii="Times New Roman" w:hAnsi="Times New Roman" w:eastAsia="Times New Roman" w:cs="Times New Roman"/>
          <w:b/>
          <w:bCs/>
          <w:spacing w:val="-3"/>
          <w:sz w:val="24"/>
          <w:szCs w:val="24"/>
        </w:rPr>
        <w:t>t/a</w:t>
      </w:r>
      <w:r>
        <w:rPr>
          <w:rFonts w:ascii="宋体" w:hAnsi="宋体" w:eastAsia="宋体" w:cs="宋体"/>
          <w:b/>
          <w:bCs/>
          <w:spacing w:val="-3"/>
          <w:sz w:val="24"/>
          <w:szCs w:val="24"/>
        </w:rPr>
        <w:t>）</w:t>
      </w:r>
    </w:p>
    <w:p w14:paraId="5F61A3A4">
      <w:pPr>
        <w:spacing w:line="220" w:lineRule="auto"/>
        <w:rPr>
          <w:rFonts w:ascii="宋体" w:hAnsi="宋体" w:eastAsia="宋体" w:cs="宋体"/>
          <w:sz w:val="24"/>
          <w:szCs w:val="24"/>
        </w:rPr>
        <w:sectPr>
          <w:footerReference r:id="rId68" w:type="default"/>
          <w:pgSz w:w="11906" w:h="16839"/>
          <w:pgMar w:top="400" w:right="1475" w:bottom="1485" w:left="1475" w:header="0" w:footer="1249" w:gutter="0"/>
          <w:cols w:space="720" w:num="1"/>
        </w:sectPr>
      </w:pPr>
    </w:p>
    <w:p w14:paraId="56E0287A">
      <w:pPr>
        <w:pStyle w:val="2"/>
        <w:spacing w:line="264" w:lineRule="auto"/>
      </w:pPr>
    </w:p>
    <w:p w14:paraId="1FA13A3E">
      <w:pPr>
        <w:pStyle w:val="2"/>
        <w:spacing w:line="264" w:lineRule="auto"/>
      </w:pPr>
    </w:p>
    <w:p w14:paraId="629C2342">
      <w:pPr>
        <w:pStyle w:val="2"/>
        <w:spacing w:line="264" w:lineRule="auto"/>
      </w:pPr>
    </w:p>
    <w:p w14:paraId="1335E166">
      <w:pPr>
        <w:pStyle w:val="2"/>
        <w:spacing w:line="265" w:lineRule="auto"/>
      </w:pPr>
    </w:p>
    <w:p w14:paraId="4104526E">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3.2.2</w:t>
      </w:r>
      <w:r>
        <w:rPr>
          <w:rFonts w:ascii="宋体" w:hAnsi="宋体" w:eastAsia="宋体" w:cs="宋体"/>
          <w:b/>
          <w:bCs/>
          <w:spacing w:val="-2"/>
          <w:sz w:val="24"/>
          <w:szCs w:val="24"/>
        </w:rPr>
        <w:t>供电、供气工程</w:t>
      </w:r>
    </w:p>
    <w:p w14:paraId="7C4E2479">
      <w:pPr>
        <w:spacing w:before="203" w:line="377" w:lineRule="auto"/>
        <w:ind w:left="6" w:right="87" w:firstLine="482"/>
        <w:rPr>
          <w:rFonts w:ascii="宋体" w:hAnsi="宋体" w:eastAsia="宋体" w:cs="宋体"/>
          <w:sz w:val="24"/>
          <w:szCs w:val="24"/>
        </w:rPr>
      </w:pPr>
      <w:r>
        <w:rPr>
          <w:rFonts w:ascii="宋体" w:hAnsi="宋体" w:eastAsia="宋体" w:cs="宋体"/>
          <w:sz w:val="24"/>
          <w:szCs w:val="24"/>
        </w:rPr>
        <w:t>项目照明，抽水用电、生活用电等，主要为当地电网供应，类比同类型项目，</w:t>
      </w:r>
      <w:r>
        <w:rPr>
          <w:rFonts w:ascii="宋体" w:hAnsi="宋体" w:eastAsia="宋体" w:cs="宋体"/>
          <w:spacing w:val="17"/>
          <w:sz w:val="24"/>
          <w:szCs w:val="24"/>
        </w:rPr>
        <w:t xml:space="preserve"> </w:t>
      </w:r>
      <w:r>
        <w:rPr>
          <w:rFonts w:ascii="宋体" w:hAnsi="宋体" w:eastAsia="宋体" w:cs="宋体"/>
          <w:spacing w:val="2"/>
          <w:sz w:val="24"/>
          <w:szCs w:val="24"/>
        </w:rPr>
        <w:t>本项目总用电量约</w:t>
      </w:r>
      <w:r>
        <w:rPr>
          <w:rFonts w:ascii="Times New Roman" w:hAnsi="Times New Roman" w:eastAsia="Times New Roman" w:cs="Times New Roman"/>
          <w:spacing w:val="2"/>
          <w:sz w:val="24"/>
          <w:szCs w:val="24"/>
        </w:rPr>
        <w:t xml:space="preserve">25 </w:t>
      </w:r>
      <w:r>
        <w:rPr>
          <w:rFonts w:ascii="宋体" w:hAnsi="宋体" w:eastAsia="宋体" w:cs="宋体"/>
          <w:spacing w:val="2"/>
          <w:sz w:val="24"/>
          <w:szCs w:val="24"/>
        </w:rPr>
        <w:t>万</w:t>
      </w:r>
      <w:r>
        <w:rPr>
          <w:rFonts w:ascii="宋体" w:hAnsi="宋体" w:eastAsia="宋体" w:cs="宋体"/>
          <w:spacing w:val="-57"/>
          <w:sz w:val="24"/>
          <w:szCs w:val="24"/>
        </w:rPr>
        <w:t xml:space="preserve"> </w:t>
      </w:r>
      <w:r>
        <w:rPr>
          <w:rFonts w:ascii="Times New Roman" w:hAnsi="Times New Roman" w:eastAsia="Times New Roman" w:cs="Times New Roman"/>
          <w:sz w:val="24"/>
          <w:szCs w:val="24"/>
        </w:rPr>
        <w:t>kw</w:t>
      </w:r>
      <w:r>
        <w:rPr>
          <w:rFonts w:ascii="Times New Roman" w:hAnsi="Times New Roman" w:eastAsia="Times New Roman" w:cs="Times New Roman"/>
          <w:spacing w:val="2"/>
          <w:sz w:val="24"/>
          <w:szCs w:val="24"/>
        </w:rPr>
        <w:t>.h</w:t>
      </w:r>
      <w:r>
        <w:rPr>
          <w:rFonts w:ascii="宋体" w:hAnsi="宋体" w:eastAsia="宋体" w:cs="宋体"/>
          <w:spacing w:val="2"/>
          <w:sz w:val="24"/>
          <w:szCs w:val="24"/>
        </w:rPr>
        <w:t>。</w:t>
      </w:r>
    </w:p>
    <w:p w14:paraId="49E1B972">
      <w:pPr>
        <w:spacing w:before="1"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3.2.3</w:t>
      </w:r>
      <w:r>
        <w:rPr>
          <w:rFonts w:ascii="宋体" w:hAnsi="宋体" w:eastAsia="宋体" w:cs="宋体"/>
          <w:b/>
          <w:bCs/>
          <w:spacing w:val="-2"/>
          <w:sz w:val="24"/>
          <w:szCs w:val="24"/>
        </w:rPr>
        <w:t>环保工程</w:t>
      </w:r>
    </w:p>
    <w:p w14:paraId="76A34246">
      <w:pPr>
        <w:spacing w:before="200" w:line="220" w:lineRule="auto"/>
        <w:ind w:left="491"/>
        <w:rPr>
          <w:rFonts w:ascii="宋体" w:hAnsi="宋体" w:eastAsia="宋体" w:cs="宋体"/>
          <w:sz w:val="24"/>
          <w:szCs w:val="24"/>
        </w:rPr>
      </w:pPr>
      <w:r>
        <w:rPr>
          <w:rFonts w:ascii="Times New Roman" w:hAnsi="Times New Roman" w:eastAsia="Times New Roman" w:cs="Times New Roman"/>
          <w:b/>
          <w:bCs/>
          <w:spacing w:val="-7"/>
          <w:sz w:val="24"/>
          <w:szCs w:val="24"/>
        </w:rPr>
        <w:t>1</w:t>
      </w:r>
      <w:r>
        <w:rPr>
          <w:rFonts w:ascii="Times New Roman" w:hAnsi="Times New Roman" w:eastAsia="Times New Roman" w:cs="Times New Roman"/>
          <w:b/>
          <w:bCs/>
          <w:spacing w:val="-34"/>
          <w:sz w:val="24"/>
          <w:szCs w:val="24"/>
        </w:rPr>
        <w:t xml:space="preserve"> </w:t>
      </w:r>
      <w:r>
        <w:rPr>
          <w:rFonts w:ascii="宋体" w:hAnsi="宋体" w:eastAsia="宋体" w:cs="宋体"/>
          <w:b/>
          <w:bCs/>
          <w:spacing w:val="-7"/>
          <w:sz w:val="24"/>
          <w:szCs w:val="24"/>
        </w:rPr>
        <w:t>、废水处理措施</w:t>
      </w:r>
    </w:p>
    <w:p w14:paraId="3288B635">
      <w:pPr>
        <w:spacing w:before="168" w:line="360" w:lineRule="exact"/>
        <w:ind w:left="496"/>
        <w:rPr>
          <w:rFonts w:ascii="宋体" w:hAnsi="宋体" w:eastAsia="宋体" w:cs="宋体"/>
          <w:sz w:val="24"/>
          <w:szCs w:val="24"/>
        </w:rPr>
      </w:pPr>
      <w:r>
        <w:rPr>
          <w:rFonts w:ascii="宋体" w:hAnsi="宋体" w:eastAsia="宋体" w:cs="宋体"/>
          <w:spacing w:val="-5"/>
          <w:position w:val="2"/>
          <w:sz w:val="24"/>
          <w:szCs w:val="24"/>
        </w:rPr>
        <w:t>（</w:t>
      </w:r>
      <w:r>
        <w:rPr>
          <w:rFonts w:ascii="Times New Roman" w:hAnsi="Times New Roman" w:eastAsia="Times New Roman" w:cs="Times New Roman"/>
          <w:spacing w:val="-5"/>
          <w:position w:val="2"/>
          <w:sz w:val="24"/>
          <w:szCs w:val="24"/>
        </w:rPr>
        <w:t>1</w:t>
      </w:r>
      <w:r>
        <w:rPr>
          <w:rFonts w:ascii="宋体" w:hAnsi="宋体" w:eastAsia="宋体" w:cs="宋体"/>
          <w:spacing w:val="-5"/>
          <w:position w:val="2"/>
          <w:sz w:val="24"/>
          <w:szCs w:val="24"/>
        </w:rPr>
        <w:t>）废水</w:t>
      </w:r>
    </w:p>
    <w:p w14:paraId="6CA410E9">
      <w:pPr>
        <w:spacing w:before="164" w:line="376" w:lineRule="auto"/>
        <w:ind w:left="4" w:right="31" w:firstLine="484"/>
        <w:rPr>
          <w:rFonts w:ascii="宋体" w:hAnsi="宋体" w:eastAsia="宋体" w:cs="宋体"/>
          <w:sz w:val="24"/>
          <w:szCs w:val="24"/>
        </w:rPr>
      </w:pPr>
      <w:r>
        <w:rPr>
          <w:rFonts w:ascii="宋体" w:hAnsi="宋体" w:eastAsia="宋体" w:cs="宋体"/>
          <w:spacing w:val="2"/>
          <w:sz w:val="24"/>
          <w:szCs w:val="24"/>
        </w:rPr>
        <w:t>项目猪只尿液、猪舍冲洗水与猪只粪便一起经刮粪机一起送刮出，收集到集污</w:t>
      </w:r>
      <w:r>
        <w:rPr>
          <w:rFonts w:ascii="宋体" w:hAnsi="宋体" w:eastAsia="宋体" w:cs="宋体"/>
          <w:spacing w:val="6"/>
          <w:sz w:val="24"/>
          <w:szCs w:val="24"/>
        </w:rPr>
        <w:t xml:space="preserve"> </w:t>
      </w:r>
      <w:r>
        <w:rPr>
          <w:rFonts w:ascii="宋体" w:hAnsi="宋体" w:eastAsia="宋体" w:cs="宋体"/>
          <w:spacing w:val="2"/>
          <w:sz w:val="24"/>
          <w:szCs w:val="24"/>
        </w:rPr>
        <w:t>切粪池中，待异位发酵床发酵处理成有机肥半成品。生活污水经污水管道送至集污</w:t>
      </w:r>
    </w:p>
    <w:p w14:paraId="1A77A307">
      <w:pPr>
        <w:spacing w:line="219" w:lineRule="auto"/>
        <w:ind w:left="4"/>
        <w:rPr>
          <w:rFonts w:ascii="宋体" w:hAnsi="宋体" w:eastAsia="宋体" w:cs="宋体"/>
          <w:sz w:val="24"/>
          <w:szCs w:val="24"/>
        </w:rPr>
      </w:pPr>
      <w:r>
        <w:rPr>
          <w:rFonts w:ascii="宋体" w:hAnsi="宋体" w:eastAsia="宋体" w:cs="宋体"/>
          <w:spacing w:val="-1"/>
          <w:sz w:val="24"/>
          <w:szCs w:val="24"/>
        </w:rPr>
        <w:t>切粪池，待异位发酵床发酵处理成有机肥半成品。</w:t>
      </w:r>
    </w:p>
    <w:p w14:paraId="3439D5D3">
      <w:pPr>
        <w:spacing w:before="169" w:line="359" w:lineRule="exact"/>
        <w:ind w:left="496"/>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）有机肥发酵工艺流程</w:t>
      </w:r>
    </w:p>
    <w:p w14:paraId="39B58BAE">
      <w:pPr>
        <w:spacing w:before="166" w:line="219" w:lineRule="auto"/>
        <w:ind w:left="486"/>
        <w:rPr>
          <w:rFonts w:ascii="宋体" w:hAnsi="宋体" w:eastAsia="宋体" w:cs="宋体"/>
          <w:sz w:val="24"/>
          <w:szCs w:val="24"/>
        </w:rPr>
      </w:pPr>
      <w:r>
        <w:rPr>
          <w:rFonts w:ascii="宋体" w:hAnsi="宋体" w:eastAsia="宋体" w:cs="宋体"/>
          <w:spacing w:val="-1"/>
          <w:sz w:val="24"/>
          <w:szCs w:val="24"/>
        </w:rPr>
        <w:t>本项目有机肥发酵系统工艺流程图如下图所示。</w:t>
      </w:r>
    </w:p>
    <w:p w14:paraId="0008A7FF">
      <w:pPr>
        <w:spacing w:before="177" w:line="5019" w:lineRule="exact"/>
        <w:ind w:firstLine="24"/>
      </w:pPr>
      <w:r>
        <w:rPr>
          <w:position w:val="-100"/>
        </w:rPr>
        <w:drawing>
          <wp:inline distT="0" distB="0" distL="0" distR="0">
            <wp:extent cx="5544185" cy="318643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14"/>
                    <a:stretch>
                      <a:fillRect/>
                    </a:stretch>
                  </pic:blipFill>
                  <pic:spPr>
                    <a:xfrm>
                      <a:off x="0" y="0"/>
                      <a:ext cx="5544311" cy="3186683"/>
                    </a:xfrm>
                    <a:prstGeom prst="rect">
                      <a:avLst/>
                    </a:prstGeom>
                  </pic:spPr>
                </pic:pic>
              </a:graphicData>
            </a:graphic>
          </wp:inline>
        </w:drawing>
      </w:r>
    </w:p>
    <w:p w14:paraId="138AF2A1">
      <w:pPr>
        <w:spacing w:before="225" w:line="219" w:lineRule="auto"/>
        <w:ind w:left="2553"/>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53"/>
          <w:sz w:val="24"/>
          <w:szCs w:val="24"/>
        </w:rPr>
        <w:t xml:space="preserve"> </w:t>
      </w:r>
      <w:r>
        <w:rPr>
          <w:rFonts w:ascii="Times New Roman" w:hAnsi="Times New Roman" w:eastAsia="Times New Roman" w:cs="Times New Roman"/>
          <w:b/>
          <w:bCs/>
          <w:spacing w:val="-3"/>
          <w:sz w:val="24"/>
          <w:szCs w:val="24"/>
        </w:rPr>
        <w:t xml:space="preserve">3.2-2    </w:t>
      </w:r>
      <w:r>
        <w:rPr>
          <w:rFonts w:ascii="宋体" w:hAnsi="宋体" w:eastAsia="宋体" w:cs="宋体"/>
          <w:b/>
          <w:bCs/>
          <w:spacing w:val="-3"/>
          <w:sz w:val="24"/>
          <w:szCs w:val="24"/>
        </w:rPr>
        <w:t>项目有机肥发酵工艺流程</w:t>
      </w:r>
    </w:p>
    <w:p w14:paraId="138F6A4B">
      <w:pPr>
        <w:spacing w:before="204" w:line="221" w:lineRule="auto"/>
        <w:ind w:left="481"/>
        <w:rPr>
          <w:rFonts w:ascii="宋体" w:hAnsi="宋体" w:eastAsia="宋体" w:cs="宋体"/>
          <w:sz w:val="24"/>
          <w:szCs w:val="24"/>
        </w:rPr>
      </w:pPr>
      <w:r>
        <w:rPr>
          <w:rFonts w:ascii="Times New Roman" w:hAnsi="Times New Roman" w:eastAsia="Times New Roman" w:cs="Times New Roman"/>
          <w:b/>
          <w:bCs/>
          <w:spacing w:val="-6"/>
          <w:sz w:val="24"/>
          <w:szCs w:val="24"/>
        </w:rPr>
        <w:t>2</w:t>
      </w:r>
      <w:r>
        <w:rPr>
          <w:rFonts w:ascii="Times New Roman" w:hAnsi="Times New Roman" w:eastAsia="Times New Roman" w:cs="Times New Roman"/>
          <w:b/>
          <w:bCs/>
          <w:spacing w:val="-32"/>
          <w:sz w:val="24"/>
          <w:szCs w:val="24"/>
        </w:rPr>
        <w:t xml:space="preserve"> </w:t>
      </w:r>
      <w:r>
        <w:rPr>
          <w:rFonts w:ascii="宋体" w:hAnsi="宋体" w:eastAsia="宋体" w:cs="宋体"/>
          <w:b/>
          <w:bCs/>
          <w:spacing w:val="-6"/>
          <w:sz w:val="24"/>
          <w:szCs w:val="24"/>
        </w:rPr>
        <w:t>、废气治理措施</w:t>
      </w:r>
    </w:p>
    <w:p w14:paraId="613BD25C">
      <w:pPr>
        <w:spacing w:before="201" w:line="342" w:lineRule="auto"/>
        <w:ind w:left="5" w:right="31" w:firstLine="487"/>
        <w:rPr>
          <w:rFonts w:ascii="宋体" w:hAnsi="宋体" w:eastAsia="宋体" w:cs="宋体"/>
          <w:sz w:val="24"/>
          <w:szCs w:val="24"/>
        </w:rPr>
      </w:pPr>
      <w:r>
        <w:rPr>
          <w:rFonts w:ascii="宋体" w:hAnsi="宋体" w:eastAsia="宋体" w:cs="宋体"/>
          <w:spacing w:val="2"/>
          <w:sz w:val="24"/>
          <w:szCs w:val="24"/>
        </w:rPr>
        <w:t xml:space="preserve">营运期废气污染源主要来自于猪舍、有机肥发酵车间无组织排放的恶臭、饲料 </w:t>
      </w:r>
      <w:r>
        <w:rPr>
          <w:rFonts w:ascii="宋体" w:hAnsi="宋体" w:eastAsia="宋体" w:cs="宋体"/>
          <w:spacing w:val="-1"/>
          <w:sz w:val="24"/>
          <w:szCs w:val="24"/>
        </w:rPr>
        <w:t>加工房产生的粉尘废气、备用发电机尾气。</w:t>
      </w:r>
    </w:p>
    <w:p w14:paraId="2FF9B9AB">
      <w:pPr>
        <w:spacing w:before="4" w:line="342" w:lineRule="auto"/>
        <w:ind w:left="7" w:right="28" w:firstLine="477"/>
        <w:jc w:val="both"/>
        <w:rPr>
          <w:rFonts w:ascii="宋体" w:hAnsi="宋体" w:eastAsia="宋体" w:cs="宋体"/>
          <w:sz w:val="24"/>
          <w:szCs w:val="24"/>
        </w:rPr>
      </w:pPr>
      <w:r>
        <w:rPr>
          <w:rFonts w:ascii="宋体" w:hAnsi="宋体" w:eastAsia="宋体" w:cs="宋体"/>
          <w:sz w:val="24"/>
          <w:szCs w:val="24"/>
        </w:rPr>
        <w:t>对于猪舍等产生的</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3</w:t>
      </w:r>
      <w:r>
        <w:rPr>
          <w:rFonts w:ascii="Times New Roman" w:hAnsi="Times New Roman" w:eastAsia="Times New Roman" w:cs="Times New Roman"/>
          <w:spacing w:val="10"/>
          <w:w w:val="102"/>
          <w:position w:val="-1"/>
          <w:sz w:val="15"/>
          <w:szCs w:val="15"/>
        </w:rPr>
        <w:t xml:space="preserve"> </w:t>
      </w:r>
      <w:r>
        <w:rPr>
          <w:rFonts w:ascii="宋体" w:hAnsi="宋体" w:eastAsia="宋体" w:cs="宋体"/>
          <w:sz w:val="24"/>
          <w:szCs w:val="24"/>
        </w:rPr>
        <w:t>和</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H</w:t>
      </w:r>
      <w:r>
        <w:rPr>
          <w:rFonts w:ascii="Times New Roman" w:hAnsi="Times New Roman" w:eastAsia="Times New Roman" w:cs="Times New Roman"/>
          <w:position w:val="-1"/>
          <w:sz w:val="15"/>
          <w:szCs w:val="15"/>
        </w:rPr>
        <w:t>2</w:t>
      </w:r>
      <w:r>
        <w:rPr>
          <w:rFonts w:ascii="Times New Roman" w:hAnsi="Times New Roman" w:eastAsia="Times New Roman" w:cs="Times New Roman"/>
          <w:sz w:val="24"/>
          <w:szCs w:val="24"/>
        </w:rPr>
        <w:t xml:space="preserve">S </w:t>
      </w:r>
      <w:r>
        <w:rPr>
          <w:rFonts w:ascii="宋体" w:hAnsi="宋体" w:eastAsia="宋体" w:cs="宋体"/>
          <w:sz w:val="24"/>
          <w:szCs w:val="24"/>
        </w:rPr>
        <w:t xml:space="preserve">等恶臭气体，要求项目制定严格的管理制度，及 </w:t>
      </w:r>
      <w:r>
        <w:rPr>
          <w:rFonts w:ascii="宋体" w:hAnsi="宋体" w:eastAsia="宋体" w:cs="宋体"/>
          <w:spacing w:val="2"/>
          <w:sz w:val="24"/>
          <w:szCs w:val="24"/>
        </w:rPr>
        <w:t>时清除猪舍粪便，喷洒除臭剂、猪舍周边种植树木，最大限度的减轻恶臭气体的产</w:t>
      </w:r>
      <w:r>
        <w:rPr>
          <w:rFonts w:ascii="宋体" w:hAnsi="宋体" w:eastAsia="宋体" w:cs="宋体"/>
          <w:spacing w:val="4"/>
          <w:sz w:val="24"/>
          <w:szCs w:val="24"/>
        </w:rPr>
        <w:t xml:space="preserve"> </w:t>
      </w:r>
      <w:r>
        <w:rPr>
          <w:rFonts w:ascii="宋体" w:hAnsi="宋体" w:eastAsia="宋体" w:cs="宋体"/>
          <w:spacing w:val="-1"/>
          <w:sz w:val="24"/>
          <w:szCs w:val="24"/>
        </w:rPr>
        <w:t>生和扩散。有机肥发酵车间周围设有绿化带且喷洒除臭剂。</w:t>
      </w:r>
    </w:p>
    <w:p w14:paraId="2F432787">
      <w:pPr>
        <w:spacing w:line="342" w:lineRule="auto"/>
        <w:rPr>
          <w:rFonts w:ascii="宋体" w:hAnsi="宋体" w:eastAsia="宋体" w:cs="宋体"/>
          <w:sz w:val="24"/>
          <w:szCs w:val="24"/>
        </w:rPr>
        <w:sectPr>
          <w:footerReference r:id="rId69" w:type="default"/>
          <w:pgSz w:w="11906" w:h="16839"/>
          <w:pgMar w:top="400" w:right="1557" w:bottom="1485" w:left="1592" w:header="0" w:footer="1249" w:gutter="0"/>
          <w:cols w:space="720" w:num="1"/>
        </w:sectPr>
      </w:pPr>
    </w:p>
    <w:p w14:paraId="0C4FC200">
      <w:pPr>
        <w:pStyle w:val="2"/>
        <w:spacing w:line="242" w:lineRule="auto"/>
      </w:pPr>
    </w:p>
    <w:p w14:paraId="207F6132">
      <w:pPr>
        <w:pStyle w:val="2"/>
        <w:spacing w:line="242" w:lineRule="auto"/>
      </w:pPr>
    </w:p>
    <w:p w14:paraId="4C71549D">
      <w:pPr>
        <w:pStyle w:val="2"/>
        <w:spacing w:line="242" w:lineRule="auto"/>
      </w:pPr>
    </w:p>
    <w:p w14:paraId="424035F1">
      <w:pPr>
        <w:pStyle w:val="2"/>
        <w:spacing w:line="243" w:lineRule="auto"/>
      </w:pPr>
    </w:p>
    <w:p w14:paraId="5C0A2CFE">
      <w:pPr>
        <w:spacing w:before="78" w:line="220" w:lineRule="auto"/>
        <w:ind w:left="484"/>
        <w:rPr>
          <w:rFonts w:ascii="宋体" w:hAnsi="宋体" w:eastAsia="宋体" w:cs="宋体"/>
          <w:sz w:val="24"/>
          <w:szCs w:val="24"/>
        </w:rPr>
      </w:pPr>
      <w:r>
        <w:rPr>
          <w:rFonts w:ascii="宋体" w:hAnsi="宋体" w:eastAsia="宋体" w:cs="宋体"/>
          <w:spacing w:val="-1"/>
          <w:sz w:val="24"/>
          <w:szCs w:val="24"/>
        </w:rPr>
        <w:t>饲料加工设备为密闭设备，产生的粉尘量较少，呈无组织排放。</w:t>
      </w:r>
    </w:p>
    <w:p w14:paraId="6E9AA450">
      <w:pPr>
        <w:spacing w:before="179" w:line="219" w:lineRule="auto"/>
        <w:ind w:left="488"/>
        <w:rPr>
          <w:rFonts w:ascii="宋体" w:hAnsi="宋体" w:eastAsia="宋体" w:cs="宋体"/>
          <w:sz w:val="24"/>
          <w:szCs w:val="24"/>
        </w:rPr>
      </w:pPr>
      <w:r>
        <w:rPr>
          <w:rFonts w:ascii="宋体" w:hAnsi="宋体" w:eastAsia="宋体" w:cs="宋体"/>
          <w:spacing w:val="-1"/>
          <w:sz w:val="24"/>
          <w:szCs w:val="24"/>
        </w:rPr>
        <w:t>备用发电机尾气经专用排气筒高空排放。</w:t>
      </w:r>
    </w:p>
    <w:p w14:paraId="500BE5D9">
      <w:pPr>
        <w:spacing w:before="271" w:line="221" w:lineRule="auto"/>
        <w:ind w:left="480"/>
        <w:rPr>
          <w:rFonts w:ascii="宋体" w:hAnsi="宋体" w:eastAsia="宋体" w:cs="宋体"/>
          <w:sz w:val="24"/>
          <w:szCs w:val="24"/>
        </w:rPr>
      </w:pPr>
      <w:r>
        <w:rPr>
          <w:rFonts w:ascii="Times New Roman" w:hAnsi="Times New Roman" w:eastAsia="Times New Roman" w:cs="Times New Roman"/>
          <w:b/>
          <w:bCs/>
          <w:spacing w:val="-6"/>
          <w:sz w:val="24"/>
          <w:szCs w:val="24"/>
        </w:rPr>
        <w:t>3</w:t>
      </w:r>
      <w:r>
        <w:rPr>
          <w:rFonts w:ascii="Times New Roman" w:hAnsi="Times New Roman" w:eastAsia="Times New Roman" w:cs="Times New Roman"/>
          <w:b/>
          <w:bCs/>
          <w:spacing w:val="-30"/>
          <w:sz w:val="24"/>
          <w:szCs w:val="24"/>
        </w:rPr>
        <w:t xml:space="preserve"> </w:t>
      </w:r>
      <w:r>
        <w:rPr>
          <w:rFonts w:ascii="宋体" w:hAnsi="宋体" w:eastAsia="宋体" w:cs="宋体"/>
          <w:b/>
          <w:bCs/>
          <w:spacing w:val="-6"/>
          <w:sz w:val="24"/>
          <w:szCs w:val="24"/>
        </w:rPr>
        <w:t>、噪声处理工程</w:t>
      </w:r>
    </w:p>
    <w:p w14:paraId="12D7385D">
      <w:pPr>
        <w:spacing w:before="113" w:line="359" w:lineRule="auto"/>
        <w:ind w:left="9" w:firstLine="480"/>
        <w:rPr>
          <w:rFonts w:ascii="宋体" w:hAnsi="宋体" w:eastAsia="宋体" w:cs="宋体"/>
          <w:sz w:val="24"/>
          <w:szCs w:val="24"/>
        </w:rPr>
      </w:pPr>
      <w:r>
        <w:rPr>
          <w:rFonts w:ascii="宋体" w:hAnsi="宋体" w:eastAsia="宋体" w:cs="宋体"/>
          <w:spacing w:val="-3"/>
          <w:sz w:val="24"/>
          <w:szCs w:val="24"/>
        </w:rPr>
        <w:t>项目噪声源主要来自场区内抽排风机、水泵、饲料加工等机械设备、猪只叫声，</w:t>
      </w:r>
      <w:r>
        <w:rPr>
          <w:rFonts w:ascii="宋体" w:hAnsi="宋体" w:eastAsia="宋体" w:cs="宋体"/>
          <w:spacing w:val="2"/>
          <w:sz w:val="24"/>
          <w:szCs w:val="24"/>
        </w:rPr>
        <w:t xml:space="preserve"> </w:t>
      </w:r>
      <w:r>
        <w:rPr>
          <w:rFonts w:ascii="宋体" w:hAnsi="宋体" w:eastAsia="宋体" w:cs="宋体"/>
          <w:spacing w:val="-1"/>
          <w:sz w:val="24"/>
          <w:szCs w:val="24"/>
        </w:rPr>
        <w:t>项目拟采取的噪声处理措施有：</w:t>
      </w:r>
    </w:p>
    <w:p w14:paraId="3248BC18">
      <w:pPr>
        <w:spacing w:before="1" w:line="217" w:lineRule="auto"/>
        <w:ind w:left="484"/>
        <w:rPr>
          <w:rFonts w:ascii="宋体" w:hAnsi="宋体" w:eastAsia="宋体" w:cs="宋体"/>
          <w:sz w:val="24"/>
          <w:szCs w:val="24"/>
        </w:rPr>
      </w:pPr>
      <w:r>
        <w:rPr>
          <w:rFonts w:ascii="宋体" w:hAnsi="宋体" w:eastAsia="宋体" w:cs="宋体"/>
          <w:spacing w:val="-1"/>
          <w:sz w:val="24"/>
          <w:szCs w:val="24"/>
        </w:rPr>
        <w:t>①水泵房：设在专门的机房，再经减震处理；</w:t>
      </w:r>
    </w:p>
    <w:p w14:paraId="1F975EF4">
      <w:pPr>
        <w:spacing w:before="183" w:line="218" w:lineRule="auto"/>
        <w:ind w:left="483"/>
        <w:rPr>
          <w:rFonts w:ascii="宋体" w:hAnsi="宋体" w:eastAsia="宋体" w:cs="宋体"/>
          <w:sz w:val="24"/>
          <w:szCs w:val="24"/>
        </w:rPr>
      </w:pPr>
      <w:r>
        <w:rPr>
          <w:rFonts w:ascii="宋体" w:hAnsi="宋体" w:eastAsia="宋体" w:cs="宋体"/>
          <w:spacing w:val="-1"/>
          <w:sz w:val="24"/>
          <w:szCs w:val="24"/>
        </w:rPr>
        <w:t>②抽排风机：选用低噪声设备；</w:t>
      </w:r>
    </w:p>
    <w:p w14:paraId="1C8D941B">
      <w:pPr>
        <w:spacing w:before="184" w:line="218" w:lineRule="auto"/>
        <w:ind w:left="483"/>
        <w:rPr>
          <w:rFonts w:ascii="宋体" w:hAnsi="宋体" w:eastAsia="宋体" w:cs="宋体"/>
          <w:sz w:val="24"/>
          <w:szCs w:val="24"/>
        </w:rPr>
      </w:pPr>
      <w:r>
        <w:rPr>
          <w:rFonts w:ascii="宋体" w:hAnsi="宋体" w:eastAsia="宋体" w:cs="宋体"/>
          <w:spacing w:val="-1"/>
          <w:sz w:val="24"/>
          <w:szCs w:val="24"/>
        </w:rPr>
        <w:t>③饲料加工设备：选用低噪声设备，合理安排位置等；</w:t>
      </w:r>
    </w:p>
    <w:p w14:paraId="73E82313">
      <w:pPr>
        <w:spacing w:before="185" w:line="218" w:lineRule="auto"/>
        <w:ind w:left="483"/>
        <w:rPr>
          <w:rFonts w:ascii="宋体" w:hAnsi="宋体" w:eastAsia="宋体" w:cs="宋体"/>
          <w:sz w:val="24"/>
          <w:szCs w:val="24"/>
        </w:rPr>
      </w:pPr>
      <w:r>
        <w:rPr>
          <w:rFonts w:ascii="宋体" w:hAnsi="宋体" w:eastAsia="宋体" w:cs="宋体"/>
          <w:spacing w:val="-1"/>
          <w:sz w:val="24"/>
          <w:szCs w:val="24"/>
        </w:rPr>
        <w:t>④猪只叫声：合理安排猪舍，避免由于拥挤相互挤压。</w:t>
      </w:r>
    </w:p>
    <w:p w14:paraId="2DD22491">
      <w:pPr>
        <w:spacing w:before="271" w:line="220" w:lineRule="auto"/>
        <w:ind w:left="482"/>
        <w:rPr>
          <w:rFonts w:ascii="宋体" w:hAnsi="宋体" w:eastAsia="宋体" w:cs="宋体"/>
          <w:sz w:val="24"/>
          <w:szCs w:val="24"/>
        </w:rPr>
      </w:pPr>
      <w:r>
        <w:rPr>
          <w:rFonts w:ascii="Times New Roman" w:hAnsi="Times New Roman" w:eastAsia="Times New Roman" w:cs="Times New Roman"/>
          <w:b/>
          <w:bCs/>
          <w:spacing w:val="-7"/>
          <w:sz w:val="24"/>
          <w:szCs w:val="24"/>
        </w:rPr>
        <w:t>4</w:t>
      </w:r>
      <w:r>
        <w:rPr>
          <w:rFonts w:ascii="Times New Roman" w:hAnsi="Times New Roman" w:eastAsia="Times New Roman" w:cs="Times New Roman"/>
          <w:b/>
          <w:bCs/>
          <w:spacing w:val="-29"/>
          <w:sz w:val="24"/>
          <w:szCs w:val="24"/>
        </w:rPr>
        <w:t xml:space="preserve"> </w:t>
      </w:r>
      <w:r>
        <w:rPr>
          <w:rFonts w:ascii="宋体" w:hAnsi="宋体" w:eastAsia="宋体" w:cs="宋体"/>
          <w:b/>
          <w:bCs/>
          <w:spacing w:val="-7"/>
          <w:sz w:val="24"/>
          <w:szCs w:val="24"/>
        </w:rPr>
        <w:t>、废弃物处理</w:t>
      </w:r>
    </w:p>
    <w:p w14:paraId="52AB054F">
      <w:pPr>
        <w:spacing w:before="203" w:line="376" w:lineRule="auto"/>
        <w:ind w:left="7" w:right="63" w:firstLine="480"/>
        <w:jc w:val="both"/>
        <w:rPr>
          <w:rFonts w:ascii="宋体" w:hAnsi="宋体" w:eastAsia="宋体" w:cs="宋体"/>
          <w:sz w:val="24"/>
          <w:szCs w:val="24"/>
        </w:rPr>
      </w:pPr>
      <w:r>
        <w:rPr>
          <w:rFonts w:ascii="宋体" w:hAnsi="宋体" w:eastAsia="宋体" w:cs="宋体"/>
          <w:spacing w:val="2"/>
          <w:sz w:val="24"/>
          <w:szCs w:val="24"/>
        </w:rPr>
        <w:t>粪便：养殖场采用干清粪工艺，配有机械化清理设施，粪便、尿液、猪舍冲洗</w:t>
      </w:r>
      <w:r>
        <w:rPr>
          <w:rFonts w:ascii="宋体" w:hAnsi="宋体" w:eastAsia="宋体" w:cs="宋体"/>
          <w:spacing w:val="8"/>
          <w:sz w:val="24"/>
          <w:szCs w:val="24"/>
        </w:rPr>
        <w:t xml:space="preserve"> </w:t>
      </w:r>
      <w:r>
        <w:rPr>
          <w:rFonts w:ascii="宋体" w:hAnsi="宋体" w:eastAsia="宋体" w:cs="宋体"/>
          <w:spacing w:val="2"/>
          <w:sz w:val="24"/>
          <w:szCs w:val="24"/>
        </w:rPr>
        <w:t>水从猪舍漏缝地板漏下，由底下刮板收集，传送到有机肥发酵车间进行处理，加工</w:t>
      </w:r>
      <w:r>
        <w:rPr>
          <w:rFonts w:ascii="宋体" w:hAnsi="宋体" w:eastAsia="宋体" w:cs="宋体"/>
          <w:spacing w:val="4"/>
          <w:sz w:val="24"/>
          <w:szCs w:val="24"/>
        </w:rPr>
        <w:t xml:space="preserve"> </w:t>
      </w:r>
      <w:r>
        <w:rPr>
          <w:rFonts w:ascii="宋体" w:hAnsi="宋体" w:eastAsia="宋体" w:cs="宋体"/>
          <w:spacing w:val="-1"/>
          <w:sz w:val="24"/>
          <w:szCs w:val="24"/>
        </w:rPr>
        <w:t>成有机肥半成品外售给肥料生产企业进一步加工制造有机肥，不外排。</w:t>
      </w:r>
    </w:p>
    <w:p w14:paraId="0AFB6FCE">
      <w:pPr>
        <w:spacing w:before="1" w:line="362" w:lineRule="auto"/>
        <w:ind w:left="7" w:right="63" w:firstLine="480"/>
        <w:rPr>
          <w:rFonts w:ascii="宋体" w:hAnsi="宋体" w:eastAsia="宋体" w:cs="宋体"/>
          <w:sz w:val="24"/>
          <w:szCs w:val="24"/>
        </w:rPr>
      </w:pPr>
      <w:r>
        <w:rPr>
          <w:rFonts w:ascii="宋体" w:hAnsi="宋体" w:eastAsia="宋体" w:cs="宋体"/>
          <w:spacing w:val="2"/>
          <w:sz w:val="24"/>
          <w:szCs w:val="24"/>
        </w:rPr>
        <w:t>为避免粪便堆存过程产生的恶臭污染，本项目日产日清，这样既可保证猪舍卫</w:t>
      </w:r>
      <w:r>
        <w:rPr>
          <w:rFonts w:ascii="宋体" w:hAnsi="宋体" w:eastAsia="宋体" w:cs="宋体"/>
          <w:spacing w:val="7"/>
          <w:sz w:val="24"/>
          <w:szCs w:val="24"/>
        </w:rPr>
        <w:t xml:space="preserve"> </w:t>
      </w:r>
      <w:r>
        <w:rPr>
          <w:rFonts w:ascii="宋体" w:hAnsi="宋体" w:eastAsia="宋体" w:cs="宋体"/>
          <w:spacing w:val="-1"/>
          <w:sz w:val="24"/>
          <w:szCs w:val="24"/>
        </w:rPr>
        <w:t>生，也能及时为处理项目提供原料。</w:t>
      </w:r>
    </w:p>
    <w:p w14:paraId="3F1AD94A">
      <w:pPr>
        <w:spacing w:before="2" w:line="367" w:lineRule="auto"/>
        <w:ind w:left="10" w:right="60" w:firstLine="474"/>
        <w:rPr>
          <w:rFonts w:ascii="宋体" w:hAnsi="宋体" w:eastAsia="宋体" w:cs="宋体"/>
          <w:sz w:val="24"/>
          <w:szCs w:val="24"/>
        </w:rPr>
      </w:pPr>
      <w:r>
        <w:rPr>
          <w:rFonts w:ascii="宋体" w:hAnsi="宋体" w:eastAsia="宋体" w:cs="宋体"/>
          <w:sz w:val="24"/>
          <w:szCs w:val="24"/>
        </w:rPr>
        <w:t>病死猪处理：病死猪按《畜禽养殖业污染防治技术规范》（</w:t>
      </w:r>
      <w:r>
        <w:rPr>
          <w:rFonts w:ascii="Times New Roman" w:hAnsi="Times New Roman" w:eastAsia="Times New Roman" w:cs="Times New Roman"/>
          <w:sz w:val="24"/>
          <w:szCs w:val="24"/>
        </w:rPr>
        <w:t>HJ/T81-2001</w:t>
      </w:r>
      <w:r>
        <w:rPr>
          <w:rFonts w:ascii="宋体" w:hAnsi="宋体" w:eastAsia="宋体" w:cs="宋体"/>
          <w:sz w:val="24"/>
          <w:szCs w:val="24"/>
        </w:rPr>
        <w:t>）采用</w:t>
      </w:r>
      <w:r>
        <w:rPr>
          <w:rFonts w:ascii="宋体" w:hAnsi="宋体" w:eastAsia="宋体" w:cs="宋体"/>
          <w:spacing w:val="1"/>
          <w:sz w:val="24"/>
          <w:szCs w:val="24"/>
        </w:rPr>
        <w:t xml:space="preserve"> </w:t>
      </w:r>
      <w:r>
        <w:rPr>
          <w:rFonts w:ascii="宋体" w:hAnsi="宋体" w:eastAsia="宋体" w:cs="宋体"/>
          <w:spacing w:val="-1"/>
          <w:sz w:val="24"/>
          <w:szCs w:val="24"/>
        </w:rPr>
        <w:t>安全方法处理。建设单位采用将病死猪埋于安全填埋井的方法进行处理。</w:t>
      </w:r>
    </w:p>
    <w:p w14:paraId="19277349">
      <w:pPr>
        <w:spacing w:before="58" w:line="220" w:lineRule="auto"/>
        <w:ind w:left="500"/>
        <w:rPr>
          <w:rFonts w:ascii="宋体" w:hAnsi="宋体" w:eastAsia="宋体" w:cs="宋体"/>
          <w:sz w:val="24"/>
          <w:szCs w:val="24"/>
        </w:rPr>
      </w:pPr>
      <w:r>
        <w:rPr>
          <w:rFonts w:ascii="宋体" w:hAnsi="宋体" w:eastAsia="宋体" w:cs="宋体"/>
          <w:spacing w:val="-1"/>
          <w:sz w:val="24"/>
          <w:szCs w:val="24"/>
        </w:rPr>
        <w:t>畜牧医疗废物：收集后暂存于医疗废物暂存间，并委托有资质单位定期处理。</w:t>
      </w:r>
    </w:p>
    <w:p w14:paraId="31785A01">
      <w:pPr>
        <w:spacing w:before="204" w:line="379" w:lineRule="auto"/>
        <w:ind w:left="5" w:right="61" w:firstLine="489"/>
        <w:rPr>
          <w:rFonts w:ascii="宋体" w:hAnsi="宋体" w:eastAsia="宋体" w:cs="宋体"/>
          <w:sz w:val="24"/>
          <w:szCs w:val="24"/>
        </w:rPr>
      </w:pPr>
      <w:r>
        <w:rPr>
          <w:rFonts w:ascii="宋体" w:hAnsi="宋体" w:eastAsia="宋体" w:cs="宋体"/>
          <w:spacing w:val="2"/>
          <w:sz w:val="24"/>
          <w:szCs w:val="24"/>
        </w:rPr>
        <w:t>员工生活垃圾：由项目区域内的垃圾桶进行收集，然后统一交由市政环卫部门</w:t>
      </w:r>
      <w:r>
        <w:rPr>
          <w:rFonts w:ascii="宋体" w:hAnsi="宋体" w:eastAsia="宋体" w:cs="宋体"/>
          <w:spacing w:val="3"/>
          <w:sz w:val="24"/>
          <w:szCs w:val="24"/>
        </w:rPr>
        <w:t xml:space="preserve"> </w:t>
      </w:r>
      <w:r>
        <w:rPr>
          <w:rFonts w:ascii="宋体" w:hAnsi="宋体" w:eastAsia="宋体" w:cs="宋体"/>
          <w:spacing w:val="-4"/>
          <w:sz w:val="24"/>
          <w:szCs w:val="24"/>
        </w:rPr>
        <w:t>清运。</w:t>
      </w:r>
    </w:p>
    <w:p w14:paraId="5A79F13C">
      <w:pPr>
        <w:pStyle w:val="2"/>
        <w:spacing w:line="447" w:lineRule="auto"/>
      </w:pPr>
    </w:p>
    <w:p w14:paraId="01EC2AE4">
      <w:pPr>
        <w:spacing w:before="91" w:line="221" w:lineRule="auto"/>
        <w:outlineLvl w:val="1"/>
        <w:rPr>
          <w:rFonts w:ascii="宋体" w:hAnsi="宋体" w:eastAsia="宋体" w:cs="宋体"/>
          <w:sz w:val="28"/>
          <w:szCs w:val="28"/>
        </w:rPr>
      </w:pPr>
      <w:bookmarkStart w:id="22" w:name="bookmark20"/>
      <w:bookmarkEnd w:id="22"/>
      <w:r>
        <w:rPr>
          <w:rFonts w:ascii="Times New Roman" w:hAnsi="Times New Roman" w:eastAsia="Times New Roman" w:cs="Times New Roman"/>
          <w:b/>
          <w:bCs/>
          <w:spacing w:val="-2"/>
          <w:sz w:val="28"/>
          <w:szCs w:val="28"/>
        </w:rPr>
        <w:t>3.3</w:t>
      </w:r>
      <w:r>
        <w:rPr>
          <w:rFonts w:ascii="宋体" w:hAnsi="宋体" w:eastAsia="宋体" w:cs="宋体"/>
          <w:b/>
          <w:bCs/>
          <w:spacing w:val="-2"/>
          <w:sz w:val="28"/>
          <w:szCs w:val="28"/>
        </w:rPr>
        <w:t>项目工艺流程及产污环节</w:t>
      </w:r>
    </w:p>
    <w:p w14:paraId="5DF9964E">
      <w:pPr>
        <w:spacing w:before="25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3.3.1</w:t>
      </w:r>
      <w:r>
        <w:rPr>
          <w:rFonts w:ascii="宋体" w:hAnsi="宋体" w:eastAsia="宋体" w:cs="宋体"/>
          <w:b/>
          <w:bCs/>
          <w:spacing w:val="-2"/>
          <w:sz w:val="24"/>
          <w:szCs w:val="24"/>
        </w:rPr>
        <w:t>项目养殖流程和工艺介绍</w:t>
      </w:r>
    </w:p>
    <w:p w14:paraId="707A3361">
      <w:pPr>
        <w:spacing w:before="167" w:line="359" w:lineRule="exact"/>
        <w:ind w:left="486"/>
        <w:rPr>
          <w:rFonts w:ascii="宋体" w:hAnsi="宋体" w:eastAsia="宋体" w:cs="宋体"/>
          <w:sz w:val="24"/>
          <w:szCs w:val="24"/>
        </w:rPr>
      </w:pPr>
      <w:r>
        <w:rPr>
          <w:rFonts w:ascii="宋体" w:hAnsi="宋体" w:eastAsia="宋体" w:cs="宋体"/>
          <w:spacing w:val="1"/>
          <w:position w:val="2"/>
          <w:sz w:val="24"/>
          <w:szCs w:val="24"/>
        </w:rPr>
        <w:t>本项目为畜禽养殖新建项目，其运营过程中的饲养工艺及产污环节见图</w:t>
      </w:r>
      <w:r>
        <w:rPr>
          <w:rFonts w:ascii="Times New Roman" w:hAnsi="Times New Roman" w:eastAsia="Times New Roman" w:cs="Times New Roman"/>
          <w:spacing w:val="1"/>
          <w:position w:val="2"/>
          <w:sz w:val="24"/>
          <w:szCs w:val="24"/>
        </w:rPr>
        <w:t>3.3-1</w:t>
      </w:r>
      <w:r>
        <w:rPr>
          <w:rFonts w:ascii="宋体" w:hAnsi="宋体" w:eastAsia="宋体" w:cs="宋体"/>
          <w:spacing w:val="1"/>
          <w:position w:val="2"/>
          <w:sz w:val="24"/>
          <w:szCs w:val="24"/>
        </w:rPr>
        <w:t>。</w:t>
      </w:r>
    </w:p>
    <w:p w14:paraId="4466B176">
      <w:pPr>
        <w:spacing w:line="359" w:lineRule="exact"/>
        <w:rPr>
          <w:rFonts w:ascii="宋体" w:hAnsi="宋体" w:eastAsia="宋体" w:cs="宋体"/>
          <w:sz w:val="24"/>
          <w:szCs w:val="24"/>
        </w:rPr>
        <w:sectPr>
          <w:footerReference r:id="rId70" w:type="default"/>
          <w:pgSz w:w="11906" w:h="16839"/>
          <w:pgMar w:top="400" w:right="1525" w:bottom="1485" w:left="1592" w:header="0" w:footer="1249" w:gutter="0"/>
          <w:cols w:space="720" w:num="1"/>
        </w:sectPr>
      </w:pPr>
    </w:p>
    <w:p w14:paraId="38F6D09D">
      <w:pPr>
        <w:pStyle w:val="2"/>
        <w:spacing w:line="276" w:lineRule="auto"/>
      </w:pPr>
    </w:p>
    <w:p w14:paraId="22E8DB64">
      <w:pPr>
        <w:pStyle w:val="2"/>
        <w:spacing w:line="276" w:lineRule="auto"/>
      </w:pPr>
    </w:p>
    <w:p w14:paraId="3A76568E">
      <w:pPr>
        <w:pStyle w:val="2"/>
        <w:spacing w:line="276" w:lineRule="auto"/>
      </w:pPr>
    </w:p>
    <w:p w14:paraId="11E7D97F">
      <w:pPr>
        <w:pStyle w:val="2"/>
        <w:spacing w:line="277" w:lineRule="auto"/>
      </w:pPr>
    </w:p>
    <w:p w14:paraId="2B311644">
      <w:pPr>
        <w:spacing w:line="5056" w:lineRule="exact"/>
        <w:ind w:firstLine="397"/>
      </w:pPr>
      <w:r>
        <w:rPr>
          <w:position w:val="-101"/>
        </w:rPr>
        <w:drawing>
          <wp:inline distT="0" distB="0" distL="0" distR="0">
            <wp:extent cx="5128260" cy="320992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15"/>
                    <a:stretch>
                      <a:fillRect/>
                    </a:stretch>
                  </pic:blipFill>
                  <pic:spPr>
                    <a:xfrm>
                      <a:off x="0" y="0"/>
                      <a:ext cx="5128434" cy="3210450"/>
                    </a:xfrm>
                    <a:prstGeom prst="rect">
                      <a:avLst/>
                    </a:prstGeom>
                  </pic:spPr>
                </pic:pic>
              </a:graphicData>
            </a:graphic>
          </wp:inline>
        </w:drawing>
      </w:r>
    </w:p>
    <w:p w14:paraId="005DA6FB">
      <w:pPr>
        <w:pStyle w:val="2"/>
        <w:spacing w:line="435" w:lineRule="auto"/>
      </w:pPr>
    </w:p>
    <w:p w14:paraId="26DD5F99">
      <w:pPr>
        <w:spacing w:before="78" w:line="220" w:lineRule="auto"/>
        <w:ind w:left="2729"/>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41"/>
          <w:sz w:val="24"/>
          <w:szCs w:val="24"/>
        </w:rPr>
        <w:t xml:space="preserve"> </w:t>
      </w:r>
      <w:r>
        <w:rPr>
          <w:rFonts w:ascii="Times New Roman" w:hAnsi="Times New Roman" w:eastAsia="Times New Roman" w:cs="Times New Roman"/>
          <w:b/>
          <w:bCs/>
          <w:spacing w:val="-4"/>
          <w:sz w:val="24"/>
          <w:szCs w:val="24"/>
        </w:rPr>
        <w:t xml:space="preserve">3.3-1  </w:t>
      </w:r>
      <w:r>
        <w:rPr>
          <w:rFonts w:ascii="宋体" w:hAnsi="宋体" w:eastAsia="宋体" w:cs="宋体"/>
          <w:b/>
          <w:bCs/>
          <w:spacing w:val="-4"/>
          <w:sz w:val="24"/>
          <w:szCs w:val="24"/>
        </w:rPr>
        <w:t>生产流程图及产污环节</w:t>
      </w:r>
    </w:p>
    <w:p w14:paraId="0D0608A3">
      <w:pPr>
        <w:spacing w:before="203" w:line="219" w:lineRule="auto"/>
        <w:ind w:left="483"/>
        <w:rPr>
          <w:rFonts w:ascii="宋体" w:hAnsi="宋体" w:eastAsia="宋体" w:cs="宋体"/>
          <w:sz w:val="24"/>
          <w:szCs w:val="24"/>
        </w:rPr>
      </w:pPr>
      <w:r>
        <w:rPr>
          <w:rFonts w:ascii="宋体" w:hAnsi="宋体" w:eastAsia="宋体" w:cs="宋体"/>
          <w:b/>
          <w:bCs/>
          <w:spacing w:val="-4"/>
          <w:sz w:val="24"/>
          <w:szCs w:val="24"/>
        </w:rPr>
        <w:t>工艺流程简述：</w:t>
      </w:r>
    </w:p>
    <w:p w14:paraId="369042EE">
      <w:pPr>
        <w:spacing w:before="204" w:line="376" w:lineRule="auto"/>
        <w:ind w:right="91" w:firstLine="480"/>
        <w:rPr>
          <w:rFonts w:ascii="宋体" w:hAnsi="宋体" w:eastAsia="宋体" w:cs="宋体"/>
          <w:sz w:val="24"/>
          <w:szCs w:val="24"/>
        </w:rPr>
      </w:pPr>
      <w:r>
        <w:rPr>
          <w:rFonts w:ascii="宋体" w:hAnsi="宋体" w:eastAsia="宋体" w:cs="宋体"/>
          <w:sz w:val="24"/>
          <w:szCs w:val="24"/>
        </w:rPr>
        <w:t>集约化养殖的目的是要摆脱分散的、传统的季节性的</w:t>
      </w:r>
      <w:r>
        <w:rPr>
          <w:rFonts w:ascii="宋体" w:hAnsi="宋体" w:eastAsia="宋体" w:cs="宋体"/>
          <w:spacing w:val="-1"/>
          <w:sz w:val="24"/>
          <w:szCs w:val="24"/>
        </w:rPr>
        <w:t>生产方式，建立工厂化、</w:t>
      </w:r>
      <w:r>
        <w:rPr>
          <w:rFonts w:ascii="宋体" w:hAnsi="宋体" w:eastAsia="宋体" w:cs="宋体"/>
          <w:sz w:val="24"/>
          <w:szCs w:val="24"/>
        </w:rPr>
        <w:t xml:space="preserve"> 程序化、常年均衡的养殖生产体系，从而达到生产的高水平</w:t>
      </w:r>
      <w:r>
        <w:rPr>
          <w:rFonts w:ascii="宋体" w:hAnsi="宋体" w:eastAsia="宋体" w:cs="宋体"/>
          <w:spacing w:val="-1"/>
          <w:sz w:val="24"/>
          <w:szCs w:val="24"/>
        </w:rPr>
        <w:t>和经营的高效益，项目</w:t>
      </w:r>
      <w:r>
        <w:rPr>
          <w:rFonts w:ascii="宋体" w:hAnsi="宋体" w:eastAsia="宋体" w:cs="宋体"/>
          <w:sz w:val="24"/>
          <w:szCs w:val="24"/>
        </w:rPr>
        <w:t xml:space="preserve"> </w:t>
      </w:r>
      <w:r>
        <w:rPr>
          <w:rFonts w:ascii="宋体" w:hAnsi="宋体" w:eastAsia="宋体" w:cs="宋体"/>
          <w:spacing w:val="-1"/>
          <w:sz w:val="24"/>
          <w:szCs w:val="24"/>
        </w:rPr>
        <w:t>饲养工艺说明如下：</w:t>
      </w:r>
    </w:p>
    <w:p w14:paraId="0A00B020">
      <w:pPr>
        <w:spacing w:before="1" w:line="376" w:lineRule="auto"/>
        <w:ind w:left="1" w:right="91" w:firstLine="488"/>
        <w:rPr>
          <w:rFonts w:ascii="宋体" w:hAnsi="宋体" w:eastAsia="宋体" w:cs="宋体"/>
          <w:sz w:val="24"/>
          <w:szCs w:val="24"/>
        </w:rPr>
      </w:pPr>
      <w:r>
        <w:rPr>
          <w:rFonts w:ascii="宋体" w:hAnsi="宋体" w:eastAsia="宋体" w:cs="宋体"/>
          <w:spacing w:val="-1"/>
          <w:sz w:val="24"/>
          <w:szCs w:val="24"/>
        </w:rPr>
        <w:t>育肥：本项目外购育肥猪放置于生长舍中进行育肥，按育肥的饲养管理要求饲</w:t>
      </w:r>
      <w:r>
        <w:rPr>
          <w:rFonts w:ascii="宋体" w:hAnsi="宋体" w:eastAsia="宋体" w:cs="宋体"/>
          <w:spacing w:val="14"/>
          <w:sz w:val="24"/>
          <w:szCs w:val="24"/>
        </w:rPr>
        <w:t xml:space="preserve"> </w:t>
      </w:r>
      <w:r>
        <w:rPr>
          <w:rFonts w:ascii="宋体" w:hAnsi="宋体" w:eastAsia="宋体" w:cs="宋体"/>
          <w:spacing w:val="-3"/>
          <w:sz w:val="24"/>
          <w:szCs w:val="24"/>
        </w:rPr>
        <w:t>养，饲养至体重达标时（</w:t>
      </w:r>
      <w:r>
        <w:rPr>
          <w:rFonts w:ascii="Times New Roman" w:hAnsi="Times New Roman" w:eastAsia="Times New Roman" w:cs="Times New Roman"/>
          <w:spacing w:val="-3"/>
          <w:sz w:val="24"/>
          <w:szCs w:val="24"/>
        </w:rPr>
        <w:t>230</w:t>
      </w:r>
      <w:r>
        <w:rPr>
          <w:rFonts w:ascii="Times New Roman" w:hAnsi="Times New Roman" w:eastAsia="Times New Roman" w:cs="Times New Roman"/>
          <w:spacing w:val="18"/>
          <w:w w:val="101"/>
          <w:sz w:val="24"/>
          <w:szCs w:val="24"/>
        </w:rPr>
        <w:t xml:space="preserve"> </w:t>
      </w:r>
      <w:r>
        <w:rPr>
          <w:rFonts w:ascii="宋体" w:hAnsi="宋体" w:eastAsia="宋体" w:cs="宋体"/>
          <w:spacing w:val="-3"/>
          <w:sz w:val="24"/>
          <w:szCs w:val="24"/>
        </w:rPr>
        <w:t>斤</w:t>
      </w:r>
      <w:r>
        <w:rPr>
          <w:rFonts w:ascii="宋体" w:hAnsi="宋体" w:eastAsia="宋体" w:cs="宋体"/>
          <w:spacing w:val="18"/>
          <w:sz w:val="24"/>
          <w:szCs w:val="24"/>
        </w:rPr>
        <w:t>），</w:t>
      </w:r>
      <w:r>
        <w:rPr>
          <w:rFonts w:ascii="宋体" w:hAnsi="宋体" w:eastAsia="宋体" w:cs="宋体"/>
          <w:spacing w:val="-3"/>
          <w:sz w:val="24"/>
          <w:szCs w:val="24"/>
        </w:rPr>
        <w:t>即可上市出售。</w:t>
      </w:r>
    </w:p>
    <w:p w14:paraId="7DA5F0DF">
      <w:pPr>
        <w:spacing w:before="1" w:line="376" w:lineRule="auto"/>
        <w:ind w:firstLine="467"/>
        <w:jc w:val="both"/>
        <w:rPr>
          <w:rFonts w:ascii="宋体" w:hAnsi="宋体" w:eastAsia="宋体" w:cs="宋体"/>
          <w:sz w:val="24"/>
          <w:szCs w:val="24"/>
        </w:rPr>
      </w:pPr>
      <w:r>
        <w:rPr>
          <w:rFonts w:ascii="宋体" w:hAnsi="宋体" w:eastAsia="宋体" w:cs="宋体"/>
          <w:spacing w:val="2"/>
          <w:sz w:val="24"/>
          <w:szCs w:val="24"/>
        </w:rPr>
        <w:t>“干清粪</w:t>
      </w:r>
      <w:r>
        <w:rPr>
          <w:rFonts w:ascii="宋体" w:hAnsi="宋体" w:eastAsia="宋体" w:cs="宋体"/>
          <w:spacing w:val="-84"/>
          <w:sz w:val="24"/>
          <w:szCs w:val="24"/>
        </w:rPr>
        <w:t xml:space="preserve"> </w:t>
      </w:r>
      <w:r>
        <w:rPr>
          <w:rFonts w:ascii="宋体" w:hAnsi="宋体" w:eastAsia="宋体" w:cs="宋体"/>
          <w:spacing w:val="2"/>
          <w:sz w:val="24"/>
          <w:szCs w:val="24"/>
        </w:rPr>
        <w:t>”工艺简介：干清粪工艺的主要方法是</w:t>
      </w:r>
      <w:r>
        <w:rPr>
          <w:rFonts w:ascii="宋体" w:hAnsi="宋体" w:eastAsia="宋体" w:cs="宋体"/>
          <w:spacing w:val="1"/>
          <w:sz w:val="24"/>
          <w:szCs w:val="24"/>
        </w:rPr>
        <w:t>粪便一经产生便分流，干粪由</w:t>
      </w:r>
      <w:r>
        <w:rPr>
          <w:rFonts w:ascii="宋体" w:hAnsi="宋体" w:eastAsia="宋体" w:cs="宋体"/>
          <w:sz w:val="24"/>
          <w:szCs w:val="24"/>
        </w:rPr>
        <w:t xml:space="preserve"> </w:t>
      </w:r>
      <w:r>
        <w:rPr>
          <w:rFonts w:ascii="宋体" w:hAnsi="宋体" w:eastAsia="宋体" w:cs="宋体"/>
          <w:spacing w:val="2"/>
          <w:sz w:val="24"/>
          <w:szCs w:val="24"/>
        </w:rPr>
        <w:t>机械或人工收集、清扫、运走。干清粪工艺分为人工清粪和机械清粪两种。本项目</w:t>
      </w:r>
      <w:r>
        <w:rPr>
          <w:rFonts w:ascii="宋体" w:hAnsi="宋体" w:eastAsia="宋体" w:cs="宋体"/>
          <w:spacing w:val="7"/>
          <w:sz w:val="24"/>
          <w:szCs w:val="24"/>
        </w:rPr>
        <w:t xml:space="preserve"> </w:t>
      </w:r>
      <w:r>
        <w:rPr>
          <w:rFonts w:ascii="宋体" w:hAnsi="宋体" w:eastAsia="宋体" w:cs="宋体"/>
          <w:spacing w:val="-2"/>
          <w:sz w:val="24"/>
          <w:szCs w:val="24"/>
        </w:rPr>
        <w:t>采用“漏粪地板</w:t>
      </w:r>
      <w:r>
        <w:rPr>
          <w:rFonts w:ascii="Times New Roman" w:hAnsi="Times New Roman" w:eastAsia="Times New Roman" w:cs="Times New Roman"/>
          <w:spacing w:val="-2"/>
          <w:sz w:val="24"/>
          <w:szCs w:val="24"/>
        </w:rPr>
        <w:t>+</w:t>
      </w:r>
      <w:r>
        <w:rPr>
          <w:rFonts w:ascii="宋体" w:hAnsi="宋体" w:eastAsia="宋体" w:cs="宋体"/>
          <w:spacing w:val="-2"/>
          <w:sz w:val="24"/>
          <w:szCs w:val="24"/>
        </w:rPr>
        <w:t>机械刮粪板</w:t>
      </w:r>
      <w:r>
        <w:rPr>
          <w:rFonts w:ascii="宋体" w:hAnsi="宋体" w:eastAsia="宋体" w:cs="宋体"/>
          <w:spacing w:val="-86"/>
          <w:sz w:val="24"/>
          <w:szCs w:val="24"/>
        </w:rPr>
        <w:t xml:space="preserve"> </w:t>
      </w:r>
      <w:r>
        <w:rPr>
          <w:rFonts w:ascii="宋体" w:hAnsi="宋体" w:eastAsia="宋体" w:cs="宋体"/>
          <w:spacing w:val="-2"/>
          <w:sz w:val="24"/>
          <w:szCs w:val="24"/>
        </w:rPr>
        <w:t>”，将猪舍产生的粪尿</w:t>
      </w:r>
      <w:r>
        <w:rPr>
          <w:rFonts w:ascii="宋体" w:hAnsi="宋体" w:eastAsia="宋体" w:cs="宋体"/>
          <w:spacing w:val="-3"/>
          <w:sz w:val="24"/>
          <w:szCs w:val="24"/>
        </w:rPr>
        <w:t>一起刮入集污切粪池，项目猪舍</w:t>
      </w:r>
      <w:r>
        <w:rPr>
          <w:rFonts w:ascii="宋体" w:hAnsi="宋体" w:eastAsia="宋体" w:cs="宋体"/>
          <w:sz w:val="24"/>
          <w:szCs w:val="24"/>
        </w:rPr>
        <w:t xml:space="preserve"> </w:t>
      </w:r>
      <w:r>
        <w:rPr>
          <w:rFonts w:ascii="宋体" w:hAnsi="宋体" w:eastAsia="宋体" w:cs="宋体"/>
          <w:spacing w:val="1"/>
          <w:sz w:val="24"/>
          <w:szCs w:val="24"/>
        </w:rPr>
        <w:t>分为上下两层，上层养猪，配备自动投料、</w:t>
      </w:r>
      <w:r>
        <w:rPr>
          <w:rFonts w:ascii="宋体" w:hAnsi="宋体" w:eastAsia="宋体" w:cs="宋体"/>
          <w:spacing w:val="-69"/>
          <w:sz w:val="24"/>
          <w:szCs w:val="24"/>
        </w:rPr>
        <w:t xml:space="preserve"> </w:t>
      </w:r>
      <w:r>
        <w:rPr>
          <w:rFonts w:ascii="宋体" w:hAnsi="宋体" w:eastAsia="宋体" w:cs="宋体"/>
          <w:spacing w:val="1"/>
          <w:sz w:val="24"/>
          <w:szCs w:val="24"/>
        </w:rPr>
        <w:t>自动饮水设备。猪舍采用</w:t>
      </w:r>
      <w:r>
        <w:rPr>
          <w:rFonts w:ascii="宋体" w:hAnsi="宋体" w:eastAsia="宋体" w:cs="宋体"/>
          <w:sz w:val="24"/>
          <w:szCs w:val="24"/>
        </w:rPr>
        <w:t xml:space="preserve">全漏粪地板， </w:t>
      </w:r>
      <w:r>
        <w:rPr>
          <w:rFonts w:ascii="宋体" w:hAnsi="宋体" w:eastAsia="宋体" w:cs="宋体"/>
          <w:spacing w:val="2"/>
          <w:sz w:val="24"/>
          <w:szCs w:val="24"/>
        </w:rPr>
        <w:t>下层为集粪池并安装相应设备。猪生活在漏粪板地板上，猪排泄的粪尿落入漏粪地</w:t>
      </w:r>
      <w:r>
        <w:rPr>
          <w:rFonts w:ascii="宋体" w:hAnsi="宋体" w:eastAsia="宋体" w:cs="宋体"/>
          <w:spacing w:val="7"/>
          <w:sz w:val="24"/>
          <w:szCs w:val="24"/>
        </w:rPr>
        <w:t xml:space="preserve"> </w:t>
      </w:r>
      <w:r>
        <w:rPr>
          <w:rFonts w:ascii="宋体" w:hAnsi="宋体" w:eastAsia="宋体" w:cs="宋体"/>
          <w:spacing w:val="2"/>
          <w:sz w:val="24"/>
          <w:szCs w:val="24"/>
        </w:rPr>
        <w:t>板下部，通过平板刮粪由粪渠进入集污切粪池，然后喷洒在发酵垫料上进行高温好</w:t>
      </w:r>
      <w:r>
        <w:rPr>
          <w:rFonts w:ascii="宋体" w:hAnsi="宋体" w:eastAsia="宋体" w:cs="宋体"/>
          <w:spacing w:val="7"/>
          <w:sz w:val="24"/>
          <w:szCs w:val="24"/>
        </w:rPr>
        <w:t xml:space="preserve"> </w:t>
      </w:r>
      <w:r>
        <w:rPr>
          <w:rFonts w:ascii="宋体" w:hAnsi="宋体" w:eastAsia="宋体" w:cs="宋体"/>
          <w:spacing w:val="-1"/>
          <w:sz w:val="24"/>
          <w:szCs w:val="24"/>
        </w:rPr>
        <w:t>氧发酵，成为有机肥半成品外售，不外排。</w:t>
      </w:r>
    </w:p>
    <w:p w14:paraId="22B7022C">
      <w:pPr>
        <w:spacing w:line="362" w:lineRule="auto"/>
        <w:ind w:right="2" w:firstLine="483"/>
        <w:jc w:val="both"/>
        <w:rPr>
          <w:rFonts w:ascii="宋体" w:hAnsi="宋体" w:eastAsia="宋体" w:cs="宋体"/>
          <w:sz w:val="24"/>
          <w:szCs w:val="24"/>
        </w:rPr>
      </w:pPr>
      <w:r>
        <w:rPr>
          <w:rFonts w:ascii="宋体" w:hAnsi="宋体" w:eastAsia="宋体" w:cs="宋体"/>
          <w:spacing w:val="2"/>
          <w:sz w:val="24"/>
          <w:szCs w:val="24"/>
        </w:rPr>
        <w:t>项目猪舍采用全漏粪地板，该地板由若干地板条组成，猪生活在漏粪地板上，</w:t>
      </w:r>
      <w:r>
        <w:rPr>
          <w:rFonts w:ascii="宋体" w:hAnsi="宋体" w:eastAsia="宋体" w:cs="宋体"/>
          <w:spacing w:val="6"/>
          <w:sz w:val="24"/>
          <w:szCs w:val="24"/>
        </w:rPr>
        <w:t xml:space="preserve"> </w:t>
      </w:r>
      <w:r>
        <w:rPr>
          <w:rFonts w:ascii="宋体" w:hAnsi="宋体" w:eastAsia="宋体" w:cs="宋体"/>
          <w:spacing w:val="2"/>
          <w:sz w:val="24"/>
          <w:szCs w:val="24"/>
        </w:rPr>
        <w:t>排泄的粪便由脚踩踏，直接落入猪舍底部。地板条之间设置合理的间隙，在满足粪</w:t>
      </w:r>
      <w:r>
        <w:rPr>
          <w:rFonts w:ascii="宋体" w:hAnsi="宋体" w:eastAsia="宋体" w:cs="宋体"/>
          <w:spacing w:val="6"/>
          <w:sz w:val="24"/>
          <w:szCs w:val="24"/>
        </w:rPr>
        <w:t xml:space="preserve"> </w:t>
      </w:r>
      <w:r>
        <w:rPr>
          <w:rFonts w:ascii="宋体" w:hAnsi="宋体" w:eastAsia="宋体" w:cs="宋体"/>
          <w:spacing w:val="2"/>
          <w:sz w:val="24"/>
          <w:szCs w:val="24"/>
        </w:rPr>
        <w:t>便下落的的同时，不会出现卡猪蹄的情况。新鲜猪粪非常松散，刮起来比较容易，</w:t>
      </w:r>
    </w:p>
    <w:p w14:paraId="6E76A7BF">
      <w:pPr>
        <w:spacing w:line="362" w:lineRule="auto"/>
        <w:rPr>
          <w:rFonts w:ascii="宋体" w:hAnsi="宋体" w:eastAsia="宋体" w:cs="宋体"/>
          <w:sz w:val="24"/>
          <w:szCs w:val="24"/>
        </w:rPr>
        <w:sectPr>
          <w:footerReference r:id="rId71" w:type="default"/>
          <w:pgSz w:w="11906" w:h="16839"/>
          <w:pgMar w:top="400" w:right="1585" w:bottom="1485" w:left="1597" w:header="0" w:footer="1249" w:gutter="0"/>
          <w:cols w:space="720" w:num="1"/>
        </w:sectPr>
      </w:pPr>
    </w:p>
    <w:p w14:paraId="6FD08D94">
      <w:pPr>
        <w:pStyle w:val="2"/>
        <w:spacing w:line="255" w:lineRule="auto"/>
      </w:pPr>
    </w:p>
    <w:p w14:paraId="28DE7ABA">
      <w:pPr>
        <w:pStyle w:val="2"/>
        <w:spacing w:line="255" w:lineRule="auto"/>
      </w:pPr>
    </w:p>
    <w:p w14:paraId="75C5323B">
      <w:pPr>
        <w:pStyle w:val="2"/>
        <w:spacing w:line="255" w:lineRule="auto"/>
      </w:pPr>
    </w:p>
    <w:p w14:paraId="05647701">
      <w:pPr>
        <w:pStyle w:val="2"/>
        <w:spacing w:line="256" w:lineRule="auto"/>
      </w:pPr>
    </w:p>
    <w:p w14:paraId="6CF7388C">
      <w:pPr>
        <w:spacing w:before="78" w:line="374" w:lineRule="auto"/>
        <w:ind w:left="7" w:firstLine="1"/>
        <w:rPr>
          <w:rFonts w:ascii="宋体" w:hAnsi="宋体" w:eastAsia="宋体" w:cs="宋体"/>
          <w:sz w:val="24"/>
          <w:szCs w:val="24"/>
        </w:rPr>
      </w:pPr>
      <w:r>
        <w:rPr>
          <w:rFonts w:ascii="宋体" w:hAnsi="宋体" w:eastAsia="宋体" w:cs="宋体"/>
          <w:spacing w:val="1"/>
          <w:sz w:val="24"/>
          <w:szCs w:val="24"/>
        </w:rPr>
        <w:t>设置刮粪板每四小时刮一次粪。刮出的新鲜粪便含水量比较大，在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60%</w:t>
      </w:r>
      <w:r>
        <w:rPr>
          <w:rFonts w:ascii="宋体" w:hAnsi="宋体" w:eastAsia="宋体" w:cs="宋体"/>
          <w:spacing w:val="1"/>
          <w:sz w:val="24"/>
          <w:szCs w:val="24"/>
        </w:rPr>
        <w:t>左右，再加</w:t>
      </w:r>
      <w:r>
        <w:rPr>
          <w:rFonts w:ascii="宋体" w:hAnsi="宋体" w:eastAsia="宋体" w:cs="宋体"/>
          <w:sz w:val="24"/>
          <w:szCs w:val="24"/>
        </w:rPr>
        <w:t xml:space="preserve"> </w:t>
      </w:r>
      <w:r>
        <w:rPr>
          <w:rFonts w:ascii="宋体" w:hAnsi="宋体" w:eastAsia="宋体" w:cs="宋体"/>
          <w:spacing w:val="-1"/>
          <w:sz w:val="24"/>
          <w:szCs w:val="24"/>
        </w:rPr>
        <w:t>上刮粪板自身含有相当的重量，每次刮粪率在</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90%</w:t>
      </w:r>
      <w:r>
        <w:rPr>
          <w:rFonts w:ascii="宋体" w:hAnsi="宋体" w:eastAsia="宋体" w:cs="宋体"/>
          <w:spacing w:val="-1"/>
          <w:sz w:val="24"/>
          <w:szCs w:val="24"/>
        </w:rPr>
        <w:t>以上，残留粪便非常少。</w:t>
      </w:r>
    </w:p>
    <w:p w14:paraId="0EE757DE">
      <w:pPr>
        <w:spacing w:before="43"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3.3.2</w:t>
      </w:r>
      <w:r>
        <w:rPr>
          <w:rFonts w:ascii="宋体" w:hAnsi="宋体" w:eastAsia="宋体" w:cs="宋体"/>
          <w:b/>
          <w:bCs/>
          <w:spacing w:val="-2"/>
          <w:sz w:val="24"/>
          <w:szCs w:val="24"/>
        </w:rPr>
        <w:t>项目产污节点</w:t>
      </w:r>
    </w:p>
    <w:p w14:paraId="03A2E87C">
      <w:pPr>
        <w:spacing w:before="203" w:line="219" w:lineRule="auto"/>
        <w:ind w:left="486"/>
        <w:rPr>
          <w:rFonts w:ascii="宋体" w:hAnsi="宋体" w:eastAsia="宋体" w:cs="宋体"/>
          <w:sz w:val="24"/>
          <w:szCs w:val="24"/>
        </w:rPr>
      </w:pPr>
      <w:r>
        <w:rPr>
          <w:rFonts w:ascii="宋体" w:hAnsi="宋体" w:eastAsia="宋体" w:cs="宋体"/>
          <w:spacing w:val="-1"/>
          <w:sz w:val="24"/>
          <w:szCs w:val="24"/>
        </w:rPr>
        <w:t>本项目产生的污染物主要有废水、废气、噪声及固体废物。</w:t>
      </w:r>
    </w:p>
    <w:p w14:paraId="037D4B84">
      <w:pPr>
        <w:spacing w:before="201" w:line="377" w:lineRule="auto"/>
        <w:ind w:left="13" w:firstLine="470"/>
        <w:rPr>
          <w:rFonts w:ascii="宋体" w:hAnsi="宋体" w:eastAsia="宋体" w:cs="宋体"/>
          <w:sz w:val="24"/>
          <w:szCs w:val="24"/>
        </w:rPr>
      </w:pPr>
      <w:r>
        <w:rPr>
          <w:rFonts w:ascii="宋体" w:hAnsi="宋体" w:eastAsia="宋体" w:cs="宋体"/>
          <w:spacing w:val="2"/>
          <w:sz w:val="24"/>
          <w:szCs w:val="24"/>
        </w:rPr>
        <w:t>废水主要为员工生活办公污水。项目猪只尿液、猪舍冲洗废水与猪只粪便一起</w:t>
      </w:r>
      <w:r>
        <w:rPr>
          <w:rFonts w:ascii="宋体" w:hAnsi="宋体" w:eastAsia="宋体" w:cs="宋体"/>
          <w:spacing w:val="11"/>
          <w:sz w:val="24"/>
          <w:szCs w:val="24"/>
        </w:rPr>
        <w:t xml:space="preserve"> </w:t>
      </w:r>
      <w:r>
        <w:rPr>
          <w:rFonts w:ascii="宋体" w:hAnsi="宋体" w:eastAsia="宋体" w:cs="宋体"/>
          <w:spacing w:val="-2"/>
          <w:sz w:val="24"/>
          <w:szCs w:val="24"/>
        </w:rPr>
        <w:t>收集，不单独收集。</w:t>
      </w:r>
    </w:p>
    <w:p w14:paraId="0FBC1717">
      <w:pPr>
        <w:spacing w:before="1" w:line="375" w:lineRule="auto"/>
        <w:ind w:left="6" w:firstLine="478"/>
        <w:rPr>
          <w:rFonts w:ascii="宋体" w:hAnsi="宋体" w:eastAsia="宋体" w:cs="宋体"/>
          <w:sz w:val="24"/>
          <w:szCs w:val="24"/>
        </w:rPr>
      </w:pPr>
      <w:r>
        <w:rPr>
          <w:rFonts w:ascii="宋体" w:hAnsi="宋体" w:eastAsia="宋体" w:cs="宋体"/>
          <w:spacing w:val="2"/>
          <w:sz w:val="24"/>
          <w:szCs w:val="24"/>
        </w:rPr>
        <w:t>废气包括养殖区、有机肥发酵车间产生的恶臭、饲料加工粉尘、备用发电机尾</w:t>
      </w:r>
      <w:r>
        <w:rPr>
          <w:rFonts w:ascii="宋体" w:hAnsi="宋体" w:eastAsia="宋体" w:cs="宋体"/>
          <w:spacing w:val="11"/>
          <w:sz w:val="24"/>
          <w:szCs w:val="24"/>
        </w:rPr>
        <w:t xml:space="preserve"> </w:t>
      </w:r>
      <w:r>
        <w:rPr>
          <w:rFonts w:ascii="宋体" w:hAnsi="宋体" w:eastAsia="宋体" w:cs="宋体"/>
          <w:spacing w:val="-6"/>
          <w:sz w:val="24"/>
          <w:szCs w:val="24"/>
        </w:rPr>
        <w:t>气。</w:t>
      </w:r>
    </w:p>
    <w:p w14:paraId="4EF3CDB3">
      <w:pPr>
        <w:spacing w:line="219" w:lineRule="auto"/>
        <w:ind w:left="496"/>
        <w:rPr>
          <w:rFonts w:ascii="宋体" w:hAnsi="宋体" w:eastAsia="宋体" w:cs="宋体"/>
          <w:sz w:val="24"/>
          <w:szCs w:val="24"/>
        </w:rPr>
      </w:pPr>
      <w:r>
        <w:rPr>
          <w:rFonts w:ascii="宋体" w:hAnsi="宋体" w:eastAsia="宋体" w:cs="宋体"/>
          <w:spacing w:val="-1"/>
          <w:sz w:val="24"/>
          <w:szCs w:val="24"/>
        </w:rPr>
        <w:t>噪声主要是猪只叫声噪声及辅助设备产生的机械噪声。</w:t>
      </w:r>
    </w:p>
    <w:p w14:paraId="1A670E89">
      <w:pPr>
        <w:spacing w:before="206" w:line="378" w:lineRule="auto"/>
        <w:ind w:left="19" w:firstLine="486"/>
        <w:rPr>
          <w:rFonts w:ascii="宋体" w:hAnsi="宋体" w:eastAsia="宋体" w:cs="宋体"/>
          <w:sz w:val="24"/>
          <w:szCs w:val="24"/>
        </w:rPr>
      </w:pPr>
      <w:r>
        <w:rPr>
          <w:rFonts w:ascii="宋体" w:hAnsi="宋体" w:eastAsia="宋体" w:cs="宋体"/>
          <w:spacing w:val="2"/>
          <w:sz w:val="24"/>
          <w:szCs w:val="24"/>
        </w:rPr>
        <w:t>固体废物包括粪便、病死猪尸体、废包装物及员工办</w:t>
      </w:r>
      <w:r>
        <w:rPr>
          <w:rFonts w:ascii="宋体" w:hAnsi="宋体" w:eastAsia="宋体" w:cs="宋体"/>
          <w:spacing w:val="1"/>
          <w:sz w:val="24"/>
          <w:szCs w:val="24"/>
        </w:rPr>
        <w:t>公生活垃圾等。此外，猪</w:t>
      </w:r>
      <w:r>
        <w:rPr>
          <w:rFonts w:ascii="宋体" w:hAnsi="宋体" w:eastAsia="宋体" w:cs="宋体"/>
          <w:sz w:val="24"/>
          <w:szCs w:val="24"/>
        </w:rPr>
        <w:t xml:space="preserve"> </w:t>
      </w:r>
      <w:r>
        <w:rPr>
          <w:rFonts w:ascii="宋体" w:hAnsi="宋体" w:eastAsia="宋体" w:cs="宋体"/>
          <w:spacing w:val="-1"/>
          <w:sz w:val="24"/>
          <w:szCs w:val="24"/>
        </w:rPr>
        <w:t>只检疫、生病时使用医疗设备会产生少量的医疗废物，属于危险废物。</w:t>
      </w:r>
    </w:p>
    <w:p w14:paraId="53FDB692">
      <w:pPr>
        <w:spacing w:before="56" w:line="221" w:lineRule="auto"/>
        <w:outlineLvl w:val="1"/>
        <w:rPr>
          <w:rFonts w:ascii="宋体" w:hAnsi="宋体" w:eastAsia="宋体" w:cs="宋体"/>
          <w:sz w:val="28"/>
          <w:szCs w:val="28"/>
        </w:rPr>
      </w:pPr>
      <w:bookmarkStart w:id="23" w:name="bookmark21"/>
      <w:bookmarkEnd w:id="23"/>
      <w:r>
        <w:rPr>
          <w:rFonts w:ascii="Times New Roman" w:hAnsi="Times New Roman" w:eastAsia="Times New Roman" w:cs="Times New Roman"/>
          <w:b/>
          <w:bCs/>
          <w:spacing w:val="-2"/>
          <w:sz w:val="28"/>
          <w:szCs w:val="28"/>
        </w:rPr>
        <w:t>3.4</w:t>
      </w:r>
      <w:r>
        <w:rPr>
          <w:rFonts w:ascii="宋体" w:hAnsi="宋体" w:eastAsia="宋体" w:cs="宋体"/>
          <w:b/>
          <w:bCs/>
          <w:spacing w:val="-2"/>
          <w:sz w:val="28"/>
          <w:szCs w:val="28"/>
        </w:rPr>
        <w:t>施工期污染因素分析</w:t>
      </w:r>
    </w:p>
    <w:p w14:paraId="39C43D4F">
      <w:pPr>
        <w:spacing w:before="256" w:line="376" w:lineRule="auto"/>
        <w:ind w:left="4" w:firstLine="481"/>
        <w:rPr>
          <w:rFonts w:ascii="宋体" w:hAnsi="宋体" w:eastAsia="宋体" w:cs="宋体"/>
          <w:sz w:val="24"/>
          <w:szCs w:val="24"/>
        </w:rPr>
      </w:pPr>
      <w:r>
        <w:rPr>
          <w:rFonts w:ascii="宋体" w:hAnsi="宋体" w:eastAsia="宋体" w:cs="宋体"/>
          <w:spacing w:val="2"/>
          <w:sz w:val="24"/>
          <w:szCs w:val="24"/>
        </w:rPr>
        <w:t>本项目工程施工期主要包括地基开挖、主体施工，装饰工程，设备安装等，其</w:t>
      </w:r>
      <w:r>
        <w:rPr>
          <w:rFonts w:ascii="宋体" w:hAnsi="宋体" w:eastAsia="宋体" w:cs="宋体"/>
          <w:spacing w:val="9"/>
          <w:sz w:val="24"/>
          <w:szCs w:val="24"/>
        </w:rPr>
        <w:t xml:space="preserve"> </w:t>
      </w:r>
      <w:r>
        <w:rPr>
          <w:rFonts w:ascii="宋体" w:hAnsi="宋体" w:eastAsia="宋体" w:cs="宋体"/>
          <w:spacing w:val="2"/>
          <w:sz w:val="24"/>
          <w:szCs w:val="24"/>
        </w:rPr>
        <w:t>过程中产生的主要污染物为施工扬尘、机械设备废气、装修有机废气；施工废水、</w:t>
      </w:r>
      <w:r>
        <w:rPr>
          <w:rFonts w:ascii="宋体" w:hAnsi="宋体" w:eastAsia="宋体" w:cs="宋体"/>
          <w:spacing w:val="7"/>
          <w:sz w:val="24"/>
          <w:szCs w:val="24"/>
        </w:rPr>
        <w:t xml:space="preserve"> </w:t>
      </w:r>
      <w:r>
        <w:rPr>
          <w:rFonts w:ascii="宋体" w:hAnsi="宋体" w:eastAsia="宋体" w:cs="宋体"/>
          <w:spacing w:val="2"/>
          <w:sz w:val="24"/>
          <w:szCs w:val="24"/>
        </w:rPr>
        <w:t>设备清洗废水、施工人员生活污水；施工机械噪声；建筑垃圾及施工人员生活垃圾</w:t>
      </w:r>
      <w:r>
        <w:rPr>
          <w:rFonts w:ascii="宋体" w:hAnsi="宋体" w:eastAsia="宋体" w:cs="宋体"/>
          <w:spacing w:val="7"/>
          <w:sz w:val="24"/>
          <w:szCs w:val="24"/>
        </w:rPr>
        <w:t xml:space="preserve"> </w:t>
      </w:r>
      <w:r>
        <w:rPr>
          <w:rFonts w:ascii="宋体" w:hAnsi="宋体" w:eastAsia="宋体" w:cs="宋体"/>
          <w:spacing w:val="2"/>
          <w:sz w:val="24"/>
          <w:szCs w:val="24"/>
        </w:rPr>
        <w:t>等。施工期间的污染源强与施工队的人数、施工土方工程规模、机械设备、施工水</w:t>
      </w:r>
      <w:r>
        <w:rPr>
          <w:rFonts w:ascii="宋体" w:hAnsi="宋体" w:eastAsia="宋体" w:cs="宋体"/>
          <w:spacing w:val="7"/>
          <w:sz w:val="24"/>
          <w:szCs w:val="24"/>
        </w:rPr>
        <w:t xml:space="preserve"> </w:t>
      </w:r>
      <w:r>
        <w:rPr>
          <w:rFonts w:ascii="宋体" w:hAnsi="宋体" w:eastAsia="宋体" w:cs="宋体"/>
          <w:spacing w:val="-1"/>
          <w:sz w:val="24"/>
          <w:szCs w:val="24"/>
        </w:rPr>
        <w:t>平、施工期限等密切相关。</w:t>
      </w:r>
    </w:p>
    <w:p w14:paraId="75CD4DC4">
      <w:pPr>
        <w:spacing w:before="1"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3.4.1</w:t>
      </w:r>
      <w:r>
        <w:rPr>
          <w:rFonts w:ascii="宋体" w:hAnsi="宋体" w:eastAsia="宋体" w:cs="宋体"/>
          <w:b/>
          <w:bCs/>
          <w:spacing w:val="-2"/>
          <w:sz w:val="24"/>
          <w:szCs w:val="24"/>
        </w:rPr>
        <w:t>施工期废气</w:t>
      </w:r>
    </w:p>
    <w:p w14:paraId="0D43BCBE">
      <w:pPr>
        <w:spacing w:before="203" w:line="362" w:lineRule="auto"/>
        <w:ind w:left="16" w:firstLine="467"/>
        <w:rPr>
          <w:rFonts w:ascii="宋体" w:hAnsi="宋体" w:eastAsia="宋体" w:cs="宋体"/>
          <w:sz w:val="24"/>
          <w:szCs w:val="24"/>
        </w:rPr>
      </w:pPr>
      <w:r>
        <w:rPr>
          <w:rFonts w:ascii="宋体" w:hAnsi="宋体" w:eastAsia="宋体" w:cs="宋体"/>
          <w:spacing w:val="2"/>
          <w:sz w:val="24"/>
          <w:szCs w:val="24"/>
        </w:rPr>
        <w:t>施工期大气污染物主要来源于施工扬尘，其次有施工车辆、挖土机等燃油燃烧</w:t>
      </w:r>
      <w:r>
        <w:rPr>
          <w:rFonts w:ascii="宋体" w:hAnsi="宋体" w:eastAsia="宋体" w:cs="宋体"/>
          <w:spacing w:val="11"/>
          <w:sz w:val="24"/>
          <w:szCs w:val="24"/>
        </w:rPr>
        <w:t xml:space="preserve"> </w:t>
      </w:r>
      <w:r>
        <w:rPr>
          <w:rFonts w:ascii="宋体" w:hAnsi="宋体" w:eastAsia="宋体" w:cs="宋体"/>
          <w:spacing w:val="-2"/>
          <w:sz w:val="24"/>
          <w:szCs w:val="24"/>
        </w:rPr>
        <w:t>时排放的</w:t>
      </w:r>
      <w:r>
        <w:rPr>
          <w:rFonts w:ascii="宋体" w:hAnsi="宋体" w:eastAsia="宋体" w:cs="宋体"/>
          <w:spacing w:val="-63"/>
          <w:sz w:val="24"/>
          <w:szCs w:val="24"/>
        </w:rPr>
        <w:t xml:space="preserve"> </w:t>
      </w:r>
      <w:r>
        <w:rPr>
          <w:rFonts w:ascii="Times New Roman" w:hAnsi="Times New Roman" w:eastAsia="Times New Roman" w:cs="Times New Roman"/>
          <w:spacing w:val="-2"/>
          <w:sz w:val="24"/>
          <w:szCs w:val="24"/>
        </w:rPr>
        <w:t>NO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2"/>
          <w:position w:val="-1"/>
          <w:sz w:val="15"/>
          <w:szCs w:val="15"/>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CO</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、烃类等污染物等，最为</w:t>
      </w:r>
      <w:r>
        <w:rPr>
          <w:rFonts w:ascii="宋体" w:hAnsi="宋体" w:eastAsia="宋体" w:cs="宋体"/>
          <w:spacing w:val="-3"/>
          <w:sz w:val="24"/>
          <w:szCs w:val="24"/>
        </w:rPr>
        <w:t>突出的是施工扬尘。</w:t>
      </w:r>
    </w:p>
    <w:p w14:paraId="74117D1B">
      <w:pPr>
        <w:spacing w:line="363" w:lineRule="exact"/>
        <w:ind w:left="496"/>
        <w:rPr>
          <w:rFonts w:ascii="宋体" w:hAnsi="宋体" w:eastAsia="宋体" w:cs="宋体"/>
          <w:sz w:val="24"/>
          <w:szCs w:val="24"/>
        </w:rPr>
      </w:pPr>
      <w:r>
        <w:rPr>
          <w:rFonts w:ascii="宋体" w:hAnsi="宋体" w:eastAsia="宋体" w:cs="宋体"/>
          <w:spacing w:val="-5"/>
          <w:position w:val="2"/>
          <w:sz w:val="24"/>
          <w:szCs w:val="24"/>
        </w:rPr>
        <w:t>（</w:t>
      </w:r>
      <w:r>
        <w:rPr>
          <w:rFonts w:ascii="Times New Roman" w:hAnsi="Times New Roman" w:eastAsia="Times New Roman" w:cs="Times New Roman"/>
          <w:spacing w:val="-5"/>
          <w:position w:val="2"/>
          <w:sz w:val="24"/>
          <w:szCs w:val="24"/>
        </w:rPr>
        <w:t>1</w:t>
      </w:r>
      <w:r>
        <w:rPr>
          <w:rFonts w:ascii="宋体" w:hAnsi="宋体" w:eastAsia="宋体" w:cs="宋体"/>
          <w:spacing w:val="-5"/>
          <w:position w:val="2"/>
          <w:sz w:val="24"/>
          <w:szCs w:val="24"/>
        </w:rPr>
        <w:t>）扬尘</w:t>
      </w:r>
    </w:p>
    <w:p w14:paraId="6DAA8CCF">
      <w:pPr>
        <w:spacing w:before="161" w:line="376" w:lineRule="auto"/>
        <w:ind w:left="8" w:firstLine="478"/>
        <w:rPr>
          <w:rFonts w:ascii="宋体" w:hAnsi="宋体" w:eastAsia="宋体" w:cs="宋体"/>
          <w:sz w:val="24"/>
          <w:szCs w:val="24"/>
        </w:rPr>
      </w:pPr>
      <w:r>
        <w:rPr>
          <w:rFonts w:ascii="宋体" w:hAnsi="宋体" w:eastAsia="宋体" w:cs="宋体"/>
          <w:spacing w:val="2"/>
          <w:sz w:val="24"/>
          <w:szCs w:val="24"/>
        </w:rPr>
        <w:t>本项目所在地属亚热带海洋性季风气候，在风力的作用下施工产生的扬尘将成</w:t>
      </w:r>
      <w:r>
        <w:rPr>
          <w:rFonts w:ascii="宋体" w:hAnsi="宋体" w:eastAsia="宋体" w:cs="宋体"/>
          <w:spacing w:val="9"/>
          <w:sz w:val="24"/>
          <w:szCs w:val="24"/>
        </w:rPr>
        <w:t xml:space="preserve"> </w:t>
      </w:r>
      <w:r>
        <w:rPr>
          <w:rFonts w:ascii="宋体" w:hAnsi="宋体" w:eastAsia="宋体" w:cs="宋体"/>
          <w:spacing w:val="-2"/>
          <w:sz w:val="24"/>
          <w:szCs w:val="24"/>
        </w:rPr>
        <w:t>为主要的空气污染物。</w:t>
      </w:r>
    </w:p>
    <w:p w14:paraId="007737FE">
      <w:pPr>
        <w:spacing w:before="6" w:line="367" w:lineRule="auto"/>
        <w:ind w:left="4" w:firstLine="480"/>
        <w:rPr>
          <w:rFonts w:ascii="宋体" w:hAnsi="宋体" w:eastAsia="宋体" w:cs="宋体"/>
          <w:sz w:val="24"/>
          <w:szCs w:val="24"/>
        </w:rPr>
      </w:pPr>
      <w:r>
        <w:rPr>
          <w:rFonts w:ascii="宋体" w:hAnsi="宋体" w:eastAsia="宋体" w:cs="宋体"/>
          <w:spacing w:val="2"/>
          <w:sz w:val="24"/>
          <w:szCs w:val="24"/>
        </w:rPr>
        <w:t>施工期间产生的扬尘主要集中在土建施工阶段，按扬尘产生的原因可分为风力</w:t>
      </w:r>
      <w:r>
        <w:rPr>
          <w:rFonts w:ascii="宋体" w:hAnsi="宋体" w:eastAsia="宋体" w:cs="宋体"/>
          <w:spacing w:val="11"/>
          <w:sz w:val="24"/>
          <w:szCs w:val="24"/>
        </w:rPr>
        <w:t xml:space="preserve"> </w:t>
      </w:r>
      <w:r>
        <w:rPr>
          <w:rFonts w:ascii="宋体" w:hAnsi="宋体" w:eastAsia="宋体" w:cs="宋体"/>
          <w:spacing w:val="2"/>
          <w:sz w:val="24"/>
          <w:szCs w:val="24"/>
        </w:rPr>
        <w:t>扬尘和动力扬尘。风力扬尘主要是建筑材料、土方、施工垃圾露天堆放而产生的尘</w:t>
      </w:r>
      <w:r>
        <w:rPr>
          <w:rFonts w:ascii="宋体" w:hAnsi="宋体" w:eastAsia="宋体" w:cs="宋体"/>
          <w:spacing w:val="7"/>
          <w:sz w:val="24"/>
          <w:szCs w:val="24"/>
        </w:rPr>
        <w:t xml:space="preserve"> </w:t>
      </w:r>
      <w:r>
        <w:rPr>
          <w:rFonts w:ascii="宋体" w:hAnsi="宋体" w:eastAsia="宋体" w:cs="宋体"/>
          <w:spacing w:val="2"/>
          <w:sz w:val="24"/>
          <w:szCs w:val="24"/>
        </w:rPr>
        <w:t>粒；而动力扬尘主要是在建材的装卸、搅拌、土方的挖掘过程中产生及人来车往所</w:t>
      </w:r>
      <w:r>
        <w:rPr>
          <w:rFonts w:ascii="宋体" w:hAnsi="宋体" w:eastAsia="宋体" w:cs="宋体"/>
          <w:spacing w:val="7"/>
          <w:sz w:val="24"/>
          <w:szCs w:val="24"/>
        </w:rPr>
        <w:t xml:space="preserve"> </w:t>
      </w:r>
      <w:r>
        <w:rPr>
          <w:rFonts w:ascii="宋体" w:hAnsi="宋体" w:eastAsia="宋体" w:cs="宋体"/>
          <w:spacing w:val="2"/>
          <w:sz w:val="24"/>
          <w:szCs w:val="24"/>
        </w:rPr>
        <w:t>造成的现场道路扬尘，由于外力作用产生的尘粒悬浮，其中施工（如平地、打桩、</w:t>
      </w:r>
      <w:r>
        <w:rPr>
          <w:rFonts w:ascii="宋体" w:hAnsi="宋体" w:eastAsia="宋体" w:cs="宋体"/>
          <w:spacing w:val="7"/>
          <w:sz w:val="24"/>
          <w:szCs w:val="24"/>
        </w:rPr>
        <w:t xml:space="preserve"> </w:t>
      </w:r>
      <w:r>
        <w:rPr>
          <w:rFonts w:ascii="宋体" w:hAnsi="宋体" w:eastAsia="宋体" w:cs="宋体"/>
          <w:spacing w:val="2"/>
          <w:sz w:val="24"/>
          <w:szCs w:val="24"/>
        </w:rPr>
        <w:t>挖掘、道路浇灌）及装卸、搅拌造成的扬尘最为严重。如遇到干旱无雨季节，加上</w:t>
      </w:r>
    </w:p>
    <w:p w14:paraId="19CC6D97">
      <w:pPr>
        <w:spacing w:line="367" w:lineRule="auto"/>
        <w:rPr>
          <w:rFonts w:ascii="宋体" w:hAnsi="宋体" w:eastAsia="宋体" w:cs="宋体"/>
          <w:sz w:val="24"/>
          <w:szCs w:val="24"/>
        </w:rPr>
        <w:sectPr>
          <w:footerReference r:id="rId72" w:type="default"/>
          <w:pgSz w:w="11906" w:h="16839"/>
          <w:pgMar w:top="400" w:right="1588" w:bottom="1485" w:left="1592" w:header="0" w:footer="1249" w:gutter="0"/>
          <w:cols w:space="720" w:num="1"/>
        </w:sectPr>
      </w:pPr>
    </w:p>
    <w:p w14:paraId="5F49574D">
      <w:pPr>
        <w:pStyle w:val="2"/>
        <w:spacing w:line="264" w:lineRule="auto"/>
      </w:pPr>
    </w:p>
    <w:p w14:paraId="3B7C1368">
      <w:pPr>
        <w:pStyle w:val="2"/>
        <w:spacing w:line="264" w:lineRule="auto"/>
      </w:pPr>
    </w:p>
    <w:p w14:paraId="5F80816C">
      <w:pPr>
        <w:pStyle w:val="2"/>
        <w:spacing w:line="264" w:lineRule="auto"/>
      </w:pPr>
    </w:p>
    <w:p w14:paraId="7EE6FC04">
      <w:pPr>
        <w:pStyle w:val="2"/>
        <w:spacing w:line="265" w:lineRule="auto"/>
      </w:pPr>
    </w:p>
    <w:p w14:paraId="310C00AF">
      <w:pPr>
        <w:spacing w:before="78" w:line="220" w:lineRule="auto"/>
        <w:ind w:left="125"/>
        <w:rPr>
          <w:rFonts w:ascii="宋体" w:hAnsi="宋体" w:eastAsia="宋体" w:cs="宋体"/>
          <w:sz w:val="24"/>
          <w:szCs w:val="24"/>
        </w:rPr>
      </w:pPr>
      <w:r>
        <w:rPr>
          <w:rFonts w:ascii="宋体" w:hAnsi="宋体" w:eastAsia="宋体" w:cs="宋体"/>
          <w:spacing w:val="-2"/>
          <w:sz w:val="24"/>
          <w:szCs w:val="24"/>
        </w:rPr>
        <w:t>大风，扬尘将更为严重。</w:t>
      </w:r>
    </w:p>
    <w:p w14:paraId="4122C175">
      <w:pPr>
        <w:spacing w:before="206" w:line="365" w:lineRule="auto"/>
        <w:ind w:left="122" w:right="103" w:firstLine="480"/>
        <w:jc w:val="both"/>
        <w:rPr>
          <w:rFonts w:ascii="宋体" w:hAnsi="宋体" w:eastAsia="宋体" w:cs="宋体"/>
          <w:sz w:val="24"/>
          <w:szCs w:val="24"/>
        </w:rPr>
      </w:pPr>
      <w:r>
        <w:rPr>
          <w:rFonts w:ascii="宋体" w:hAnsi="宋体" w:eastAsia="宋体" w:cs="宋体"/>
          <w:spacing w:val="2"/>
          <w:sz w:val="24"/>
          <w:szCs w:val="24"/>
        </w:rPr>
        <w:t>根据有关实测数据，参考其他同类型工程现场的扬尘实地监测</w:t>
      </w:r>
      <w:r>
        <w:rPr>
          <w:rFonts w:ascii="宋体" w:hAnsi="宋体" w:eastAsia="宋体" w:cs="宋体"/>
          <w:spacing w:val="1"/>
          <w:sz w:val="24"/>
          <w:szCs w:val="24"/>
        </w:rPr>
        <w:t>结果，</w:t>
      </w:r>
      <w:r>
        <w:rPr>
          <w:rFonts w:ascii="Times New Roman" w:hAnsi="Times New Roman" w:eastAsia="Times New Roman" w:cs="Times New Roman"/>
          <w:sz w:val="24"/>
          <w:szCs w:val="24"/>
        </w:rPr>
        <w:t>PM</w:t>
      </w:r>
      <w:r>
        <w:rPr>
          <w:rFonts w:ascii="Times New Roman" w:hAnsi="Times New Roman" w:eastAsia="Times New Roman" w:cs="Times New Roman"/>
          <w:spacing w:val="1"/>
          <w:position w:val="-1"/>
          <w:sz w:val="15"/>
          <w:szCs w:val="15"/>
        </w:rPr>
        <w:t>10</w:t>
      </w:r>
      <w:r>
        <w:rPr>
          <w:rFonts w:ascii="宋体" w:hAnsi="宋体" w:eastAsia="宋体" w:cs="宋体"/>
          <w:spacing w:val="1"/>
          <w:sz w:val="24"/>
          <w:szCs w:val="24"/>
        </w:rPr>
        <w:t>产生</w:t>
      </w:r>
      <w:r>
        <w:rPr>
          <w:rFonts w:ascii="宋体" w:hAnsi="宋体" w:eastAsia="宋体" w:cs="宋体"/>
          <w:sz w:val="24"/>
          <w:szCs w:val="24"/>
        </w:rPr>
        <w:t xml:space="preserve"> </w:t>
      </w:r>
      <w:r>
        <w:rPr>
          <w:rFonts w:ascii="宋体" w:hAnsi="宋体" w:eastAsia="宋体" w:cs="宋体"/>
          <w:spacing w:val="-2"/>
          <w:sz w:val="24"/>
          <w:szCs w:val="24"/>
        </w:rPr>
        <w:t>系数为</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0.025</w:t>
      </w:r>
      <w:r>
        <w:rPr>
          <w:rFonts w:ascii="宋体" w:hAnsi="宋体" w:eastAsia="宋体" w:cs="宋体"/>
          <w:spacing w:val="-2"/>
          <w:sz w:val="24"/>
          <w:szCs w:val="24"/>
        </w:rPr>
        <w:t>～</w:t>
      </w:r>
      <w:r>
        <w:rPr>
          <w:rFonts w:ascii="Times New Roman" w:hAnsi="Times New Roman" w:eastAsia="Times New Roman" w:cs="Times New Roman"/>
          <w:spacing w:val="-2"/>
          <w:sz w:val="24"/>
          <w:szCs w:val="24"/>
        </w:rPr>
        <w:t>0.107mg/m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2"/>
          <w:sz w:val="24"/>
          <w:szCs w:val="24"/>
        </w:rPr>
        <w:t>.s</w:t>
      </w:r>
      <w:r>
        <w:rPr>
          <w:rFonts w:ascii="宋体" w:hAnsi="宋体" w:eastAsia="宋体" w:cs="宋体"/>
          <w:spacing w:val="-2"/>
          <w:sz w:val="24"/>
          <w:szCs w:val="24"/>
        </w:rPr>
        <w:t>。考虑本项目区域的土质特点，取</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0.05mg/m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2"/>
          <w:sz w:val="24"/>
          <w:szCs w:val="24"/>
        </w:rPr>
        <w:t>.s</w:t>
      </w:r>
      <w:r>
        <w:rPr>
          <w:rFonts w:ascii="宋体" w:hAnsi="宋体" w:eastAsia="宋体" w:cs="宋体"/>
          <w:spacing w:val="-2"/>
          <w:sz w:val="24"/>
          <w:szCs w:val="24"/>
        </w:rPr>
        <w:t>。</w:t>
      </w:r>
      <w:r>
        <w:rPr>
          <w:rFonts w:ascii="Times New Roman" w:hAnsi="Times New Roman" w:eastAsia="Times New Roman" w:cs="Times New Roman"/>
          <w:spacing w:val="-2"/>
          <w:sz w:val="24"/>
          <w:szCs w:val="24"/>
        </w:rPr>
        <w:t>PM</w:t>
      </w:r>
      <w:r>
        <w:rPr>
          <w:rFonts w:ascii="Times New Roman" w:hAnsi="Times New Roman" w:eastAsia="Times New Roman" w:cs="Times New Roman"/>
          <w:spacing w:val="-2"/>
          <w:position w:val="-2"/>
          <w:sz w:val="15"/>
          <w:szCs w:val="15"/>
        </w:rPr>
        <w:t>10</w:t>
      </w:r>
      <w:r>
        <w:rPr>
          <w:rFonts w:ascii="Times New Roman" w:hAnsi="Times New Roman" w:eastAsia="Times New Roman" w:cs="Times New Roman"/>
          <w:spacing w:val="31"/>
          <w:w w:val="101"/>
          <w:position w:val="-2"/>
          <w:sz w:val="15"/>
          <w:szCs w:val="15"/>
        </w:rPr>
        <w:t xml:space="preserve"> </w:t>
      </w:r>
      <w:r>
        <w:rPr>
          <w:rFonts w:ascii="宋体" w:hAnsi="宋体" w:eastAsia="宋体" w:cs="宋体"/>
          <w:spacing w:val="-2"/>
          <w:sz w:val="24"/>
          <w:szCs w:val="24"/>
        </w:rPr>
        <w:t>的</w:t>
      </w:r>
      <w:r>
        <w:rPr>
          <w:rFonts w:ascii="宋体" w:hAnsi="宋体" w:eastAsia="宋体" w:cs="宋体"/>
          <w:sz w:val="24"/>
          <w:szCs w:val="24"/>
        </w:rPr>
        <w:t xml:space="preserve"> </w:t>
      </w:r>
      <w:r>
        <w:rPr>
          <w:rFonts w:ascii="宋体" w:hAnsi="宋体" w:eastAsia="宋体" w:cs="宋体"/>
          <w:spacing w:val="-1"/>
          <w:sz w:val="24"/>
          <w:szCs w:val="24"/>
        </w:rPr>
        <w:t>产生还与同时裸露的施工面积密切相关，按夜间不施工来计算源强，昼间施工按</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z w:val="24"/>
          <w:szCs w:val="24"/>
        </w:rPr>
        <w:t xml:space="preserve"> </w:t>
      </w:r>
      <w:r>
        <w:rPr>
          <w:rFonts w:ascii="宋体" w:hAnsi="宋体" w:eastAsia="宋体" w:cs="宋体"/>
          <w:spacing w:val="-4"/>
          <w:sz w:val="24"/>
          <w:szCs w:val="24"/>
        </w:rPr>
        <w:t>小时计算，项目拟建建筑占地面积约为</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8000m</w:t>
      </w:r>
      <w:r>
        <w:rPr>
          <w:rFonts w:ascii="Times New Roman" w:hAnsi="Times New Roman" w:eastAsia="Times New Roman" w:cs="Times New Roman"/>
          <w:spacing w:val="-4"/>
          <w:position w:val="7"/>
          <w:sz w:val="15"/>
          <w:szCs w:val="15"/>
        </w:rPr>
        <w:t>2</w:t>
      </w:r>
      <w:r>
        <w:rPr>
          <w:rFonts w:ascii="宋体" w:hAnsi="宋体" w:eastAsia="宋体" w:cs="宋体"/>
          <w:spacing w:val="-4"/>
          <w:sz w:val="24"/>
          <w:szCs w:val="24"/>
        </w:rPr>
        <w:t>。则估算本项目施工现场</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PM</w:t>
      </w:r>
      <w:r>
        <w:rPr>
          <w:rFonts w:ascii="Times New Roman" w:hAnsi="Times New Roman" w:eastAsia="Times New Roman" w:cs="Times New Roman"/>
          <w:spacing w:val="-4"/>
          <w:position w:val="-1"/>
          <w:sz w:val="15"/>
          <w:szCs w:val="15"/>
        </w:rPr>
        <w:t>10</w:t>
      </w:r>
      <w:r>
        <w:rPr>
          <w:rFonts w:ascii="Times New Roman" w:hAnsi="Times New Roman" w:eastAsia="Times New Roman" w:cs="Times New Roman"/>
          <w:spacing w:val="28"/>
          <w:w w:val="101"/>
          <w:position w:val="-1"/>
          <w:sz w:val="15"/>
          <w:szCs w:val="15"/>
        </w:rPr>
        <w:t xml:space="preserve"> </w:t>
      </w:r>
      <w:r>
        <w:rPr>
          <w:rFonts w:ascii="宋体" w:hAnsi="宋体" w:eastAsia="宋体" w:cs="宋体"/>
          <w:spacing w:val="-4"/>
          <w:sz w:val="24"/>
          <w:szCs w:val="24"/>
        </w:rPr>
        <w:t>的产生</w:t>
      </w:r>
      <w:r>
        <w:rPr>
          <w:rFonts w:ascii="宋体" w:hAnsi="宋体" w:eastAsia="宋体" w:cs="宋体"/>
          <w:sz w:val="24"/>
          <w:szCs w:val="24"/>
        </w:rPr>
        <w:t xml:space="preserve"> </w:t>
      </w:r>
      <w:r>
        <w:rPr>
          <w:rFonts w:ascii="宋体" w:hAnsi="宋体" w:eastAsia="宋体" w:cs="宋体"/>
          <w:spacing w:val="-4"/>
          <w:sz w:val="24"/>
          <w:szCs w:val="24"/>
        </w:rPr>
        <w:t>源强为</w:t>
      </w:r>
      <w:r>
        <w:rPr>
          <w:rFonts w:ascii="宋体" w:hAnsi="宋体" w:eastAsia="宋体" w:cs="宋体"/>
          <w:spacing w:val="-23"/>
          <w:sz w:val="24"/>
          <w:szCs w:val="24"/>
        </w:rPr>
        <w:t xml:space="preserve"> </w:t>
      </w:r>
      <w:r>
        <w:rPr>
          <w:rFonts w:ascii="Times New Roman" w:hAnsi="Times New Roman" w:eastAsia="Times New Roman" w:cs="Times New Roman"/>
          <w:spacing w:val="-4"/>
          <w:sz w:val="24"/>
          <w:szCs w:val="24"/>
        </w:rPr>
        <w:t>14.4kg/d</w:t>
      </w:r>
      <w:r>
        <w:rPr>
          <w:rFonts w:ascii="宋体" w:hAnsi="宋体" w:eastAsia="宋体" w:cs="宋体"/>
          <w:spacing w:val="-4"/>
          <w:sz w:val="24"/>
          <w:szCs w:val="24"/>
        </w:rPr>
        <w:t>。</w:t>
      </w:r>
    </w:p>
    <w:p w14:paraId="46FDEE7E">
      <w:pPr>
        <w:spacing w:before="33" w:line="375" w:lineRule="auto"/>
        <w:ind w:left="122" w:right="104" w:firstLine="480"/>
        <w:jc w:val="both"/>
        <w:rPr>
          <w:rFonts w:ascii="宋体" w:hAnsi="宋体" w:eastAsia="宋体" w:cs="宋体"/>
          <w:sz w:val="24"/>
          <w:szCs w:val="24"/>
        </w:rPr>
      </w:pPr>
      <w:r>
        <w:rPr>
          <w:rFonts w:ascii="宋体" w:hAnsi="宋体" w:eastAsia="宋体" w:cs="宋体"/>
          <w:spacing w:val="3"/>
          <w:sz w:val="24"/>
          <w:szCs w:val="24"/>
        </w:rPr>
        <w:t>根据北京市环境科学研究院等单位在市政施工现场实测资料（铲车</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台、翻斗</w:t>
      </w:r>
      <w:r>
        <w:rPr>
          <w:rFonts w:ascii="宋体" w:hAnsi="宋体" w:eastAsia="宋体" w:cs="宋体"/>
          <w:sz w:val="24"/>
          <w:szCs w:val="24"/>
        </w:rPr>
        <w:t xml:space="preserve"> </w:t>
      </w:r>
      <w:r>
        <w:rPr>
          <w:rFonts w:ascii="宋体" w:hAnsi="宋体" w:eastAsia="宋体" w:cs="宋体"/>
          <w:spacing w:val="-3"/>
          <w:sz w:val="24"/>
          <w:szCs w:val="24"/>
        </w:rPr>
        <w:t>自卸汽车</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台</w:t>
      </w:r>
      <w:r>
        <w:rPr>
          <w:rFonts w:ascii="Times New Roman" w:hAnsi="Times New Roman" w:eastAsia="Times New Roman" w:cs="Times New Roman"/>
          <w:spacing w:val="-3"/>
          <w:sz w:val="24"/>
          <w:szCs w:val="24"/>
        </w:rPr>
        <w:t>/h</w:t>
      </w:r>
      <w:r>
        <w:rPr>
          <w:rFonts w:ascii="宋体" w:hAnsi="宋体" w:eastAsia="宋体" w:cs="宋体"/>
          <w:spacing w:val="-53"/>
          <w:sz w:val="24"/>
          <w:szCs w:val="24"/>
        </w:rPr>
        <w:t>），</w:t>
      </w:r>
      <w:r>
        <w:rPr>
          <w:rFonts w:ascii="宋体" w:hAnsi="宋体" w:eastAsia="宋体" w:cs="宋体"/>
          <w:spacing w:val="-3"/>
          <w:sz w:val="24"/>
          <w:szCs w:val="24"/>
        </w:rPr>
        <w:t>在一般气象、平均风速</w:t>
      </w:r>
      <w:r>
        <w:rPr>
          <w:rFonts w:ascii="Times New Roman" w:hAnsi="Times New Roman" w:eastAsia="Times New Roman" w:cs="Times New Roman"/>
          <w:spacing w:val="-3"/>
          <w:sz w:val="24"/>
          <w:szCs w:val="24"/>
        </w:rPr>
        <w:t>2.5m/s</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的情况下，建筑工地</w:t>
      </w:r>
      <w:r>
        <w:rPr>
          <w:rFonts w:ascii="宋体" w:hAnsi="宋体" w:eastAsia="宋体" w:cs="宋体"/>
          <w:spacing w:val="-4"/>
          <w:sz w:val="24"/>
          <w:szCs w:val="24"/>
        </w:rPr>
        <w:t>内扬尘处</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PM</w:t>
      </w:r>
      <w:r>
        <w:rPr>
          <w:rFonts w:ascii="Times New Roman" w:hAnsi="Times New Roman" w:eastAsia="Times New Roman" w:cs="Times New Roman"/>
          <w:spacing w:val="-4"/>
          <w:position w:val="-1"/>
          <w:sz w:val="15"/>
          <w:szCs w:val="15"/>
        </w:rPr>
        <w:t>10</w:t>
      </w:r>
      <w:r>
        <w:rPr>
          <w:rFonts w:ascii="Times New Roman" w:hAnsi="Times New Roman" w:eastAsia="Times New Roman" w:cs="Times New Roman"/>
          <w:position w:val="-1"/>
          <w:sz w:val="15"/>
          <w:szCs w:val="15"/>
        </w:rPr>
        <w:t xml:space="preserve"> </w:t>
      </w:r>
      <w:r>
        <w:rPr>
          <w:rFonts w:ascii="宋体" w:hAnsi="宋体" w:eastAsia="宋体" w:cs="宋体"/>
          <w:spacing w:val="-2"/>
          <w:sz w:val="24"/>
          <w:szCs w:val="24"/>
        </w:rPr>
        <w:t>浓度为上风向对照点的</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2.0-2.5 </w:t>
      </w:r>
      <w:r>
        <w:rPr>
          <w:rFonts w:ascii="宋体" w:hAnsi="宋体" w:eastAsia="宋体" w:cs="宋体"/>
          <w:spacing w:val="-2"/>
          <w:sz w:val="24"/>
          <w:szCs w:val="24"/>
        </w:rPr>
        <w:t>倍，建筑施工扬尘的影响范围其下风向侧为</w:t>
      </w:r>
      <w:r>
        <w:rPr>
          <w:rFonts w:ascii="Times New Roman" w:hAnsi="Times New Roman" w:eastAsia="Times New Roman" w:cs="Times New Roman"/>
          <w:spacing w:val="-2"/>
          <w:sz w:val="24"/>
          <w:szCs w:val="24"/>
        </w:rPr>
        <w:t>200m</w:t>
      </w:r>
      <w:r>
        <w:rPr>
          <w:rFonts w:ascii="宋体" w:hAnsi="宋体" w:eastAsia="宋体" w:cs="宋体"/>
          <w:spacing w:val="-2"/>
          <w:sz w:val="24"/>
          <w:szCs w:val="24"/>
        </w:rPr>
        <w:t>。施</w:t>
      </w:r>
      <w:r>
        <w:rPr>
          <w:rFonts w:ascii="宋体" w:hAnsi="宋体" w:eastAsia="宋体" w:cs="宋体"/>
          <w:sz w:val="24"/>
          <w:szCs w:val="24"/>
        </w:rPr>
        <w:t xml:space="preserve"> </w:t>
      </w:r>
      <w:r>
        <w:rPr>
          <w:rFonts w:ascii="宋体" w:hAnsi="宋体" w:eastAsia="宋体" w:cs="宋体"/>
          <w:spacing w:val="2"/>
          <w:sz w:val="24"/>
          <w:szCs w:val="24"/>
        </w:rPr>
        <w:t>工扬尘影响强度和范围见表</w:t>
      </w:r>
      <w:r>
        <w:rPr>
          <w:rFonts w:ascii="Times New Roman" w:hAnsi="Times New Roman" w:eastAsia="Times New Roman" w:cs="Times New Roman"/>
          <w:spacing w:val="2"/>
          <w:sz w:val="24"/>
          <w:szCs w:val="24"/>
        </w:rPr>
        <w:t>3.4-1</w:t>
      </w:r>
      <w:r>
        <w:rPr>
          <w:rFonts w:ascii="宋体" w:hAnsi="宋体" w:eastAsia="宋体" w:cs="宋体"/>
          <w:spacing w:val="2"/>
          <w:sz w:val="24"/>
          <w:szCs w:val="24"/>
        </w:rPr>
        <w:t>。</w:t>
      </w:r>
    </w:p>
    <w:p w14:paraId="78DC6678">
      <w:pPr>
        <w:spacing w:before="57" w:line="229" w:lineRule="auto"/>
        <w:ind w:left="2403"/>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4"/>
          <w:sz w:val="20"/>
          <w:szCs w:val="20"/>
        </w:rPr>
        <w:t xml:space="preserve"> </w:t>
      </w:r>
      <w:r>
        <w:rPr>
          <w:rFonts w:ascii="Times New Roman" w:hAnsi="Times New Roman" w:eastAsia="Times New Roman" w:cs="Times New Roman"/>
          <w:b/>
          <w:bCs/>
          <w:spacing w:val="7"/>
          <w:sz w:val="20"/>
          <w:szCs w:val="20"/>
        </w:rPr>
        <w:t xml:space="preserve">3.4-1  </w:t>
      </w:r>
      <w:r>
        <w:rPr>
          <w:rFonts w:ascii="宋体" w:hAnsi="宋体" w:eastAsia="宋体" w:cs="宋体"/>
          <w:b/>
          <w:bCs/>
          <w:spacing w:val="7"/>
          <w:sz w:val="20"/>
          <w:szCs w:val="20"/>
        </w:rPr>
        <w:t>施工扬尘浓度变化及影响</w:t>
      </w:r>
      <w:r>
        <w:rPr>
          <w:rFonts w:ascii="宋体" w:hAnsi="宋体" w:eastAsia="宋体" w:cs="宋体"/>
          <w:b/>
          <w:bCs/>
          <w:spacing w:val="6"/>
          <w:sz w:val="20"/>
          <w:szCs w:val="20"/>
        </w:rPr>
        <w:t>范围距现场距离</w:t>
      </w:r>
    </w:p>
    <w:p w14:paraId="0D2BEC89">
      <w:pPr>
        <w:spacing w:line="100"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1141"/>
        <w:gridCol w:w="1141"/>
        <w:gridCol w:w="1141"/>
        <w:gridCol w:w="1141"/>
        <w:gridCol w:w="1142"/>
        <w:gridCol w:w="1146"/>
      </w:tblGrid>
      <w:tr w14:paraId="3FA92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098" w:type="dxa"/>
            <w:vAlign w:val="top"/>
          </w:tcPr>
          <w:p w14:paraId="034AC91D">
            <w:pPr>
              <w:pStyle w:val="6"/>
              <w:spacing w:before="63" w:line="229" w:lineRule="auto"/>
              <w:ind w:left="235"/>
            </w:pPr>
            <w:r>
              <w:rPr>
                <w:spacing w:val="7"/>
              </w:rPr>
              <w:t>距现场距离（</w:t>
            </w:r>
            <w:r>
              <w:rPr>
                <w:rFonts w:ascii="Times New Roman" w:hAnsi="Times New Roman" w:eastAsia="Times New Roman" w:cs="Times New Roman"/>
                <w:spacing w:val="7"/>
              </w:rPr>
              <w:t>m</w:t>
            </w:r>
            <w:r>
              <w:rPr>
                <w:spacing w:val="7"/>
              </w:rPr>
              <w:t>）</w:t>
            </w:r>
          </w:p>
        </w:tc>
        <w:tc>
          <w:tcPr>
            <w:tcW w:w="1141" w:type="dxa"/>
            <w:vAlign w:val="top"/>
          </w:tcPr>
          <w:p w14:paraId="3D121DFA">
            <w:pPr>
              <w:pStyle w:val="6"/>
              <w:spacing w:before="63" w:line="228" w:lineRule="auto"/>
              <w:ind w:left="263"/>
            </w:pPr>
            <w:r>
              <w:rPr>
                <w:spacing w:val="5"/>
              </w:rPr>
              <w:t>背景值</w:t>
            </w:r>
          </w:p>
        </w:tc>
        <w:tc>
          <w:tcPr>
            <w:tcW w:w="1141" w:type="dxa"/>
            <w:vAlign w:val="top"/>
          </w:tcPr>
          <w:p w14:paraId="7A8F9706">
            <w:pPr>
              <w:spacing w:before="32" w:line="274" w:lineRule="exact"/>
              <w:ind w:left="48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141" w:type="dxa"/>
            <w:vAlign w:val="top"/>
          </w:tcPr>
          <w:p w14:paraId="7683F80B">
            <w:pPr>
              <w:spacing w:before="32" w:line="274" w:lineRule="exact"/>
              <w:ind w:left="47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1141" w:type="dxa"/>
            <w:vAlign w:val="top"/>
          </w:tcPr>
          <w:p w14:paraId="49ABC3B4">
            <w:pPr>
              <w:spacing w:before="32" w:line="274" w:lineRule="exact"/>
              <w:ind w:left="47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142" w:type="dxa"/>
            <w:vAlign w:val="top"/>
          </w:tcPr>
          <w:p w14:paraId="15AA0A9E">
            <w:pPr>
              <w:spacing w:before="32" w:line="274" w:lineRule="exact"/>
              <w:ind w:left="4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146" w:type="dxa"/>
            <w:vAlign w:val="top"/>
          </w:tcPr>
          <w:p w14:paraId="3325F36C">
            <w:pPr>
              <w:spacing w:before="32" w:line="274"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r>
      <w:tr w14:paraId="10108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2098" w:type="dxa"/>
            <w:vAlign w:val="top"/>
          </w:tcPr>
          <w:p w14:paraId="51D3A7B0">
            <w:pPr>
              <w:pStyle w:val="6"/>
              <w:spacing w:before="112" w:line="274" w:lineRule="exact"/>
              <w:ind w:left="114"/>
            </w:pPr>
            <w:r>
              <w:rPr>
                <w:rFonts w:ascii="Times New Roman" w:hAnsi="Times New Roman" w:eastAsia="Times New Roman" w:cs="Times New Roman"/>
                <w:position w:val="2"/>
              </w:rPr>
              <w:t>PM</w:t>
            </w:r>
            <w:r>
              <w:rPr>
                <w:rFonts w:ascii="Times New Roman" w:hAnsi="Times New Roman" w:eastAsia="Times New Roman" w:cs="Times New Roman"/>
                <w:spacing w:val="11"/>
                <w:position w:val="1"/>
                <w:sz w:val="13"/>
                <w:szCs w:val="13"/>
              </w:rPr>
              <w:t>10</w:t>
            </w:r>
            <w:r>
              <w:rPr>
                <w:spacing w:val="11"/>
                <w:position w:val="2"/>
              </w:rPr>
              <w:t>浓度（</w:t>
            </w:r>
            <w:r>
              <w:rPr>
                <w:rFonts w:ascii="Times New Roman" w:hAnsi="Times New Roman" w:eastAsia="Times New Roman" w:cs="Times New Roman"/>
                <w:position w:val="2"/>
              </w:rPr>
              <w:t>mg</w:t>
            </w:r>
            <w:r>
              <w:rPr>
                <w:rFonts w:ascii="Times New Roman" w:hAnsi="Times New Roman" w:eastAsia="Times New Roman" w:cs="Times New Roman"/>
                <w:spacing w:val="11"/>
                <w:position w:val="2"/>
              </w:rPr>
              <w:t>/m</w:t>
            </w:r>
            <w:r>
              <w:rPr>
                <w:rFonts w:ascii="Times New Roman" w:hAnsi="Times New Roman" w:eastAsia="Times New Roman" w:cs="Times New Roman"/>
                <w:spacing w:val="11"/>
                <w:position w:val="8"/>
                <w:sz w:val="13"/>
                <w:szCs w:val="13"/>
              </w:rPr>
              <w:t>3</w:t>
            </w:r>
            <w:r>
              <w:rPr>
                <w:spacing w:val="11"/>
                <w:position w:val="2"/>
              </w:rPr>
              <w:t>）</w:t>
            </w:r>
          </w:p>
        </w:tc>
        <w:tc>
          <w:tcPr>
            <w:tcW w:w="1141" w:type="dxa"/>
            <w:vAlign w:val="top"/>
          </w:tcPr>
          <w:p w14:paraId="69F16067">
            <w:pPr>
              <w:spacing w:before="112" w:line="274" w:lineRule="exact"/>
              <w:ind w:left="3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0.541</w:t>
            </w:r>
          </w:p>
        </w:tc>
        <w:tc>
          <w:tcPr>
            <w:tcW w:w="1141" w:type="dxa"/>
            <w:vAlign w:val="top"/>
          </w:tcPr>
          <w:p w14:paraId="735BD704">
            <w:pPr>
              <w:spacing w:before="112"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1.843</w:t>
            </w:r>
          </w:p>
        </w:tc>
        <w:tc>
          <w:tcPr>
            <w:tcW w:w="1141" w:type="dxa"/>
            <w:vAlign w:val="top"/>
          </w:tcPr>
          <w:p w14:paraId="763AAB29">
            <w:pPr>
              <w:spacing w:before="112" w:line="274"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0.987</w:t>
            </w:r>
          </w:p>
        </w:tc>
        <w:tc>
          <w:tcPr>
            <w:tcW w:w="1141" w:type="dxa"/>
            <w:vAlign w:val="top"/>
          </w:tcPr>
          <w:p w14:paraId="3C41E515">
            <w:pPr>
              <w:spacing w:before="112" w:line="274" w:lineRule="exact"/>
              <w:ind w:left="3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0.542</w:t>
            </w:r>
          </w:p>
        </w:tc>
        <w:tc>
          <w:tcPr>
            <w:tcW w:w="1142" w:type="dxa"/>
            <w:vAlign w:val="top"/>
          </w:tcPr>
          <w:p w14:paraId="4899F9D6">
            <w:pPr>
              <w:spacing w:before="112" w:line="274" w:lineRule="exact"/>
              <w:ind w:left="3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0.398</w:t>
            </w:r>
          </w:p>
        </w:tc>
        <w:tc>
          <w:tcPr>
            <w:tcW w:w="1146" w:type="dxa"/>
            <w:vAlign w:val="top"/>
          </w:tcPr>
          <w:p w14:paraId="4E5CC545">
            <w:pPr>
              <w:spacing w:before="112" w:line="274" w:lineRule="exact"/>
              <w:ind w:left="3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0.372</w:t>
            </w:r>
          </w:p>
        </w:tc>
      </w:tr>
    </w:tbl>
    <w:p w14:paraId="3714FEB1">
      <w:pPr>
        <w:spacing w:before="88" w:line="367" w:lineRule="auto"/>
        <w:ind w:left="122" w:right="110" w:firstLine="509"/>
        <w:rPr>
          <w:rFonts w:ascii="宋体" w:hAnsi="宋体" w:eastAsia="宋体" w:cs="宋体"/>
          <w:sz w:val="24"/>
          <w:szCs w:val="24"/>
        </w:rPr>
      </w:pPr>
      <w:r>
        <w:rPr>
          <w:rFonts w:ascii="宋体" w:hAnsi="宋体" w:eastAsia="宋体" w:cs="宋体"/>
          <w:spacing w:val="1"/>
          <w:sz w:val="24"/>
          <w:szCs w:val="24"/>
        </w:rPr>
        <w:t>由表</w:t>
      </w:r>
      <w:r>
        <w:rPr>
          <w:rFonts w:ascii="Times New Roman" w:hAnsi="Times New Roman" w:eastAsia="Times New Roman" w:cs="Times New Roman"/>
          <w:spacing w:val="1"/>
          <w:sz w:val="24"/>
          <w:szCs w:val="24"/>
        </w:rPr>
        <w:t>3.4-1</w:t>
      </w:r>
      <w:r>
        <w:rPr>
          <w:rFonts w:ascii="宋体" w:hAnsi="宋体" w:eastAsia="宋体" w:cs="宋体"/>
          <w:spacing w:val="1"/>
          <w:sz w:val="24"/>
          <w:szCs w:val="24"/>
        </w:rPr>
        <w:t>可见，施工现场局部扬尘浓度较高，但衰</w:t>
      </w:r>
      <w:r>
        <w:rPr>
          <w:rFonts w:ascii="宋体" w:hAnsi="宋体" w:eastAsia="宋体" w:cs="宋体"/>
          <w:sz w:val="24"/>
          <w:szCs w:val="24"/>
        </w:rPr>
        <w:t>减较快，</w:t>
      </w:r>
      <w:r>
        <w:rPr>
          <w:rFonts w:ascii="Times New Roman" w:hAnsi="Times New Roman" w:eastAsia="Times New Roman" w:cs="Times New Roman"/>
          <w:sz w:val="24"/>
          <w:szCs w:val="24"/>
        </w:rPr>
        <w:t xml:space="preserve">50m </w:t>
      </w:r>
      <w:r>
        <w:rPr>
          <w:rFonts w:ascii="宋体" w:hAnsi="宋体" w:eastAsia="宋体" w:cs="宋体"/>
          <w:sz w:val="24"/>
          <w:szCs w:val="24"/>
        </w:rPr>
        <w:t xml:space="preserve">处已接近背景 </w:t>
      </w:r>
      <w:r>
        <w:rPr>
          <w:rFonts w:ascii="宋体" w:hAnsi="宋体" w:eastAsia="宋体" w:cs="宋体"/>
          <w:spacing w:val="-5"/>
          <w:sz w:val="24"/>
          <w:szCs w:val="24"/>
        </w:rPr>
        <w:t>值。</w:t>
      </w:r>
    </w:p>
    <w:p w14:paraId="616C13B7">
      <w:pPr>
        <w:spacing w:before="62" w:line="219" w:lineRule="auto"/>
        <w:ind w:left="614"/>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）施工机械及运输车辆排放尾气污染物</w:t>
      </w:r>
    </w:p>
    <w:p w14:paraId="5A73E7F6">
      <w:pPr>
        <w:spacing w:before="205" w:line="374" w:lineRule="auto"/>
        <w:ind w:left="122" w:right="47" w:firstLine="480"/>
        <w:jc w:val="both"/>
        <w:rPr>
          <w:rFonts w:ascii="宋体" w:hAnsi="宋体" w:eastAsia="宋体" w:cs="宋体"/>
          <w:sz w:val="24"/>
          <w:szCs w:val="24"/>
        </w:rPr>
      </w:pPr>
      <w:r>
        <w:rPr>
          <w:rFonts w:ascii="宋体" w:hAnsi="宋体" w:eastAsia="宋体" w:cs="宋体"/>
          <w:sz w:val="24"/>
          <w:szCs w:val="24"/>
        </w:rPr>
        <w:t>在工程施工期间，机动车污染源主要为</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NO</w:t>
      </w:r>
      <w:r>
        <w:rPr>
          <w:rFonts w:ascii="Times New Roman" w:hAnsi="Times New Roman" w:eastAsia="Times New Roman" w:cs="Times New Roman"/>
          <w:position w:val="-1"/>
          <w:sz w:val="15"/>
          <w:szCs w:val="15"/>
        </w:rPr>
        <w:t>2</w:t>
      </w:r>
      <w:r>
        <w:rPr>
          <w:rFonts w:ascii="Times New Roman" w:hAnsi="Times New Roman" w:eastAsia="Times New Roman" w:cs="Times New Roman"/>
          <w:spacing w:val="29"/>
          <w:position w:val="-1"/>
          <w:sz w:val="15"/>
          <w:szCs w:val="15"/>
        </w:rPr>
        <w:t xml:space="preserve"> </w:t>
      </w:r>
      <w:r>
        <w:rPr>
          <w:rFonts w:ascii="宋体" w:hAnsi="宋体" w:eastAsia="宋体" w:cs="宋体"/>
          <w:sz w:val="24"/>
          <w:szCs w:val="24"/>
        </w:rPr>
        <w:t xml:space="preserve">的排放。根据《车用压燃式、气体 </w:t>
      </w:r>
      <w:r>
        <w:rPr>
          <w:rFonts w:ascii="宋体" w:hAnsi="宋体" w:eastAsia="宋体" w:cs="宋体"/>
          <w:spacing w:val="-9"/>
          <w:sz w:val="24"/>
          <w:szCs w:val="24"/>
        </w:rPr>
        <w:t>燃料点燃式发动机与汽车排气污染物排放限值及测量方法（中国Ⅲ、Ⅳ、Ⅴ阶段）》，</w:t>
      </w:r>
      <w:r>
        <w:rPr>
          <w:rFonts w:ascii="宋体" w:hAnsi="宋体" w:eastAsia="宋体" w:cs="宋体"/>
          <w:spacing w:val="7"/>
          <w:sz w:val="24"/>
          <w:szCs w:val="24"/>
        </w:rPr>
        <w:t xml:space="preserve"> </w:t>
      </w:r>
      <w:r>
        <w:rPr>
          <w:rFonts w:ascii="宋体" w:hAnsi="宋体" w:eastAsia="宋体" w:cs="宋体"/>
          <w:spacing w:val="-1"/>
          <w:sz w:val="24"/>
          <w:szCs w:val="24"/>
        </w:rPr>
        <w:t>机动车正常行驶时的</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NO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1"/>
          <w:w w:val="101"/>
          <w:position w:val="-1"/>
          <w:sz w:val="15"/>
          <w:szCs w:val="15"/>
        </w:rPr>
        <w:t xml:space="preserve"> </w:t>
      </w:r>
      <w:r>
        <w:rPr>
          <w:rFonts w:ascii="宋体" w:hAnsi="宋体" w:eastAsia="宋体" w:cs="宋体"/>
          <w:spacing w:val="-1"/>
          <w:sz w:val="24"/>
          <w:szCs w:val="24"/>
        </w:rPr>
        <w:t>排污系数为：小型车</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0.08g/</w:t>
      </w:r>
      <w:r>
        <w:rPr>
          <w:rFonts w:ascii="宋体" w:hAnsi="宋体" w:eastAsia="宋体" w:cs="宋体"/>
          <w:spacing w:val="-1"/>
          <w:sz w:val="24"/>
          <w:szCs w:val="24"/>
        </w:rPr>
        <w:t>辆</w:t>
      </w:r>
      <w:r>
        <w:rPr>
          <w:rFonts w:ascii="Times New Roman" w:hAnsi="Times New Roman" w:eastAsia="Times New Roman" w:cs="Times New Roman"/>
          <w:spacing w:val="-1"/>
          <w:sz w:val="24"/>
          <w:szCs w:val="24"/>
        </w:rPr>
        <w:t>.km</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，大、中型车为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0.11g/</w:t>
      </w:r>
      <w:r>
        <w:rPr>
          <w:rFonts w:ascii="宋体" w:hAnsi="宋体" w:eastAsia="宋体" w:cs="宋体"/>
          <w:spacing w:val="-1"/>
          <w:sz w:val="24"/>
          <w:szCs w:val="24"/>
        </w:rPr>
        <w:t>辆</w:t>
      </w:r>
      <w:r>
        <w:rPr>
          <w:rFonts w:ascii="宋体" w:hAnsi="宋体" w:eastAsia="宋体" w:cs="宋体"/>
          <w:sz w:val="24"/>
          <w:szCs w:val="24"/>
        </w:rPr>
        <w:t xml:space="preserve"> </w:t>
      </w:r>
      <w:r>
        <w:rPr>
          <w:rFonts w:ascii="Times New Roman" w:hAnsi="Times New Roman" w:eastAsia="Times New Roman" w:cs="Times New Roman"/>
          <w:spacing w:val="-1"/>
          <w:sz w:val="24"/>
          <w:szCs w:val="24"/>
        </w:rPr>
        <w:t>.km</w:t>
      </w:r>
      <w:r>
        <w:rPr>
          <w:rFonts w:ascii="Times New Roman" w:hAnsi="Times New Roman" w:eastAsia="Times New Roman" w:cs="Times New Roman"/>
          <w:spacing w:val="-11"/>
          <w:sz w:val="24"/>
          <w:szCs w:val="24"/>
        </w:rPr>
        <w:t xml:space="preserve"> </w:t>
      </w:r>
      <w:r>
        <w:rPr>
          <w:rFonts w:ascii="宋体" w:hAnsi="宋体" w:eastAsia="宋体" w:cs="宋体"/>
          <w:spacing w:val="-1"/>
          <w:sz w:val="24"/>
          <w:szCs w:val="24"/>
        </w:rPr>
        <w:t>。施工机动车以大、中型车为主。按进出车辆</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辆</w:t>
      </w:r>
      <w:r>
        <w:rPr>
          <w:rFonts w:ascii="Times New Roman" w:hAnsi="Times New Roman" w:eastAsia="Times New Roman" w:cs="Times New Roman"/>
          <w:spacing w:val="-1"/>
          <w:sz w:val="24"/>
          <w:szCs w:val="24"/>
        </w:rPr>
        <w:t xml:space="preserve">/d </w:t>
      </w:r>
      <w:r>
        <w:rPr>
          <w:rFonts w:ascii="宋体" w:hAnsi="宋体" w:eastAsia="宋体" w:cs="宋体"/>
          <w:spacing w:val="-1"/>
          <w:sz w:val="24"/>
          <w:szCs w:val="24"/>
        </w:rPr>
        <w:t>计，每辆车在项目区行驶距</w:t>
      </w:r>
      <w:r>
        <w:rPr>
          <w:rFonts w:ascii="宋体" w:hAnsi="宋体" w:eastAsia="宋体" w:cs="宋体"/>
          <w:sz w:val="24"/>
          <w:szCs w:val="24"/>
        </w:rPr>
        <w:t xml:space="preserve"> </w:t>
      </w:r>
      <w:r>
        <w:rPr>
          <w:rFonts w:ascii="宋体" w:hAnsi="宋体" w:eastAsia="宋体" w:cs="宋体"/>
          <w:spacing w:val="-3"/>
          <w:sz w:val="24"/>
          <w:szCs w:val="24"/>
        </w:rPr>
        <w:t>离按</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100m</w:t>
      </w:r>
      <w:r>
        <w:rPr>
          <w:rFonts w:ascii="宋体" w:hAnsi="宋体" w:eastAsia="宋体" w:cs="宋体"/>
          <w:spacing w:val="-3"/>
          <w:sz w:val="24"/>
          <w:szCs w:val="24"/>
        </w:rPr>
        <w:t>（含怠速期）计，</w:t>
      </w:r>
      <w:r>
        <w:rPr>
          <w:rFonts w:ascii="Times New Roman" w:hAnsi="Times New Roman" w:eastAsia="Times New Roman" w:cs="Times New Roman"/>
          <w:spacing w:val="-3"/>
          <w:sz w:val="24"/>
          <w:szCs w:val="24"/>
        </w:rPr>
        <w:t xml:space="preserve">NOx </w:t>
      </w:r>
      <w:r>
        <w:rPr>
          <w:rFonts w:ascii="宋体" w:hAnsi="宋体" w:eastAsia="宋体" w:cs="宋体"/>
          <w:spacing w:val="-3"/>
          <w:sz w:val="24"/>
          <w:szCs w:val="24"/>
        </w:rPr>
        <w:t>排放量为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0.3g/d</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，折合</w:t>
      </w:r>
      <w:r>
        <w:rPr>
          <w:rFonts w:ascii="宋体" w:hAnsi="宋体" w:eastAsia="宋体" w:cs="宋体"/>
          <w:spacing w:val="-63"/>
          <w:sz w:val="24"/>
          <w:szCs w:val="24"/>
        </w:rPr>
        <w:t xml:space="preserve"> </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9"/>
          <w:w w:val="102"/>
          <w:position w:val="-1"/>
          <w:sz w:val="15"/>
          <w:szCs w:val="15"/>
        </w:rPr>
        <w:t xml:space="preserve"> </w:t>
      </w:r>
      <w:r>
        <w:rPr>
          <w:rFonts w:ascii="宋体" w:hAnsi="宋体" w:eastAsia="宋体" w:cs="宋体"/>
          <w:spacing w:val="-4"/>
          <w:sz w:val="24"/>
          <w:szCs w:val="24"/>
        </w:rPr>
        <w:t>排放量为</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0.24g/d</w:t>
      </w:r>
      <w:r>
        <w:rPr>
          <w:rFonts w:ascii="宋体" w:hAnsi="宋体" w:eastAsia="宋体" w:cs="宋体"/>
          <w:spacing w:val="-4"/>
          <w:sz w:val="24"/>
          <w:szCs w:val="24"/>
        </w:rPr>
        <w:t>（</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position w:val="-1"/>
          <w:sz w:val="15"/>
          <w:szCs w:val="15"/>
        </w:rPr>
        <w:t xml:space="preserve">   </w:t>
      </w:r>
      <w:r>
        <w:rPr>
          <w:rFonts w:ascii="宋体" w:hAnsi="宋体" w:eastAsia="宋体" w:cs="宋体"/>
          <w:spacing w:val="-4"/>
          <w:sz w:val="24"/>
          <w:szCs w:val="24"/>
        </w:rPr>
        <w:t>取</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5"/>
          <w:szCs w:val="15"/>
        </w:rPr>
        <w:t>X</w:t>
      </w:r>
      <w:r>
        <w:rPr>
          <w:rFonts w:ascii="Times New Roman" w:hAnsi="Times New Roman" w:eastAsia="Times New Roman" w:cs="Times New Roman"/>
          <w:spacing w:val="30"/>
          <w:position w:val="-1"/>
          <w:sz w:val="15"/>
          <w:szCs w:val="15"/>
        </w:rPr>
        <w:t xml:space="preserve"> </w:t>
      </w:r>
      <w:r>
        <w:rPr>
          <w:rFonts w:ascii="宋体" w:hAnsi="宋体" w:eastAsia="宋体" w:cs="宋体"/>
          <w:spacing w:val="-4"/>
          <w:sz w:val="24"/>
          <w:szCs w:val="24"/>
        </w:rPr>
        <w:t>的</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 xml:space="preserve">0.8 </w:t>
      </w:r>
      <w:r>
        <w:rPr>
          <w:rFonts w:ascii="宋体" w:hAnsi="宋体" w:eastAsia="宋体" w:cs="宋体"/>
          <w:spacing w:val="-4"/>
          <w:sz w:val="24"/>
          <w:szCs w:val="24"/>
        </w:rPr>
        <w:t>倍）。</w:t>
      </w:r>
    </w:p>
    <w:p w14:paraId="355217D8">
      <w:pPr>
        <w:spacing w:before="313" w:line="220"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3.4.2</w:t>
      </w:r>
      <w:r>
        <w:rPr>
          <w:rFonts w:ascii="宋体" w:hAnsi="宋体" w:eastAsia="宋体" w:cs="宋体"/>
          <w:b/>
          <w:bCs/>
          <w:spacing w:val="-2"/>
          <w:sz w:val="24"/>
          <w:szCs w:val="24"/>
        </w:rPr>
        <w:t>施工期废水</w:t>
      </w:r>
    </w:p>
    <w:p w14:paraId="414738D3">
      <w:pPr>
        <w:pStyle w:val="2"/>
        <w:spacing w:line="279" w:lineRule="auto"/>
      </w:pPr>
    </w:p>
    <w:p w14:paraId="2B58CBAE">
      <w:pPr>
        <w:spacing w:before="79" w:line="220" w:lineRule="auto"/>
        <w:ind w:left="602"/>
        <w:rPr>
          <w:rFonts w:ascii="宋体" w:hAnsi="宋体" w:eastAsia="宋体" w:cs="宋体"/>
          <w:sz w:val="24"/>
          <w:szCs w:val="24"/>
        </w:rPr>
      </w:pPr>
      <w:r>
        <w:rPr>
          <w:rFonts w:ascii="宋体" w:hAnsi="宋体" w:eastAsia="宋体" w:cs="宋体"/>
          <w:sz w:val="24"/>
          <w:szCs w:val="24"/>
        </w:rPr>
        <w:t>施工期废水主要来自施工过程中的生产废水和</w:t>
      </w:r>
      <w:r>
        <w:rPr>
          <w:rFonts w:ascii="宋体" w:hAnsi="宋体" w:eastAsia="宋体" w:cs="宋体"/>
          <w:spacing w:val="-1"/>
          <w:sz w:val="24"/>
          <w:szCs w:val="24"/>
        </w:rPr>
        <w:t>施工人员的生活污水。</w:t>
      </w:r>
    </w:p>
    <w:p w14:paraId="1CE08DA2">
      <w:pPr>
        <w:spacing w:before="203" w:line="220" w:lineRule="auto"/>
        <w:ind w:left="609"/>
        <w:rPr>
          <w:rFonts w:ascii="宋体" w:hAnsi="宋体" w:eastAsia="宋体" w:cs="宋体"/>
          <w:sz w:val="24"/>
          <w:szCs w:val="24"/>
        </w:rPr>
      </w:pPr>
      <w:r>
        <w:rPr>
          <w:rFonts w:ascii="Times New Roman" w:hAnsi="Times New Roman" w:eastAsia="Times New Roman" w:cs="Times New Roman"/>
          <w:b/>
          <w:bCs/>
          <w:spacing w:val="-9"/>
          <w:sz w:val="24"/>
          <w:szCs w:val="24"/>
        </w:rPr>
        <w:t>1</w:t>
      </w:r>
      <w:r>
        <w:rPr>
          <w:rFonts w:ascii="Times New Roman" w:hAnsi="Times New Roman" w:eastAsia="Times New Roman" w:cs="Times New Roman"/>
          <w:b/>
          <w:bCs/>
          <w:spacing w:val="-31"/>
          <w:sz w:val="24"/>
          <w:szCs w:val="24"/>
        </w:rPr>
        <w:t xml:space="preserve"> </w:t>
      </w:r>
      <w:r>
        <w:rPr>
          <w:rFonts w:ascii="宋体" w:hAnsi="宋体" w:eastAsia="宋体" w:cs="宋体"/>
          <w:b/>
          <w:bCs/>
          <w:spacing w:val="-9"/>
          <w:sz w:val="24"/>
          <w:szCs w:val="24"/>
        </w:rPr>
        <w:t>、生产废水</w:t>
      </w:r>
    </w:p>
    <w:p w14:paraId="5874B2C4">
      <w:pPr>
        <w:spacing w:before="166" w:line="360"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）施工废水</w:t>
      </w:r>
    </w:p>
    <w:p w14:paraId="0469B59E">
      <w:pPr>
        <w:spacing w:before="164" w:line="294" w:lineRule="auto"/>
        <w:ind w:left="125" w:right="113" w:firstLine="480"/>
        <w:rPr>
          <w:rFonts w:ascii="宋体" w:hAnsi="宋体" w:eastAsia="宋体" w:cs="宋体"/>
          <w:sz w:val="24"/>
          <w:szCs w:val="24"/>
        </w:rPr>
      </w:pPr>
      <w:r>
        <w:rPr>
          <w:rFonts w:ascii="宋体" w:hAnsi="宋体" w:eastAsia="宋体" w:cs="宋体"/>
          <w:spacing w:val="2"/>
          <w:sz w:val="24"/>
          <w:szCs w:val="24"/>
        </w:rPr>
        <w:t>项目土方挖掘施工和桩基础施工时，会产生少量泥浆，由于其产生量较少且大</w:t>
      </w:r>
      <w:r>
        <w:rPr>
          <w:rFonts w:ascii="宋体" w:hAnsi="宋体" w:eastAsia="宋体" w:cs="宋体"/>
          <w:spacing w:val="6"/>
          <w:sz w:val="24"/>
          <w:szCs w:val="24"/>
        </w:rPr>
        <w:t xml:space="preserve"> </w:t>
      </w:r>
      <w:r>
        <w:rPr>
          <w:rFonts w:ascii="宋体" w:hAnsi="宋体" w:eastAsia="宋体" w:cs="宋体"/>
          <w:spacing w:val="2"/>
          <w:sz w:val="24"/>
          <w:szCs w:val="24"/>
        </w:rPr>
        <w:t>部分循环利用，施工单位一般会将剩余泥浆集中收集，晾晒后处理或由专用罐车运</w:t>
      </w:r>
    </w:p>
    <w:p w14:paraId="3A8796B3">
      <w:pPr>
        <w:spacing w:line="294" w:lineRule="auto"/>
        <w:rPr>
          <w:rFonts w:ascii="宋体" w:hAnsi="宋体" w:eastAsia="宋体" w:cs="宋体"/>
          <w:sz w:val="24"/>
          <w:szCs w:val="24"/>
        </w:rPr>
        <w:sectPr>
          <w:footerReference r:id="rId73" w:type="default"/>
          <w:pgSz w:w="11906" w:h="16839"/>
          <w:pgMar w:top="400" w:right="1475" w:bottom="1485" w:left="1475" w:header="0" w:footer="1249" w:gutter="0"/>
          <w:cols w:space="720" w:num="1"/>
        </w:sectPr>
      </w:pPr>
    </w:p>
    <w:p w14:paraId="65B10D78">
      <w:pPr>
        <w:pStyle w:val="2"/>
        <w:spacing w:line="264" w:lineRule="auto"/>
      </w:pPr>
    </w:p>
    <w:p w14:paraId="2D51BFD9">
      <w:pPr>
        <w:pStyle w:val="2"/>
        <w:spacing w:line="264" w:lineRule="auto"/>
      </w:pPr>
    </w:p>
    <w:p w14:paraId="0DF668D4">
      <w:pPr>
        <w:pStyle w:val="2"/>
        <w:spacing w:line="264" w:lineRule="auto"/>
      </w:pPr>
    </w:p>
    <w:p w14:paraId="2019EF1B">
      <w:pPr>
        <w:pStyle w:val="2"/>
        <w:spacing w:line="264" w:lineRule="auto"/>
      </w:pPr>
    </w:p>
    <w:p w14:paraId="111A84C8">
      <w:pPr>
        <w:spacing w:before="78" w:line="377" w:lineRule="auto"/>
        <w:ind w:left="123" w:right="108" w:hanging="1"/>
        <w:jc w:val="both"/>
        <w:rPr>
          <w:rFonts w:ascii="宋体" w:hAnsi="宋体" w:eastAsia="宋体" w:cs="宋体"/>
          <w:sz w:val="24"/>
          <w:szCs w:val="24"/>
        </w:rPr>
      </w:pPr>
      <w:r>
        <w:rPr>
          <w:rFonts w:ascii="宋体" w:hAnsi="宋体" w:eastAsia="宋体" w:cs="宋体"/>
          <w:spacing w:val="2"/>
          <w:sz w:val="24"/>
          <w:szCs w:val="24"/>
        </w:rPr>
        <w:t>输至建筑垃圾指定地点排放，所以基础工程产生的泥浆不会对受纳水体产生明显影</w:t>
      </w:r>
      <w:r>
        <w:rPr>
          <w:rFonts w:ascii="宋体" w:hAnsi="宋体" w:eastAsia="宋体" w:cs="宋体"/>
          <w:spacing w:val="7"/>
          <w:sz w:val="24"/>
          <w:szCs w:val="24"/>
        </w:rPr>
        <w:t xml:space="preserve"> </w:t>
      </w:r>
      <w:r>
        <w:rPr>
          <w:rFonts w:ascii="宋体" w:hAnsi="宋体" w:eastAsia="宋体" w:cs="宋体"/>
          <w:spacing w:val="-1"/>
          <w:sz w:val="24"/>
          <w:szCs w:val="24"/>
        </w:rPr>
        <w:t>响。工程施工过程中机械设备和车辆冲洗会产生一定量的废水，其主要污染物为</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SS</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和石油类。类比同类型工程，废水产生量约为</w:t>
      </w:r>
      <w:r>
        <w:rPr>
          <w:rFonts w:ascii="宋体" w:hAnsi="宋体" w:eastAsia="宋体" w:cs="宋体"/>
          <w:spacing w:val="-19"/>
          <w:sz w:val="24"/>
          <w:szCs w:val="24"/>
        </w:rPr>
        <w:t xml:space="preserve"> </w:t>
      </w:r>
      <w:r>
        <w:rPr>
          <w:rFonts w:ascii="Times New Roman" w:hAnsi="Times New Roman" w:eastAsia="Times New Roman" w:cs="Times New Roman"/>
          <w:spacing w:val="-1"/>
          <w:sz w:val="24"/>
          <w:szCs w:val="24"/>
        </w:rPr>
        <w:t>1.46m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SS </w:t>
      </w:r>
      <w:r>
        <w:rPr>
          <w:rFonts w:ascii="宋体" w:hAnsi="宋体" w:eastAsia="宋体" w:cs="宋体"/>
          <w:spacing w:val="-1"/>
          <w:sz w:val="24"/>
          <w:szCs w:val="24"/>
        </w:rPr>
        <w:t>浓度约为</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350~620mg/L</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（取</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600mg/L</w:t>
      </w:r>
      <w:r>
        <w:rPr>
          <w:rFonts w:ascii="宋体" w:hAnsi="宋体" w:eastAsia="宋体" w:cs="宋体"/>
          <w:spacing w:val="9"/>
          <w:sz w:val="24"/>
          <w:szCs w:val="24"/>
        </w:rPr>
        <w:t>），</w:t>
      </w:r>
      <w:r>
        <w:rPr>
          <w:rFonts w:ascii="宋体" w:hAnsi="宋体" w:eastAsia="宋体" w:cs="宋体"/>
          <w:spacing w:val="-1"/>
          <w:sz w:val="24"/>
          <w:szCs w:val="24"/>
        </w:rPr>
        <w:t>石油类浓度约为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12~25mg/L</w:t>
      </w:r>
      <w:r>
        <w:rPr>
          <w:rFonts w:ascii="宋体" w:hAnsi="宋体" w:eastAsia="宋体" w:cs="宋体"/>
          <w:spacing w:val="-1"/>
          <w:sz w:val="24"/>
          <w:szCs w:val="24"/>
        </w:rPr>
        <w:t>（取</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20mg/L</w:t>
      </w:r>
      <w:r>
        <w:rPr>
          <w:rFonts w:ascii="宋体" w:hAnsi="宋体" w:eastAsia="宋体" w:cs="宋体"/>
          <w:spacing w:val="-1"/>
          <w:sz w:val="24"/>
          <w:szCs w:val="24"/>
        </w:rPr>
        <w:t>）。本项目施</w:t>
      </w:r>
      <w:r>
        <w:rPr>
          <w:rFonts w:ascii="宋体" w:hAnsi="宋体" w:eastAsia="宋体" w:cs="宋体"/>
          <w:spacing w:val="-2"/>
          <w:sz w:val="24"/>
          <w:szCs w:val="24"/>
        </w:rPr>
        <w:t>工期生产废</w:t>
      </w:r>
      <w:r>
        <w:rPr>
          <w:rFonts w:ascii="宋体" w:hAnsi="宋体" w:eastAsia="宋体" w:cs="宋体"/>
          <w:sz w:val="24"/>
          <w:szCs w:val="24"/>
        </w:rPr>
        <w:t xml:space="preserve"> </w:t>
      </w:r>
      <w:r>
        <w:rPr>
          <w:rFonts w:ascii="宋体" w:hAnsi="宋体" w:eastAsia="宋体" w:cs="宋体"/>
          <w:spacing w:val="-2"/>
          <w:sz w:val="24"/>
          <w:szCs w:val="24"/>
        </w:rPr>
        <w:t>水的产排污情况见表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3.4-2</w:t>
      </w:r>
      <w:r>
        <w:rPr>
          <w:rFonts w:ascii="宋体" w:hAnsi="宋体" w:eastAsia="宋体" w:cs="宋体"/>
          <w:spacing w:val="-2"/>
          <w:sz w:val="24"/>
          <w:szCs w:val="24"/>
        </w:rPr>
        <w:t>。</w:t>
      </w:r>
    </w:p>
    <w:p w14:paraId="4415BBF2">
      <w:pPr>
        <w:spacing w:before="10" w:line="228" w:lineRule="auto"/>
        <w:ind w:left="3137"/>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6"/>
          <w:sz w:val="20"/>
          <w:szCs w:val="20"/>
        </w:rPr>
        <w:t xml:space="preserve">3.4-2  </w:t>
      </w:r>
      <w:r>
        <w:rPr>
          <w:rFonts w:ascii="宋体" w:hAnsi="宋体" w:eastAsia="宋体" w:cs="宋体"/>
          <w:b/>
          <w:bCs/>
          <w:spacing w:val="6"/>
          <w:sz w:val="20"/>
          <w:szCs w:val="20"/>
        </w:rPr>
        <w:t>施工期生产废水排放情况</w:t>
      </w:r>
    </w:p>
    <w:p w14:paraId="6A46C069">
      <w:pPr>
        <w:spacing w:line="102" w:lineRule="exact"/>
      </w:pPr>
    </w:p>
    <w:tbl>
      <w:tblPr>
        <w:tblStyle w:val="5"/>
        <w:tblW w:w="8728"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6"/>
        <w:gridCol w:w="2094"/>
        <w:gridCol w:w="2236"/>
        <w:gridCol w:w="2122"/>
      </w:tblGrid>
      <w:tr w14:paraId="566E5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276" w:type="dxa"/>
            <w:vAlign w:val="top"/>
          </w:tcPr>
          <w:p w14:paraId="14F3D39A">
            <w:pPr>
              <w:pStyle w:val="6"/>
              <w:spacing w:before="36" w:line="216" w:lineRule="auto"/>
              <w:ind w:left="722"/>
            </w:pPr>
            <w:r>
              <w:rPr>
                <w:spacing w:val="7"/>
              </w:rPr>
              <w:t>废水名称</w:t>
            </w:r>
          </w:p>
        </w:tc>
        <w:tc>
          <w:tcPr>
            <w:tcW w:w="2094" w:type="dxa"/>
            <w:vAlign w:val="top"/>
          </w:tcPr>
          <w:p w14:paraId="3B44BD74">
            <w:pPr>
              <w:pStyle w:val="6"/>
              <w:spacing w:before="36" w:line="216" w:lineRule="auto"/>
              <w:ind w:left="844"/>
            </w:pPr>
            <w:r>
              <w:rPr>
                <w:spacing w:val="3"/>
              </w:rPr>
              <w:t>成分</w:t>
            </w:r>
          </w:p>
        </w:tc>
        <w:tc>
          <w:tcPr>
            <w:tcW w:w="2236" w:type="dxa"/>
            <w:vAlign w:val="top"/>
          </w:tcPr>
          <w:p w14:paraId="5C287A3B">
            <w:pPr>
              <w:pStyle w:val="6"/>
              <w:spacing w:before="5" w:line="265" w:lineRule="exact"/>
              <w:ind w:left="476"/>
            </w:pPr>
            <w:r>
              <w:rPr>
                <w:spacing w:val="6"/>
                <w:position w:val="2"/>
              </w:rPr>
              <w:t>浓度（</w:t>
            </w:r>
            <w:r>
              <w:rPr>
                <w:rFonts w:ascii="Times New Roman" w:hAnsi="Times New Roman" w:eastAsia="Times New Roman" w:cs="Times New Roman"/>
                <w:position w:val="2"/>
              </w:rPr>
              <w:t>mg</w:t>
            </w:r>
            <w:r>
              <w:rPr>
                <w:rFonts w:ascii="Times New Roman" w:hAnsi="Times New Roman" w:eastAsia="Times New Roman" w:cs="Times New Roman"/>
                <w:spacing w:val="6"/>
                <w:position w:val="2"/>
              </w:rPr>
              <w:t>/L</w:t>
            </w:r>
            <w:r>
              <w:rPr>
                <w:spacing w:val="6"/>
                <w:position w:val="2"/>
              </w:rPr>
              <w:t>）</w:t>
            </w:r>
          </w:p>
        </w:tc>
        <w:tc>
          <w:tcPr>
            <w:tcW w:w="2122" w:type="dxa"/>
            <w:vAlign w:val="top"/>
          </w:tcPr>
          <w:p w14:paraId="410E51CA">
            <w:pPr>
              <w:pStyle w:val="6"/>
              <w:spacing w:before="5" w:line="265" w:lineRule="exact"/>
              <w:ind w:left="354"/>
            </w:pPr>
            <w:r>
              <w:rPr>
                <w:spacing w:val="6"/>
                <w:position w:val="2"/>
              </w:rPr>
              <w:t>产生量（</w:t>
            </w:r>
            <w:r>
              <w:rPr>
                <w:rFonts w:ascii="Times New Roman" w:hAnsi="Times New Roman" w:eastAsia="Times New Roman" w:cs="Times New Roman"/>
                <w:position w:val="2"/>
              </w:rPr>
              <w:t>kg</w:t>
            </w:r>
            <w:r>
              <w:rPr>
                <w:rFonts w:ascii="Times New Roman" w:hAnsi="Times New Roman" w:eastAsia="Times New Roman" w:cs="Times New Roman"/>
                <w:spacing w:val="6"/>
                <w:position w:val="2"/>
              </w:rPr>
              <w:t>/d</w:t>
            </w:r>
            <w:r>
              <w:rPr>
                <w:spacing w:val="6"/>
                <w:position w:val="2"/>
              </w:rPr>
              <w:t>）</w:t>
            </w:r>
          </w:p>
        </w:tc>
      </w:tr>
      <w:tr w14:paraId="5DE8A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2276" w:type="dxa"/>
            <w:vMerge w:val="restart"/>
            <w:tcBorders>
              <w:bottom w:val="nil"/>
            </w:tcBorders>
            <w:vAlign w:val="top"/>
          </w:tcPr>
          <w:p w14:paraId="6888C092">
            <w:pPr>
              <w:pStyle w:val="6"/>
              <w:spacing w:before="108" w:line="228" w:lineRule="auto"/>
              <w:ind w:left="199"/>
            </w:pPr>
            <w:r>
              <w:rPr>
                <w:spacing w:val="9"/>
              </w:rPr>
              <w:t>机械设备冲洗含油废</w:t>
            </w:r>
          </w:p>
          <w:p w14:paraId="4A031BEB">
            <w:pPr>
              <w:pStyle w:val="6"/>
              <w:spacing w:before="24" w:line="228" w:lineRule="auto"/>
              <w:ind w:left="1042"/>
            </w:pPr>
            <w:r>
              <w:t>水</w:t>
            </w:r>
          </w:p>
        </w:tc>
        <w:tc>
          <w:tcPr>
            <w:tcW w:w="2094" w:type="dxa"/>
            <w:vAlign w:val="top"/>
          </w:tcPr>
          <w:p w14:paraId="223A83CB">
            <w:pPr>
              <w:spacing w:before="137" w:line="195" w:lineRule="auto"/>
              <w:ind w:left="9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236" w:type="dxa"/>
            <w:vAlign w:val="top"/>
          </w:tcPr>
          <w:p w14:paraId="61FD2AF9">
            <w:pPr>
              <w:spacing w:before="71" w:line="274" w:lineRule="exact"/>
              <w:ind w:left="96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600</w:t>
            </w:r>
          </w:p>
        </w:tc>
        <w:tc>
          <w:tcPr>
            <w:tcW w:w="2122" w:type="dxa"/>
            <w:vAlign w:val="top"/>
          </w:tcPr>
          <w:p w14:paraId="7715F2C9">
            <w:pPr>
              <w:spacing w:before="71" w:line="274" w:lineRule="exact"/>
              <w:ind w:left="8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0.876</w:t>
            </w:r>
          </w:p>
        </w:tc>
      </w:tr>
      <w:tr w14:paraId="61BCD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276" w:type="dxa"/>
            <w:vMerge w:val="continue"/>
            <w:tcBorders>
              <w:top w:val="nil"/>
            </w:tcBorders>
            <w:vAlign w:val="top"/>
          </w:tcPr>
          <w:p w14:paraId="1B15F104">
            <w:pPr>
              <w:rPr>
                <w:rFonts w:ascii="Arial"/>
                <w:sz w:val="21"/>
              </w:rPr>
            </w:pPr>
          </w:p>
        </w:tc>
        <w:tc>
          <w:tcPr>
            <w:tcW w:w="2094" w:type="dxa"/>
            <w:vAlign w:val="top"/>
          </w:tcPr>
          <w:p w14:paraId="412E5E5D">
            <w:pPr>
              <w:pStyle w:val="6"/>
              <w:spacing w:before="36" w:line="221" w:lineRule="auto"/>
              <w:ind w:left="737"/>
            </w:pPr>
            <w:r>
              <w:rPr>
                <w:spacing w:val="6"/>
              </w:rPr>
              <w:t>石油类</w:t>
            </w:r>
          </w:p>
        </w:tc>
        <w:tc>
          <w:tcPr>
            <w:tcW w:w="2236" w:type="dxa"/>
            <w:vAlign w:val="top"/>
          </w:tcPr>
          <w:p w14:paraId="440CC74F">
            <w:pPr>
              <w:spacing w:line="262" w:lineRule="exact"/>
              <w:ind w:left="10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20</w:t>
            </w:r>
          </w:p>
        </w:tc>
        <w:tc>
          <w:tcPr>
            <w:tcW w:w="2122" w:type="dxa"/>
            <w:vAlign w:val="top"/>
          </w:tcPr>
          <w:p w14:paraId="0E3BA625">
            <w:pPr>
              <w:spacing w:line="262" w:lineRule="exact"/>
              <w:ind w:left="77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0.0292</w:t>
            </w:r>
          </w:p>
        </w:tc>
      </w:tr>
    </w:tbl>
    <w:p w14:paraId="0691EB86">
      <w:pPr>
        <w:spacing w:before="251" w:line="360" w:lineRule="exact"/>
        <w:ind w:left="598"/>
        <w:rPr>
          <w:rFonts w:ascii="宋体" w:hAnsi="宋体" w:eastAsia="宋体" w:cs="宋体"/>
          <w:sz w:val="24"/>
          <w:szCs w:val="24"/>
        </w:rPr>
      </w:pPr>
      <w:r>
        <w:rPr>
          <w:rFonts w:ascii="Times New Roman" w:hAnsi="Times New Roman" w:eastAsia="Times New Roman" w:cs="Times New Roman"/>
          <w:spacing w:val="-1"/>
          <w:position w:val="2"/>
          <w:sz w:val="24"/>
          <w:szCs w:val="24"/>
        </w:rPr>
        <w:t>2</w:t>
      </w:r>
      <w:r>
        <w:rPr>
          <w:rFonts w:ascii="宋体" w:hAnsi="宋体" w:eastAsia="宋体" w:cs="宋体"/>
          <w:spacing w:val="-1"/>
          <w:position w:val="2"/>
          <w:sz w:val="24"/>
          <w:szCs w:val="24"/>
        </w:rPr>
        <w:t>）地表径流水</w:t>
      </w:r>
    </w:p>
    <w:p w14:paraId="26DC965D">
      <w:pPr>
        <w:spacing w:before="163" w:line="377" w:lineRule="auto"/>
        <w:ind w:left="122" w:right="113" w:firstLine="480"/>
        <w:rPr>
          <w:rFonts w:ascii="宋体" w:hAnsi="宋体" w:eastAsia="宋体" w:cs="宋体"/>
          <w:sz w:val="24"/>
          <w:szCs w:val="24"/>
        </w:rPr>
      </w:pPr>
      <w:r>
        <w:rPr>
          <w:rFonts w:ascii="宋体" w:hAnsi="宋体" w:eastAsia="宋体" w:cs="宋体"/>
          <w:spacing w:val="2"/>
          <w:sz w:val="24"/>
          <w:szCs w:val="24"/>
        </w:rPr>
        <w:t>海丰县属亚热带季风气候，降雨量充沛，特别是夏季暴雨易对施工场地的浮土</w:t>
      </w:r>
      <w:r>
        <w:rPr>
          <w:rFonts w:ascii="宋体" w:hAnsi="宋体" w:eastAsia="宋体" w:cs="宋体"/>
          <w:spacing w:val="11"/>
          <w:sz w:val="24"/>
          <w:szCs w:val="24"/>
        </w:rPr>
        <w:t xml:space="preserve"> </w:t>
      </w:r>
      <w:r>
        <w:rPr>
          <w:rFonts w:ascii="宋体" w:hAnsi="宋体" w:eastAsia="宋体" w:cs="宋体"/>
          <w:spacing w:val="2"/>
          <w:sz w:val="24"/>
          <w:szCs w:val="24"/>
        </w:rPr>
        <w:t>造成的冲刷，造成含有大量悬浮物的地表径流水污染周围环境，严重时可导致堵塞</w:t>
      </w:r>
      <w:r>
        <w:rPr>
          <w:rFonts w:ascii="宋体" w:hAnsi="宋体" w:eastAsia="宋体" w:cs="宋体"/>
          <w:spacing w:val="7"/>
          <w:sz w:val="24"/>
          <w:szCs w:val="24"/>
        </w:rPr>
        <w:t xml:space="preserve"> </w:t>
      </w:r>
      <w:r>
        <w:rPr>
          <w:rFonts w:ascii="宋体" w:hAnsi="宋体" w:eastAsia="宋体" w:cs="宋体"/>
          <w:spacing w:val="-2"/>
          <w:sz w:val="24"/>
          <w:szCs w:val="24"/>
        </w:rPr>
        <w:t>市政排水系统。</w:t>
      </w:r>
    </w:p>
    <w:p w14:paraId="1D227045">
      <w:pPr>
        <w:spacing w:before="1" w:line="220" w:lineRule="auto"/>
        <w:ind w:left="599"/>
        <w:rPr>
          <w:rFonts w:ascii="宋体" w:hAnsi="宋体" w:eastAsia="宋体" w:cs="宋体"/>
          <w:sz w:val="24"/>
          <w:szCs w:val="24"/>
        </w:rPr>
      </w:pPr>
      <w:r>
        <w:rPr>
          <w:rFonts w:ascii="Times New Roman" w:hAnsi="Times New Roman" w:eastAsia="Times New Roman" w:cs="Times New Roman"/>
          <w:b/>
          <w:bCs/>
          <w:spacing w:val="-7"/>
          <w:sz w:val="24"/>
          <w:szCs w:val="24"/>
        </w:rPr>
        <w:t>2</w:t>
      </w:r>
      <w:r>
        <w:rPr>
          <w:rFonts w:ascii="Times New Roman" w:hAnsi="Times New Roman" w:eastAsia="Times New Roman" w:cs="Times New Roman"/>
          <w:b/>
          <w:bCs/>
          <w:spacing w:val="-33"/>
          <w:sz w:val="24"/>
          <w:szCs w:val="24"/>
        </w:rPr>
        <w:t xml:space="preserve"> </w:t>
      </w:r>
      <w:r>
        <w:rPr>
          <w:rFonts w:ascii="宋体" w:hAnsi="宋体" w:eastAsia="宋体" w:cs="宋体"/>
          <w:b/>
          <w:bCs/>
          <w:spacing w:val="-7"/>
          <w:sz w:val="24"/>
          <w:szCs w:val="24"/>
        </w:rPr>
        <w:t>、生活污水</w:t>
      </w:r>
    </w:p>
    <w:p w14:paraId="09D05C59">
      <w:pPr>
        <w:spacing w:before="203" w:line="375" w:lineRule="auto"/>
        <w:ind w:left="122" w:right="96" w:firstLine="480"/>
        <w:rPr>
          <w:rFonts w:ascii="宋体" w:hAnsi="宋体" w:eastAsia="宋体" w:cs="宋体"/>
          <w:sz w:val="24"/>
          <w:szCs w:val="24"/>
        </w:rPr>
      </w:pPr>
      <w:r>
        <w:rPr>
          <w:rFonts w:ascii="宋体" w:hAnsi="宋体" w:eastAsia="宋体" w:cs="宋体"/>
          <w:spacing w:val="2"/>
          <w:sz w:val="24"/>
          <w:szCs w:val="24"/>
        </w:rPr>
        <w:t>根据项目施工实际情况，本项目不设置施工营地、食堂。由于施工方案、施工</w:t>
      </w:r>
      <w:r>
        <w:rPr>
          <w:rFonts w:ascii="宋体" w:hAnsi="宋体" w:eastAsia="宋体" w:cs="宋体"/>
          <w:spacing w:val="10"/>
          <w:sz w:val="24"/>
          <w:szCs w:val="24"/>
        </w:rPr>
        <w:t xml:space="preserve"> </w:t>
      </w:r>
      <w:r>
        <w:rPr>
          <w:rFonts w:ascii="宋体" w:hAnsi="宋体" w:eastAsia="宋体" w:cs="宋体"/>
          <w:spacing w:val="-1"/>
          <w:sz w:val="24"/>
          <w:szCs w:val="24"/>
        </w:rPr>
        <w:t>阶段的不同，施工人员数量也不同。根据类比调查，本工程施工平均人数为</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30 </w:t>
      </w:r>
      <w:r>
        <w:rPr>
          <w:rFonts w:ascii="宋体" w:hAnsi="宋体" w:eastAsia="宋体" w:cs="宋体"/>
          <w:spacing w:val="-1"/>
          <w:sz w:val="24"/>
          <w:szCs w:val="24"/>
        </w:rPr>
        <w:t>人，</w:t>
      </w:r>
      <w:r>
        <w:rPr>
          <w:rFonts w:ascii="宋体" w:hAnsi="宋体" w:eastAsia="宋体" w:cs="宋体"/>
          <w:sz w:val="24"/>
          <w:szCs w:val="24"/>
        </w:rPr>
        <w:t xml:space="preserve"> </w:t>
      </w:r>
      <w:r>
        <w:rPr>
          <w:rFonts w:ascii="宋体" w:hAnsi="宋体" w:eastAsia="宋体" w:cs="宋体"/>
          <w:spacing w:val="3"/>
          <w:sz w:val="24"/>
          <w:szCs w:val="24"/>
        </w:rPr>
        <w:t>高峰期人数为</w:t>
      </w:r>
      <w:r>
        <w:rPr>
          <w:rFonts w:ascii="Times New Roman" w:hAnsi="Times New Roman" w:eastAsia="Times New Roman" w:cs="Times New Roman"/>
          <w:spacing w:val="3"/>
          <w:sz w:val="24"/>
          <w:szCs w:val="24"/>
        </w:rPr>
        <w:t xml:space="preserve">45 </w:t>
      </w:r>
      <w:r>
        <w:rPr>
          <w:rFonts w:ascii="宋体" w:hAnsi="宋体" w:eastAsia="宋体" w:cs="宋体"/>
          <w:spacing w:val="3"/>
          <w:sz w:val="24"/>
          <w:szCs w:val="24"/>
        </w:rPr>
        <w:t>人，每天生活用水按</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40L/</w:t>
      </w:r>
      <w:r>
        <w:rPr>
          <w:rFonts w:ascii="宋体" w:hAnsi="宋体" w:eastAsia="宋体" w:cs="宋体"/>
          <w:spacing w:val="3"/>
          <w:sz w:val="24"/>
          <w:szCs w:val="24"/>
        </w:rPr>
        <w:t>人</w:t>
      </w:r>
      <w:r>
        <w:rPr>
          <w:rFonts w:ascii="Times New Roman" w:hAnsi="Times New Roman" w:eastAsia="Times New Roman" w:cs="Times New Roman"/>
          <w:spacing w:val="3"/>
          <w:sz w:val="24"/>
          <w:szCs w:val="24"/>
        </w:rPr>
        <w:t xml:space="preserve">∙d </w:t>
      </w:r>
      <w:r>
        <w:rPr>
          <w:rFonts w:ascii="宋体" w:hAnsi="宋体" w:eastAsia="宋体" w:cs="宋体"/>
          <w:spacing w:val="3"/>
          <w:sz w:val="24"/>
          <w:szCs w:val="24"/>
        </w:rPr>
        <w:t>计，排放系数取</w:t>
      </w:r>
      <w:r>
        <w:rPr>
          <w:rFonts w:ascii="Times New Roman" w:hAnsi="Times New Roman" w:eastAsia="Times New Roman" w:cs="Times New Roman"/>
          <w:spacing w:val="3"/>
          <w:sz w:val="24"/>
          <w:szCs w:val="24"/>
        </w:rPr>
        <w:t>0.9</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，则施工期施工</w:t>
      </w:r>
      <w:r>
        <w:rPr>
          <w:rFonts w:ascii="宋体" w:hAnsi="宋体" w:eastAsia="宋体" w:cs="宋体"/>
          <w:sz w:val="24"/>
          <w:szCs w:val="24"/>
        </w:rPr>
        <w:t xml:space="preserve"> </w:t>
      </w:r>
      <w:r>
        <w:rPr>
          <w:rFonts w:ascii="宋体" w:hAnsi="宋体" w:eastAsia="宋体" w:cs="宋体"/>
          <w:spacing w:val="2"/>
          <w:sz w:val="24"/>
          <w:szCs w:val="24"/>
        </w:rPr>
        <w:t>人员生活用水最大用水量为</w:t>
      </w:r>
      <w:r>
        <w:rPr>
          <w:rFonts w:ascii="Times New Roman" w:hAnsi="Times New Roman" w:eastAsia="Times New Roman" w:cs="Times New Roman"/>
          <w:spacing w:val="2"/>
          <w:sz w:val="24"/>
          <w:szCs w:val="24"/>
        </w:rPr>
        <w:t>270t</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，产污系数取</w:t>
      </w:r>
      <w:r>
        <w:rPr>
          <w:rFonts w:ascii="Times New Roman" w:hAnsi="Times New Roman" w:eastAsia="Times New Roman" w:cs="Times New Roman"/>
          <w:spacing w:val="2"/>
          <w:sz w:val="24"/>
          <w:szCs w:val="24"/>
        </w:rPr>
        <w:t>0.9</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，则生活污水最大排放量为</w:t>
      </w:r>
      <w:r>
        <w:rPr>
          <w:rFonts w:ascii="Times New Roman" w:hAnsi="Times New Roman" w:eastAsia="Times New Roman" w:cs="Times New Roman"/>
          <w:spacing w:val="2"/>
          <w:sz w:val="24"/>
          <w:szCs w:val="24"/>
        </w:rPr>
        <w:t>243t</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14"/>
          <w:sz w:val="24"/>
          <w:szCs w:val="24"/>
        </w:rPr>
        <w:t>参考一般生活污水水质，本项</w:t>
      </w:r>
      <w:r>
        <w:rPr>
          <w:rFonts w:ascii="宋体" w:hAnsi="宋体" w:eastAsia="宋体" w:cs="宋体"/>
          <w:spacing w:val="-46"/>
          <w:sz w:val="24"/>
          <w:szCs w:val="24"/>
        </w:rPr>
        <w:t xml:space="preserve"> </w:t>
      </w:r>
      <w:r>
        <w:rPr>
          <w:rFonts w:ascii="宋体" w:hAnsi="宋体" w:eastAsia="宋体" w:cs="宋体"/>
          <w:spacing w:val="14"/>
          <w:sz w:val="24"/>
          <w:szCs w:val="24"/>
        </w:rPr>
        <w:t>目施工期生活污水中主要污染</w:t>
      </w:r>
      <w:r>
        <w:rPr>
          <w:rFonts w:ascii="宋体" w:hAnsi="宋体" w:eastAsia="宋体" w:cs="宋体"/>
          <w:spacing w:val="13"/>
          <w:sz w:val="24"/>
          <w:szCs w:val="24"/>
        </w:rPr>
        <w:t>指标浓度选取为：</w:t>
      </w:r>
      <w:r>
        <w:rPr>
          <w:rFonts w:ascii="宋体" w:hAnsi="宋体" w:eastAsia="宋体" w:cs="宋体"/>
          <w:sz w:val="24"/>
          <w:szCs w:val="24"/>
        </w:rPr>
        <w:t xml:space="preserve"> </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2"/>
          <w:sz w:val="15"/>
          <w:szCs w:val="15"/>
        </w:rPr>
        <w:t>Cr</w:t>
      </w:r>
      <w:r>
        <w:rPr>
          <w:rFonts w:ascii="Times New Roman" w:hAnsi="Times New Roman" w:eastAsia="Times New Roman" w:cs="Times New Roman"/>
          <w:spacing w:val="-2"/>
          <w:sz w:val="24"/>
          <w:szCs w:val="24"/>
        </w:rPr>
        <w:t>300mg/L</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2"/>
          <w:sz w:val="24"/>
          <w:szCs w:val="24"/>
        </w:rPr>
        <w:t>150mg/L</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SS200mg/L</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–N35mg/L</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，生活</w:t>
      </w:r>
      <w:r>
        <w:rPr>
          <w:rFonts w:ascii="宋体" w:hAnsi="宋体" w:eastAsia="宋体" w:cs="宋体"/>
          <w:spacing w:val="-3"/>
          <w:sz w:val="24"/>
          <w:szCs w:val="24"/>
        </w:rPr>
        <w:t>污水水质及其污</w:t>
      </w:r>
      <w:r>
        <w:rPr>
          <w:rFonts w:ascii="宋体" w:hAnsi="宋体" w:eastAsia="宋体" w:cs="宋体"/>
          <w:sz w:val="24"/>
          <w:szCs w:val="24"/>
        </w:rPr>
        <w:t xml:space="preserve"> </w:t>
      </w:r>
      <w:r>
        <w:rPr>
          <w:rFonts w:ascii="宋体" w:hAnsi="宋体" w:eastAsia="宋体" w:cs="宋体"/>
          <w:spacing w:val="1"/>
          <w:sz w:val="24"/>
          <w:szCs w:val="24"/>
        </w:rPr>
        <w:t>染物产生量见表</w:t>
      </w:r>
      <w:r>
        <w:rPr>
          <w:rFonts w:ascii="Times New Roman" w:hAnsi="Times New Roman" w:eastAsia="Times New Roman" w:cs="Times New Roman"/>
          <w:spacing w:val="1"/>
          <w:sz w:val="24"/>
          <w:szCs w:val="24"/>
        </w:rPr>
        <w:t>3.4-3</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，不设临时食堂，依托现有洗手间及三级化粪池</w:t>
      </w:r>
      <w:r>
        <w:rPr>
          <w:rFonts w:ascii="宋体" w:hAnsi="宋体" w:eastAsia="宋体" w:cs="宋体"/>
          <w:sz w:val="24"/>
          <w:szCs w:val="24"/>
        </w:rPr>
        <w:t xml:space="preserve">，生活污水经 </w:t>
      </w:r>
      <w:r>
        <w:rPr>
          <w:rFonts w:ascii="宋体" w:hAnsi="宋体" w:eastAsia="宋体" w:cs="宋体"/>
          <w:spacing w:val="2"/>
          <w:sz w:val="24"/>
          <w:szCs w:val="24"/>
        </w:rPr>
        <w:t>三级化粪池处理后排入市政污水管网，纳入海丰县城污水处理厂处理。三级化粪池</w:t>
      </w:r>
      <w:r>
        <w:rPr>
          <w:rFonts w:ascii="宋体" w:hAnsi="宋体" w:eastAsia="宋体" w:cs="宋体"/>
          <w:spacing w:val="7"/>
          <w:sz w:val="24"/>
          <w:szCs w:val="24"/>
        </w:rPr>
        <w:t xml:space="preserve"> </w:t>
      </w:r>
      <w:r>
        <w:rPr>
          <w:rFonts w:ascii="宋体" w:hAnsi="宋体" w:eastAsia="宋体" w:cs="宋体"/>
          <w:spacing w:val="-4"/>
          <w:sz w:val="24"/>
          <w:szCs w:val="24"/>
        </w:rPr>
        <w:t>对</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COD</w:t>
      </w:r>
      <w:r>
        <w:rPr>
          <w:rFonts w:ascii="Times New Roman" w:hAnsi="Times New Roman" w:eastAsia="Times New Roman" w:cs="Times New Roman"/>
          <w:spacing w:val="-4"/>
          <w:position w:val="-1"/>
          <w:sz w:val="15"/>
          <w:szCs w:val="15"/>
        </w:rPr>
        <w:t>Cr</w:t>
      </w:r>
      <w:r>
        <w:rPr>
          <w:rFonts w:ascii="Times New Roman" w:hAnsi="Times New Roman" w:eastAsia="Times New Roman" w:cs="Times New Roman"/>
          <w:spacing w:val="-11"/>
          <w:position w:val="-1"/>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BOD</w:t>
      </w:r>
      <w:r>
        <w:rPr>
          <w:rFonts w:ascii="Times New Roman" w:hAnsi="Times New Roman" w:eastAsia="Times New Roman" w:cs="Times New Roman"/>
          <w:spacing w:val="-4"/>
          <w:position w:val="-1"/>
          <w:sz w:val="15"/>
          <w:szCs w:val="15"/>
        </w:rPr>
        <w:t>5</w:t>
      </w:r>
      <w:r>
        <w:rPr>
          <w:rFonts w:ascii="Times New Roman" w:hAnsi="Times New Roman" w:eastAsia="Times New Roman" w:cs="Times New Roman"/>
          <w:spacing w:val="-13"/>
          <w:position w:val="-1"/>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SS </w:t>
      </w:r>
      <w:r>
        <w:rPr>
          <w:rFonts w:ascii="宋体" w:hAnsi="宋体" w:eastAsia="宋体" w:cs="宋体"/>
          <w:spacing w:val="-4"/>
          <w:sz w:val="24"/>
          <w:szCs w:val="24"/>
        </w:rPr>
        <w:t>及氨氮的处理效率分别为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35"/>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5"/>
          <w:sz w:val="24"/>
          <w:szCs w:val="24"/>
        </w:rPr>
        <w:t>0%</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w:t>
      </w:r>
    </w:p>
    <w:p w14:paraId="2AB183AB">
      <w:pPr>
        <w:spacing w:before="27" w:line="228" w:lineRule="auto"/>
        <w:ind w:left="3137"/>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6"/>
          <w:sz w:val="20"/>
          <w:szCs w:val="20"/>
        </w:rPr>
        <w:t xml:space="preserve">3.4-3  </w:t>
      </w:r>
      <w:r>
        <w:rPr>
          <w:rFonts w:ascii="宋体" w:hAnsi="宋体" w:eastAsia="宋体" w:cs="宋体"/>
          <w:b/>
          <w:bCs/>
          <w:spacing w:val="6"/>
          <w:sz w:val="20"/>
          <w:szCs w:val="20"/>
        </w:rPr>
        <w:t>施工期生活污水排放情况</w:t>
      </w:r>
    </w:p>
    <w:p w14:paraId="79FECA4A">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2"/>
        <w:gridCol w:w="1201"/>
        <w:gridCol w:w="1788"/>
        <w:gridCol w:w="1788"/>
        <w:gridCol w:w="1791"/>
      </w:tblGrid>
      <w:tr w14:paraId="44CF7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382" w:type="dxa"/>
            <w:vAlign w:val="top"/>
          </w:tcPr>
          <w:p w14:paraId="4195F9C0">
            <w:pPr>
              <w:pStyle w:val="6"/>
              <w:spacing w:before="62" w:line="229" w:lineRule="auto"/>
              <w:ind w:left="884"/>
            </w:pPr>
            <w:r>
              <w:rPr>
                <w:b/>
                <w:bCs/>
                <w:spacing w:val="5"/>
              </w:rPr>
              <w:t>污染物</w:t>
            </w:r>
          </w:p>
        </w:tc>
        <w:tc>
          <w:tcPr>
            <w:tcW w:w="1201" w:type="dxa"/>
            <w:vAlign w:val="top"/>
          </w:tcPr>
          <w:p w14:paraId="52B77850">
            <w:pPr>
              <w:spacing w:before="98" w:line="202" w:lineRule="auto"/>
              <w:ind w:left="293"/>
              <w:rPr>
                <w:rFonts w:ascii="Times New Roman" w:hAnsi="Times New Roman" w:eastAsia="Times New Roman" w:cs="Times New Roman"/>
                <w:sz w:val="13"/>
                <w:szCs w:val="13"/>
              </w:rPr>
            </w:pPr>
            <w:r>
              <w:rPr>
                <w:rFonts w:ascii="Times New Roman" w:hAnsi="Times New Roman" w:eastAsia="Times New Roman" w:cs="Times New Roman"/>
                <w:b/>
                <w:bCs/>
                <w:spacing w:val="4"/>
                <w:sz w:val="20"/>
                <w:szCs w:val="20"/>
              </w:rPr>
              <w:t>COD</w:t>
            </w:r>
            <w:r>
              <w:rPr>
                <w:rFonts w:ascii="Times New Roman" w:hAnsi="Times New Roman" w:eastAsia="Times New Roman" w:cs="Times New Roman"/>
                <w:b/>
                <w:bCs/>
                <w:spacing w:val="4"/>
                <w:position w:val="-1"/>
                <w:sz w:val="13"/>
                <w:szCs w:val="13"/>
              </w:rPr>
              <w:t>Cr</w:t>
            </w:r>
          </w:p>
        </w:tc>
        <w:tc>
          <w:tcPr>
            <w:tcW w:w="1788" w:type="dxa"/>
            <w:vAlign w:val="top"/>
          </w:tcPr>
          <w:p w14:paraId="4C3AAF0F">
            <w:pPr>
              <w:spacing w:before="98" w:line="202" w:lineRule="auto"/>
              <w:ind w:left="633"/>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1788" w:type="dxa"/>
            <w:vAlign w:val="top"/>
          </w:tcPr>
          <w:p w14:paraId="0481F60D">
            <w:pPr>
              <w:spacing w:before="98" w:line="195" w:lineRule="auto"/>
              <w:ind w:left="78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1791" w:type="dxa"/>
            <w:vAlign w:val="top"/>
          </w:tcPr>
          <w:p w14:paraId="11188F35">
            <w:pPr>
              <w:spacing w:before="101" w:line="199" w:lineRule="auto"/>
              <w:ind w:left="57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8"/>
                <w:position w:val="-1"/>
                <w:sz w:val="13"/>
                <w:szCs w:val="13"/>
              </w:rPr>
              <w:t>3</w:t>
            </w:r>
            <w:r>
              <w:rPr>
                <w:rFonts w:ascii="Times New Roman" w:hAnsi="Times New Roman" w:eastAsia="Times New Roman" w:cs="Times New Roman"/>
                <w:b/>
                <w:bCs/>
                <w:spacing w:val="8"/>
                <w:sz w:val="20"/>
                <w:szCs w:val="20"/>
              </w:rPr>
              <w:t>–N</w:t>
            </w:r>
          </w:p>
        </w:tc>
      </w:tr>
      <w:tr w14:paraId="069DD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382" w:type="dxa"/>
            <w:vAlign w:val="top"/>
          </w:tcPr>
          <w:p w14:paraId="04646E7F">
            <w:pPr>
              <w:pStyle w:val="6"/>
              <w:spacing w:before="28" w:line="274" w:lineRule="exact"/>
              <w:ind w:left="548"/>
            </w:pPr>
            <w:r>
              <w:rPr>
                <w:spacing w:val="7"/>
                <w:position w:val="2"/>
              </w:rPr>
              <w:t>浓度（</w:t>
            </w:r>
            <w:r>
              <w:rPr>
                <w:rFonts w:ascii="Times New Roman" w:hAnsi="Times New Roman" w:eastAsia="Times New Roman" w:cs="Times New Roman"/>
                <w:position w:val="2"/>
              </w:rPr>
              <w:t>mg</w:t>
            </w:r>
            <w:r>
              <w:rPr>
                <w:rFonts w:ascii="Times New Roman" w:hAnsi="Times New Roman" w:eastAsia="Times New Roman" w:cs="Times New Roman"/>
                <w:spacing w:val="7"/>
                <w:position w:val="2"/>
              </w:rPr>
              <w:t>/L</w:t>
            </w:r>
            <w:r>
              <w:rPr>
                <w:spacing w:val="7"/>
                <w:position w:val="2"/>
              </w:rPr>
              <w:t>）</w:t>
            </w:r>
          </w:p>
        </w:tc>
        <w:tc>
          <w:tcPr>
            <w:tcW w:w="1201" w:type="dxa"/>
            <w:vAlign w:val="top"/>
          </w:tcPr>
          <w:p w14:paraId="1D684A4B">
            <w:pPr>
              <w:spacing w:before="28" w:line="274" w:lineRule="exact"/>
              <w:ind w:left="4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c>
          <w:tcPr>
            <w:tcW w:w="1788" w:type="dxa"/>
            <w:vAlign w:val="top"/>
          </w:tcPr>
          <w:p w14:paraId="677AE240">
            <w:pPr>
              <w:spacing w:before="28" w:line="274" w:lineRule="exact"/>
              <w:ind w:left="7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1788" w:type="dxa"/>
            <w:vAlign w:val="top"/>
          </w:tcPr>
          <w:p w14:paraId="395499C4">
            <w:pPr>
              <w:spacing w:before="28"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1791" w:type="dxa"/>
            <w:vAlign w:val="top"/>
          </w:tcPr>
          <w:p w14:paraId="732FAC7A">
            <w:pPr>
              <w:spacing w:before="28" w:line="274" w:lineRule="exact"/>
              <w:ind w:left="79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r>
      <w:tr w14:paraId="1F74B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382" w:type="dxa"/>
            <w:vAlign w:val="top"/>
          </w:tcPr>
          <w:p w14:paraId="2B2466CD">
            <w:pPr>
              <w:pStyle w:val="6"/>
              <w:spacing w:before="29" w:line="274" w:lineRule="exact"/>
              <w:ind w:left="567"/>
            </w:pPr>
            <w:r>
              <w:rPr>
                <w:spacing w:val="4"/>
                <w:position w:val="1"/>
              </w:rPr>
              <w:t>产生量（</w:t>
            </w:r>
            <w:r>
              <w:rPr>
                <w:rFonts w:ascii="Times New Roman" w:hAnsi="Times New Roman" w:eastAsia="Times New Roman" w:cs="Times New Roman"/>
                <w:spacing w:val="4"/>
                <w:position w:val="1"/>
              </w:rPr>
              <w:t>t/a</w:t>
            </w:r>
            <w:r>
              <w:rPr>
                <w:spacing w:val="4"/>
                <w:position w:val="1"/>
              </w:rPr>
              <w:t>）</w:t>
            </w:r>
          </w:p>
        </w:tc>
        <w:tc>
          <w:tcPr>
            <w:tcW w:w="1201" w:type="dxa"/>
            <w:vAlign w:val="top"/>
          </w:tcPr>
          <w:p w14:paraId="33CF126A">
            <w:pPr>
              <w:spacing w:before="29" w:line="274"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0.081</w:t>
            </w:r>
          </w:p>
        </w:tc>
        <w:tc>
          <w:tcPr>
            <w:tcW w:w="1788" w:type="dxa"/>
            <w:vAlign w:val="top"/>
          </w:tcPr>
          <w:p w14:paraId="0FB7A6DC">
            <w:pPr>
              <w:spacing w:before="29" w:line="274"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0.041</w:t>
            </w:r>
          </w:p>
        </w:tc>
        <w:tc>
          <w:tcPr>
            <w:tcW w:w="1788" w:type="dxa"/>
            <w:vAlign w:val="top"/>
          </w:tcPr>
          <w:p w14:paraId="3FA5F3A3">
            <w:pPr>
              <w:spacing w:before="29" w:line="274"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0.054</w:t>
            </w:r>
          </w:p>
        </w:tc>
        <w:tc>
          <w:tcPr>
            <w:tcW w:w="1791" w:type="dxa"/>
            <w:vAlign w:val="top"/>
          </w:tcPr>
          <w:p w14:paraId="36A5FE0E">
            <w:pPr>
              <w:spacing w:before="29" w:line="274"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0.009</w:t>
            </w:r>
          </w:p>
        </w:tc>
      </w:tr>
      <w:tr w14:paraId="5A611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382" w:type="dxa"/>
            <w:vAlign w:val="top"/>
          </w:tcPr>
          <w:p w14:paraId="24575642">
            <w:pPr>
              <w:pStyle w:val="6"/>
              <w:spacing w:before="30" w:line="274" w:lineRule="exact"/>
              <w:ind w:left="483"/>
            </w:pPr>
            <w:r>
              <w:rPr>
                <w:spacing w:val="6"/>
                <w:position w:val="1"/>
              </w:rPr>
              <w:t>处理效率（</w:t>
            </w:r>
            <w:r>
              <w:rPr>
                <w:rFonts w:ascii="Times New Roman" w:hAnsi="Times New Roman" w:eastAsia="Times New Roman" w:cs="Times New Roman"/>
                <w:spacing w:val="6"/>
                <w:position w:val="1"/>
              </w:rPr>
              <w:t>%</w:t>
            </w:r>
            <w:r>
              <w:rPr>
                <w:spacing w:val="6"/>
                <w:position w:val="1"/>
              </w:rPr>
              <w:t>）</w:t>
            </w:r>
          </w:p>
        </w:tc>
        <w:tc>
          <w:tcPr>
            <w:tcW w:w="1201" w:type="dxa"/>
            <w:vAlign w:val="top"/>
          </w:tcPr>
          <w:p w14:paraId="21593D3F">
            <w:pPr>
              <w:spacing w:before="30" w:line="274" w:lineRule="exact"/>
              <w:ind w:left="51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788" w:type="dxa"/>
            <w:vAlign w:val="top"/>
          </w:tcPr>
          <w:p w14:paraId="3DA00B70">
            <w:pPr>
              <w:spacing w:before="30" w:line="274" w:lineRule="exact"/>
              <w:ind w:left="81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788" w:type="dxa"/>
            <w:vAlign w:val="top"/>
          </w:tcPr>
          <w:p w14:paraId="4162091B">
            <w:pPr>
              <w:spacing w:before="30" w:line="274" w:lineRule="exact"/>
              <w:ind w:left="79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791" w:type="dxa"/>
            <w:vAlign w:val="top"/>
          </w:tcPr>
          <w:p w14:paraId="3C96631F">
            <w:pPr>
              <w:spacing w:before="30" w:line="274" w:lineRule="exact"/>
              <w:ind w:left="8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r>
      <w:tr w14:paraId="1F0EB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382" w:type="dxa"/>
            <w:vAlign w:val="top"/>
          </w:tcPr>
          <w:p w14:paraId="4F16CBE9">
            <w:pPr>
              <w:pStyle w:val="6"/>
              <w:spacing w:before="31" w:line="274" w:lineRule="exact"/>
              <w:ind w:left="238"/>
            </w:pPr>
            <w:r>
              <w:rPr>
                <w:spacing w:val="7"/>
                <w:position w:val="2"/>
              </w:rPr>
              <w:t>处理后浓度（</w:t>
            </w:r>
            <w:r>
              <w:rPr>
                <w:rFonts w:ascii="Times New Roman" w:hAnsi="Times New Roman" w:eastAsia="Times New Roman" w:cs="Times New Roman"/>
                <w:position w:val="2"/>
              </w:rPr>
              <w:t>mg</w:t>
            </w:r>
            <w:r>
              <w:rPr>
                <w:rFonts w:ascii="Times New Roman" w:hAnsi="Times New Roman" w:eastAsia="Times New Roman" w:cs="Times New Roman"/>
                <w:spacing w:val="7"/>
                <w:position w:val="2"/>
              </w:rPr>
              <w:t>/L</w:t>
            </w:r>
            <w:r>
              <w:rPr>
                <w:spacing w:val="7"/>
                <w:position w:val="2"/>
              </w:rPr>
              <w:t>）</w:t>
            </w:r>
          </w:p>
        </w:tc>
        <w:tc>
          <w:tcPr>
            <w:tcW w:w="1201" w:type="dxa"/>
            <w:vAlign w:val="top"/>
          </w:tcPr>
          <w:p w14:paraId="7721B97A">
            <w:pPr>
              <w:spacing w:before="31"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255</w:t>
            </w:r>
          </w:p>
        </w:tc>
        <w:tc>
          <w:tcPr>
            <w:tcW w:w="1788" w:type="dxa"/>
            <w:vAlign w:val="top"/>
          </w:tcPr>
          <w:p w14:paraId="1C616DBD">
            <w:pPr>
              <w:spacing w:before="31" w:line="274" w:lineRule="exact"/>
              <w:ind w:left="68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127.5</w:t>
            </w:r>
          </w:p>
        </w:tc>
        <w:tc>
          <w:tcPr>
            <w:tcW w:w="1788" w:type="dxa"/>
            <w:vAlign w:val="top"/>
          </w:tcPr>
          <w:p w14:paraId="5EEE8FF4">
            <w:pPr>
              <w:spacing w:before="31" w:line="274" w:lineRule="exact"/>
              <w:ind w:left="8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1791" w:type="dxa"/>
            <w:vAlign w:val="top"/>
          </w:tcPr>
          <w:p w14:paraId="5A881360">
            <w:pPr>
              <w:spacing w:before="31" w:line="274" w:lineRule="exact"/>
              <w:ind w:left="6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33.95</w:t>
            </w:r>
          </w:p>
        </w:tc>
      </w:tr>
      <w:tr w14:paraId="1C506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382" w:type="dxa"/>
            <w:vAlign w:val="top"/>
          </w:tcPr>
          <w:p w14:paraId="083DB948">
            <w:pPr>
              <w:pStyle w:val="6"/>
              <w:spacing w:before="32" w:line="274" w:lineRule="exact"/>
              <w:ind w:left="567"/>
            </w:pPr>
            <w:r>
              <w:rPr>
                <w:spacing w:val="4"/>
                <w:position w:val="1"/>
              </w:rPr>
              <w:t>排放量（</w:t>
            </w:r>
            <w:r>
              <w:rPr>
                <w:rFonts w:ascii="Times New Roman" w:hAnsi="Times New Roman" w:eastAsia="Times New Roman" w:cs="Times New Roman"/>
                <w:spacing w:val="4"/>
                <w:position w:val="1"/>
              </w:rPr>
              <w:t>t/a</w:t>
            </w:r>
            <w:r>
              <w:rPr>
                <w:spacing w:val="4"/>
                <w:position w:val="1"/>
              </w:rPr>
              <w:t>）</w:t>
            </w:r>
          </w:p>
        </w:tc>
        <w:tc>
          <w:tcPr>
            <w:tcW w:w="1201" w:type="dxa"/>
            <w:vAlign w:val="top"/>
          </w:tcPr>
          <w:p w14:paraId="4846A9BF">
            <w:pPr>
              <w:spacing w:before="32" w:line="274"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0.069</w:t>
            </w:r>
          </w:p>
        </w:tc>
        <w:tc>
          <w:tcPr>
            <w:tcW w:w="1788" w:type="dxa"/>
            <w:vAlign w:val="top"/>
          </w:tcPr>
          <w:p w14:paraId="33775761">
            <w:pPr>
              <w:spacing w:before="32" w:line="274"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0.034</w:t>
            </w:r>
          </w:p>
        </w:tc>
        <w:tc>
          <w:tcPr>
            <w:tcW w:w="1788" w:type="dxa"/>
            <w:vAlign w:val="top"/>
          </w:tcPr>
          <w:p w14:paraId="211556BD">
            <w:pPr>
              <w:spacing w:before="32" w:line="274"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0.022</w:t>
            </w:r>
          </w:p>
        </w:tc>
        <w:tc>
          <w:tcPr>
            <w:tcW w:w="1791" w:type="dxa"/>
            <w:vAlign w:val="top"/>
          </w:tcPr>
          <w:p w14:paraId="20D435E4">
            <w:pPr>
              <w:spacing w:before="32" w:line="274"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0.009</w:t>
            </w:r>
          </w:p>
        </w:tc>
      </w:tr>
    </w:tbl>
    <w:p w14:paraId="4A205C36">
      <w:pPr>
        <w:pStyle w:val="2"/>
      </w:pPr>
    </w:p>
    <w:p w14:paraId="670B3C48">
      <w:pPr>
        <w:sectPr>
          <w:footerReference r:id="rId74" w:type="default"/>
          <w:pgSz w:w="11906" w:h="16839"/>
          <w:pgMar w:top="400" w:right="1475" w:bottom="1485" w:left="1475" w:header="0" w:footer="1249" w:gutter="0"/>
          <w:cols w:space="720" w:num="1"/>
        </w:sectPr>
      </w:pPr>
    </w:p>
    <w:p w14:paraId="737D1131">
      <w:pPr>
        <w:pStyle w:val="2"/>
        <w:spacing w:line="273" w:lineRule="auto"/>
      </w:pPr>
    </w:p>
    <w:p w14:paraId="3F10578B">
      <w:pPr>
        <w:pStyle w:val="2"/>
        <w:spacing w:line="274" w:lineRule="auto"/>
      </w:pPr>
    </w:p>
    <w:p w14:paraId="74776C81">
      <w:pPr>
        <w:pStyle w:val="2"/>
        <w:spacing w:line="274" w:lineRule="auto"/>
      </w:pPr>
    </w:p>
    <w:p w14:paraId="66A3304B">
      <w:pPr>
        <w:pStyle w:val="2"/>
        <w:spacing w:line="274" w:lineRule="auto"/>
      </w:pPr>
    </w:p>
    <w:p w14:paraId="36354CB6">
      <w:pPr>
        <w:spacing w:before="78" w:line="221"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3.4.3</w:t>
      </w:r>
      <w:r>
        <w:rPr>
          <w:rFonts w:ascii="宋体" w:hAnsi="宋体" w:eastAsia="宋体" w:cs="宋体"/>
          <w:b/>
          <w:bCs/>
          <w:spacing w:val="-2"/>
          <w:sz w:val="24"/>
          <w:szCs w:val="24"/>
        </w:rPr>
        <w:t>施工期噪声</w:t>
      </w:r>
    </w:p>
    <w:p w14:paraId="0B145C3B">
      <w:pPr>
        <w:pStyle w:val="2"/>
        <w:spacing w:line="280" w:lineRule="auto"/>
      </w:pPr>
    </w:p>
    <w:p w14:paraId="4C047426">
      <w:pPr>
        <w:spacing w:before="78" w:line="372" w:lineRule="auto"/>
        <w:ind w:left="122" w:right="110" w:firstLine="480"/>
        <w:jc w:val="both"/>
        <w:rPr>
          <w:rFonts w:ascii="宋体" w:hAnsi="宋体" w:eastAsia="宋体" w:cs="宋体"/>
          <w:sz w:val="24"/>
          <w:szCs w:val="24"/>
        </w:rPr>
      </w:pPr>
      <w:r>
        <w:rPr>
          <w:rFonts w:ascii="宋体" w:hAnsi="宋体" w:eastAsia="宋体" w:cs="宋体"/>
          <w:spacing w:val="2"/>
          <w:sz w:val="24"/>
          <w:szCs w:val="24"/>
        </w:rPr>
        <w:t>本项目施工期噪声源主要为施工机械产生的噪声和车辆运输产生的噪声。施工</w:t>
      </w:r>
      <w:r>
        <w:rPr>
          <w:rFonts w:ascii="宋体" w:hAnsi="宋体" w:eastAsia="宋体" w:cs="宋体"/>
          <w:spacing w:val="9"/>
          <w:sz w:val="24"/>
          <w:szCs w:val="24"/>
        </w:rPr>
        <w:t xml:space="preserve"> </w:t>
      </w:r>
      <w:r>
        <w:rPr>
          <w:rFonts w:ascii="宋体" w:hAnsi="宋体" w:eastAsia="宋体" w:cs="宋体"/>
          <w:spacing w:val="2"/>
          <w:sz w:val="24"/>
          <w:szCs w:val="24"/>
        </w:rPr>
        <w:t>过程中将动用挖掘机、空压机、钻孔机、风镐等施工机械，这些施工机械在进行施</w:t>
      </w:r>
      <w:r>
        <w:rPr>
          <w:rFonts w:ascii="宋体" w:hAnsi="宋体" w:eastAsia="宋体" w:cs="宋体"/>
          <w:spacing w:val="6"/>
          <w:sz w:val="24"/>
          <w:szCs w:val="24"/>
        </w:rPr>
        <w:t xml:space="preserve"> </w:t>
      </w:r>
      <w:r>
        <w:rPr>
          <w:rFonts w:ascii="宋体" w:hAnsi="宋体" w:eastAsia="宋体" w:cs="宋体"/>
          <w:spacing w:val="2"/>
          <w:sz w:val="24"/>
          <w:szCs w:val="24"/>
        </w:rPr>
        <w:t>工作业时产生噪声，是对周边声环境有较大影响的噪声源。此外，一些施工作业如</w:t>
      </w:r>
      <w:r>
        <w:rPr>
          <w:rFonts w:ascii="宋体" w:hAnsi="宋体" w:eastAsia="宋体" w:cs="宋体"/>
          <w:spacing w:val="6"/>
          <w:sz w:val="24"/>
          <w:szCs w:val="24"/>
        </w:rPr>
        <w:t xml:space="preserve"> </w:t>
      </w:r>
      <w:r>
        <w:rPr>
          <w:rFonts w:ascii="宋体" w:hAnsi="宋体" w:eastAsia="宋体" w:cs="宋体"/>
          <w:spacing w:val="-6"/>
          <w:sz w:val="24"/>
          <w:szCs w:val="24"/>
        </w:rPr>
        <w:t>搬卸、安装、拆除等也产生噪声。各类施工机械及运输车辆产生</w:t>
      </w:r>
      <w:r>
        <w:rPr>
          <w:rFonts w:ascii="宋体" w:hAnsi="宋体" w:eastAsia="宋体" w:cs="宋体"/>
          <w:spacing w:val="-7"/>
          <w:sz w:val="24"/>
          <w:szCs w:val="24"/>
        </w:rPr>
        <w:t>的噪声源强见表</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3.4-4</w:t>
      </w:r>
      <w:r>
        <w:rPr>
          <w:rFonts w:ascii="Times New Roman" w:hAnsi="Times New Roman" w:eastAsia="Times New Roman" w:cs="Times New Roman"/>
          <w:sz w:val="24"/>
          <w:szCs w:val="24"/>
        </w:rPr>
        <w:t xml:space="preserve"> </w:t>
      </w:r>
      <w:r>
        <w:rPr>
          <w:rFonts w:ascii="宋体" w:hAnsi="宋体" w:eastAsia="宋体" w:cs="宋体"/>
          <w:spacing w:val="-4"/>
          <w:sz w:val="24"/>
          <w:szCs w:val="24"/>
        </w:rPr>
        <w:t>所示。</w:t>
      </w:r>
    </w:p>
    <w:p w14:paraId="5473520D">
      <w:pPr>
        <w:spacing w:before="40" w:line="228" w:lineRule="auto"/>
        <w:ind w:left="2540"/>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7"/>
          <w:sz w:val="20"/>
          <w:szCs w:val="20"/>
        </w:rPr>
        <w:t xml:space="preserve">3.4-4 </w:t>
      </w:r>
      <w:r>
        <w:rPr>
          <w:rFonts w:ascii="宋体" w:hAnsi="宋体" w:eastAsia="宋体" w:cs="宋体"/>
          <w:b/>
          <w:bCs/>
          <w:spacing w:val="7"/>
          <w:sz w:val="20"/>
          <w:szCs w:val="20"/>
        </w:rPr>
        <w:t>各种施工机械的噪声值单位</w:t>
      </w:r>
      <w:r>
        <w:rPr>
          <w:rFonts w:ascii="宋体" w:hAnsi="宋体" w:eastAsia="宋体" w:cs="宋体"/>
          <w:b/>
          <w:bCs/>
          <w:spacing w:val="6"/>
          <w:sz w:val="20"/>
          <w:szCs w:val="20"/>
        </w:rPr>
        <w:t>：</w:t>
      </w:r>
      <w:r>
        <w:rPr>
          <w:rFonts w:ascii="Times New Roman" w:hAnsi="Times New Roman" w:eastAsia="Times New Roman" w:cs="Times New Roman"/>
          <w:b/>
          <w:bCs/>
          <w:sz w:val="20"/>
          <w:szCs w:val="20"/>
        </w:rPr>
        <w:t>dB</w:t>
      </w: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A</w:t>
      </w:r>
      <w:r>
        <w:rPr>
          <w:rFonts w:ascii="宋体" w:hAnsi="宋体" w:eastAsia="宋体" w:cs="宋体"/>
          <w:b/>
          <w:bCs/>
          <w:spacing w:val="6"/>
          <w:sz w:val="20"/>
          <w:szCs w:val="20"/>
        </w:rPr>
        <w:t>）</w:t>
      </w:r>
    </w:p>
    <w:p w14:paraId="7079652C">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0"/>
        <w:gridCol w:w="2309"/>
        <w:gridCol w:w="1489"/>
        <w:gridCol w:w="876"/>
        <w:gridCol w:w="2103"/>
        <w:gridCol w:w="1493"/>
      </w:tblGrid>
      <w:tr w14:paraId="0E4BA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80" w:type="dxa"/>
            <w:vAlign w:val="top"/>
          </w:tcPr>
          <w:p w14:paraId="0F929D1A">
            <w:pPr>
              <w:pStyle w:val="6"/>
              <w:spacing w:before="62" w:line="230" w:lineRule="auto"/>
              <w:ind w:left="135"/>
            </w:pPr>
            <w:r>
              <w:rPr>
                <w:b/>
                <w:bCs/>
                <w:spacing w:val="4"/>
              </w:rPr>
              <w:t>序号</w:t>
            </w:r>
          </w:p>
        </w:tc>
        <w:tc>
          <w:tcPr>
            <w:tcW w:w="2309" w:type="dxa"/>
            <w:vAlign w:val="top"/>
          </w:tcPr>
          <w:p w14:paraId="03BACCB6">
            <w:pPr>
              <w:pStyle w:val="6"/>
              <w:spacing w:before="62" w:line="230" w:lineRule="auto"/>
              <w:ind w:left="527"/>
            </w:pPr>
            <w:r>
              <w:rPr>
                <w:b/>
                <w:bCs/>
                <w:spacing w:val="7"/>
              </w:rPr>
              <w:t>施工设备名称</w:t>
            </w:r>
          </w:p>
        </w:tc>
        <w:tc>
          <w:tcPr>
            <w:tcW w:w="1489" w:type="dxa"/>
            <w:vAlign w:val="top"/>
          </w:tcPr>
          <w:p w14:paraId="55C68F5F">
            <w:pPr>
              <w:pStyle w:val="6"/>
              <w:spacing w:before="62" w:line="229" w:lineRule="auto"/>
              <w:ind w:left="268"/>
              <w:rPr>
                <w:rFonts w:ascii="Times New Roman" w:hAnsi="Times New Roman" w:eastAsia="Times New Roman" w:cs="Times New Roman"/>
              </w:rPr>
            </w:pPr>
            <w:r>
              <w:rPr>
                <w:b/>
                <w:bCs/>
                <w:spacing w:val="4"/>
              </w:rPr>
              <w:t>距振源</w:t>
            </w:r>
            <w:r>
              <w:rPr>
                <w:spacing w:val="-38"/>
              </w:rPr>
              <w:t xml:space="preserve"> </w:t>
            </w:r>
            <w:r>
              <w:rPr>
                <w:rFonts w:ascii="Times New Roman" w:hAnsi="Times New Roman" w:eastAsia="Times New Roman" w:cs="Times New Roman"/>
                <w:b/>
                <w:bCs/>
                <w:spacing w:val="4"/>
              </w:rPr>
              <w:t>5m</w:t>
            </w:r>
          </w:p>
        </w:tc>
        <w:tc>
          <w:tcPr>
            <w:tcW w:w="876" w:type="dxa"/>
            <w:vAlign w:val="top"/>
          </w:tcPr>
          <w:p w14:paraId="36DD91AF">
            <w:pPr>
              <w:pStyle w:val="6"/>
              <w:spacing w:before="62" w:line="230" w:lineRule="auto"/>
              <w:ind w:left="233"/>
            </w:pPr>
            <w:r>
              <w:rPr>
                <w:b/>
                <w:bCs/>
                <w:spacing w:val="4"/>
              </w:rPr>
              <w:t>序号</w:t>
            </w:r>
          </w:p>
        </w:tc>
        <w:tc>
          <w:tcPr>
            <w:tcW w:w="2103" w:type="dxa"/>
            <w:vAlign w:val="top"/>
          </w:tcPr>
          <w:p w14:paraId="0D2B5F45">
            <w:pPr>
              <w:pStyle w:val="6"/>
              <w:spacing w:before="62" w:line="230" w:lineRule="auto"/>
              <w:ind w:left="428"/>
            </w:pPr>
            <w:r>
              <w:rPr>
                <w:b/>
                <w:bCs/>
                <w:spacing w:val="7"/>
              </w:rPr>
              <w:t>施工设备名称</w:t>
            </w:r>
          </w:p>
        </w:tc>
        <w:tc>
          <w:tcPr>
            <w:tcW w:w="1493" w:type="dxa"/>
            <w:vAlign w:val="top"/>
          </w:tcPr>
          <w:p w14:paraId="45947451">
            <w:pPr>
              <w:pStyle w:val="6"/>
              <w:spacing w:before="62" w:line="229" w:lineRule="auto"/>
              <w:ind w:left="269"/>
              <w:rPr>
                <w:rFonts w:ascii="Times New Roman" w:hAnsi="Times New Roman" w:eastAsia="Times New Roman" w:cs="Times New Roman"/>
              </w:rPr>
            </w:pPr>
            <w:r>
              <w:rPr>
                <w:b/>
                <w:bCs/>
                <w:spacing w:val="4"/>
              </w:rPr>
              <w:t>距振源</w:t>
            </w:r>
            <w:r>
              <w:rPr>
                <w:spacing w:val="-38"/>
              </w:rPr>
              <w:t xml:space="preserve"> </w:t>
            </w:r>
            <w:r>
              <w:rPr>
                <w:rFonts w:ascii="Times New Roman" w:hAnsi="Times New Roman" w:eastAsia="Times New Roman" w:cs="Times New Roman"/>
                <w:b/>
                <w:bCs/>
                <w:spacing w:val="4"/>
              </w:rPr>
              <w:t>5m</w:t>
            </w:r>
          </w:p>
        </w:tc>
      </w:tr>
      <w:tr w14:paraId="565EF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80" w:type="dxa"/>
            <w:vAlign w:val="top"/>
          </w:tcPr>
          <w:p w14:paraId="431E2E4B">
            <w:pPr>
              <w:spacing w:before="28" w:line="274" w:lineRule="exact"/>
              <w:ind w:left="3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309" w:type="dxa"/>
            <w:vAlign w:val="top"/>
          </w:tcPr>
          <w:p w14:paraId="45700FCC">
            <w:pPr>
              <w:pStyle w:val="6"/>
              <w:spacing w:before="58" w:line="228" w:lineRule="auto"/>
              <w:ind w:left="842"/>
            </w:pPr>
            <w:r>
              <w:rPr>
                <w:spacing w:val="7"/>
              </w:rPr>
              <w:t>挖掘机</w:t>
            </w:r>
          </w:p>
        </w:tc>
        <w:tc>
          <w:tcPr>
            <w:tcW w:w="1489" w:type="dxa"/>
            <w:vAlign w:val="top"/>
          </w:tcPr>
          <w:p w14:paraId="48B203D8">
            <w:pPr>
              <w:spacing w:before="28"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82~90</w:t>
            </w:r>
          </w:p>
        </w:tc>
        <w:tc>
          <w:tcPr>
            <w:tcW w:w="876" w:type="dxa"/>
            <w:vAlign w:val="top"/>
          </w:tcPr>
          <w:p w14:paraId="3B4BCF17">
            <w:pPr>
              <w:spacing w:before="28" w:line="274" w:lineRule="exact"/>
              <w:ind w:left="39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103" w:type="dxa"/>
            <w:vAlign w:val="top"/>
          </w:tcPr>
          <w:p w14:paraId="08F814A8">
            <w:pPr>
              <w:pStyle w:val="6"/>
              <w:spacing w:before="58" w:line="228" w:lineRule="auto"/>
              <w:ind w:left="746"/>
            </w:pPr>
            <w:r>
              <w:rPr>
                <w:spacing w:val="5"/>
              </w:rPr>
              <w:t>打桩机</w:t>
            </w:r>
          </w:p>
        </w:tc>
        <w:tc>
          <w:tcPr>
            <w:tcW w:w="1493" w:type="dxa"/>
            <w:vAlign w:val="top"/>
          </w:tcPr>
          <w:p w14:paraId="7DC905FC">
            <w:pPr>
              <w:spacing w:before="28" w:line="274" w:lineRule="exact"/>
              <w:ind w:left="3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2"/>
                <w:position w:val="2"/>
                <w:sz w:val="20"/>
                <w:szCs w:val="20"/>
              </w:rPr>
              <w:t>105</w:t>
            </w:r>
          </w:p>
        </w:tc>
      </w:tr>
      <w:tr w14:paraId="0C26E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0" w:type="dxa"/>
            <w:vAlign w:val="top"/>
          </w:tcPr>
          <w:p w14:paraId="774D0CE5">
            <w:pPr>
              <w:spacing w:before="28" w:line="274" w:lineRule="exact"/>
              <w:ind w:left="28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309" w:type="dxa"/>
            <w:vAlign w:val="top"/>
          </w:tcPr>
          <w:p w14:paraId="458C005D">
            <w:pPr>
              <w:pStyle w:val="6"/>
              <w:spacing w:before="58" w:line="228" w:lineRule="auto"/>
              <w:ind w:left="843"/>
            </w:pPr>
            <w:r>
              <w:rPr>
                <w:spacing w:val="6"/>
              </w:rPr>
              <w:t>装载机</w:t>
            </w:r>
          </w:p>
        </w:tc>
        <w:tc>
          <w:tcPr>
            <w:tcW w:w="1489" w:type="dxa"/>
            <w:vAlign w:val="top"/>
          </w:tcPr>
          <w:p w14:paraId="6C82394F">
            <w:pPr>
              <w:spacing w:before="28"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90~95</w:t>
            </w:r>
          </w:p>
        </w:tc>
        <w:tc>
          <w:tcPr>
            <w:tcW w:w="876" w:type="dxa"/>
            <w:vAlign w:val="top"/>
          </w:tcPr>
          <w:p w14:paraId="73867901">
            <w:pPr>
              <w:spacing w:before="28"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103" w:type="dxa"/>
            <w:vAlign w:val="top"/>
          </w:tcPr>
          <w:p w14:paraId="5DA96529">
            <w:pPr>
              <w:pStyle w:val="6"/>
              <w:spacing w:before="58" w:line="228" w:lineRule="auto"/>
              <w:ind w:left="744"/>
            </w:pPr>
            <w:r>
              <w:rPr>
                <w:spacing w:val="6"/>
              </w:rPr>
              <w:t>压桩机</w:t>
            </w:r>
          </w:p>
        </w:tc>
        <w:tc>
          <w:tcPr>
            <w:tcW w:w="1493" w:type="dxa"/>
            <w:vAlign w:val="top"/>
          </w:tcPr>
          <w:p w14:paraId="45178FEF">
            <w:pPr>
              <w:spacing w:before="28" w:line="274" w:lineRule="exact"/>
              <w:ind w:left="4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70~75</w:t>
            </w:r>
          </w:p>
        </w:tc>
      </w:tr>
      <w:tr w14:paraId="4CE1D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0" w:type="dxa"/>
            <w:vAlign w:val="top"/>
          </w:tcPr>
          <w:p w14:paraId="5CD0D101">
            <w:pPr>
              <w:spacing w:before="29"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309" w:type="dxa"/>
            <w:vAlign w:val="top"/>
          </w:tcPr>
          <w:p w14:paraId="17FE26D5">
            <w:pPr>
              <w:pStyle w:val="6"/>
              <w:spacing w:before="59" w:line="228" w:lineRule="auto"/>
              <w:ind w:left="843"/>
            </w:pPr>
            <w:r>
              <w:rPr>
                <w:spacing w:val="6"/>
              </w:rPr>
              <w:t>推土机</w:t>
            </w:r>
          </w:p>
        </w:tc>
        <w:tc>
          <w:tcPr>
            <w:tcW w:w="1489" w:type="dxa"/>
            <w:vAlign w:val="top"/>
          </w:tcPr>
          <w:p w14:paraId="4C5E3D71">
            <w:pPr>
              <w:spacing w:before="29"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83~88</w:t>
            </w:r>
          </w:p>
        </w:tc>
        <w:tc>
          <w:tcPr>
            <w:tcW w:w="876" w:type="dxa"/>
            <w:vAlign w:val="top"/>
          </w:tcPr>
          <w:p w14:paraId="7D4B1713">
            <w:pPr>
              <w:spacing w:before="29"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2103" w:type="dxa"/>
            <w:vAlign w:val="top"/>
          </w:tcPr>
          <w:p w14:paraId="3C050518">
            <w:pPr>
              <w:pStyle w:val="6"/>
              <w:spacing w:before="59" w:line="229" w:lineRule="auto"/>
              <w:ind w:left="849"/>
            </w:pPr>
            <w:r>
              <w:rPr>
                <w:spacing w:val="4"/>
              </w:rPr>
              <w:t>风镐</w:t>
            </w:r>
          </w:p>
        </w:tc>
        <w:tc>
          <w:tcPr>
            <w:tcW w:w="1493" w:type="dxa"/>
            <w:vAlign w:val="top"/>
          </w:tcPr>
          <w:p w14:paraId="1A499F72">
            <w:pPr>
              <w:spacing w:before="29"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88~92</w:t>
            </w:r>
          </w:p>
        </w:tc>
      </w:tr>
      <w:tr w14:paraId="17108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80" w:type="dxa"/>
            <w:vAlign w:val="top"/>
          </w:tcPr>
          <w:p w14:paraId="585E3B52">
            <w:pPr>
              <w:spacing w:before="30"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309" w:type="dxa"/>
            <w:vAlign w:val="top"/>
          </w:tcPr>
          <w:p w14:paraId="73082B23">
            <w:pPr>
              <w:pStyle w:val="6"/>
              <w:spacing w:before="60" w:line="228" w:lineRule="auto"/>
              <w:ind w:left="529"/>
            </w:pPr>
            <w:r>
              <w:rPr>
                <w:spacing w:val="8"/>
              </w:rPr>
              <w:t>移动式发电机</w:t>
            </w:r>
          </w:p>
        </w:tc>
        <w:tc>
          <w:tcPr>
            <w:tcW w:w="1489" w:type="dxa"/>
            <w:vAlign w:val="top"/>
          </w:tcPr>
          <w:p w14:paraId="4032CF33">
            <w:pPr>
              <w:spacing w:before="30"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95~</w:t>
            </w:r>
            <w:r>
              <w:rPr>
                <w:rFonts w:ascii="Times New Roman" w:hAnsi="Times New Roman" w:eastAsia="Times New Roman" w:cs="Times New Roman"/>
                <w:spacing w:val="-22"/>
                <w:position w:val="2"/>
                <w:sz w:val="20"/>
                <w:szCs w:val="20"/>
              </w:rPr>
              <w:t xml:space="preserve"> </w:t>
            </w:r>
            <w:r>
              <w:rPr>
                <w:rFonts w:ascii="Times New Roman" w:hAnsi="Times New Roman" w:eastAsia="Times New Roman" w:cs="Times New Roman"/>
                <w:spacing w:val="-1"/>
                <w:position w:val="2"/>
                <w:sz w:val="20"/>
                <w:szCs w:val="20"/>
              </w:rPr>
              <w:t>102</w:t>
            </w:r>
          </w:p>
        </w:tc>
        <w:tc>
          <w:tcPr>
            <w:tcW w:w="876" w:type="dxa"/>
            <w:vAlign w:val="top"/>
          </w:tcPr>
          <w:p w14:paraId="059A663C">
            <w:pPr>
              <w:spacing w:before="30"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2103" w:type="dxa"/>
            <w:vAlign w:val="top"/>
          </w:tcPr>
          <w:p w14:paraId="6A96D4E8">
            <w:pPr>
              <w:pStyle w:val="6"/>
              <w:spacing w:before="61" w:line="228" w:lineRule="auto"/>
              <w:ind w:left="431"/>
            </w:pPr>
            <w:r>
              <w:rPr>
                <w:spacing w:val="7"/>
              </w:rPr>
              <w:t>混凝土运输泵</w:t>
            </w:r>
          </w:p>
        </w:tc>
        <w:tc>
          <w:tcPr>
            <w:tcW w:w="1493" w:type="dxa"/>
            <w:vAlign w:val="top"/>
          </w:tcPr>
          <w:p w14:paraId="0564EFC8">
            <w:pPr>
              <w:spacing w:before="30"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88~95</w:t>
            </w:r>
          </w:p>
        </w:tc>
      </w:tr>
      <w:tr w14:paraId="28BB6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0" w:type="dxa"/>
            <w:vAlign w:val="top"/>
          </w:tcPr>
          <w:p w14:paraId="3E3CD3DB">
            <w:pPr>
              <w:spacing w:before="99" w:line="192"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09" w:type="dxa"/>
            <w:vAlign w:val="top"/>
          </w:tcPr>
          <w:p w14:paraId="027C715A">
            <w:pPr>
              <w:pStyle w:val="6"/>
              <w:spacing w:before="60" w:line="229" w:lineRule="auto"/>
              <w:ind w:left="740"/>
            </w:pPr>
            <w:r>
              <w:rPr>
                <w:spacing w:val="7"/>
              </w:rPr>
              <w:t>木工电锯</w:t>
            </w:r>
          </w:p>
        </w:tc>
        <w:tc>
          <w:tcPr>
            <w:tcW w:w="1489" w:type="dxa"/>
            <w:vAlign w:val="top"/>
          </w:tcPr>
          <w:p w14:paraId="08E71357">
            <w:pPr>
              <w:spacing w:before="30"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95~99</w:t>
            </w:r>
          </w:p>
        </w:tc>
        <w:tc>
          <w:tcPr>
            <w:tcW w:w="876" w:type="dxa"/>
            <w:vAlign w:val="top"/>
          </w:tcPr>
          <w:p w14:paraId="7DF7703E">
            <w:pPr>
              <w:spacing w:before="30"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2103" w:type="dxa"/>
            <w:vAlign w:val="top"/>
          </w:tcPr>
          <w:p w14:paraId="25598F80">
            <w:pPr>
              <w:pStyle w:val="6"/>
              <w:spacing w:before="60" w:line="228" w:lineRule="auto"/>
              <w:ind w:left="742"/>
            </w:pPr>
            <w:r>
              <w:rPr>
                <w:spacing w:val="7"/>
              </w:rPr>
              <w:t>搅拌机</w:t>
            </w:r>
          </w:p>
        </w:tc>
        <w:tc>
          <w:tcPr>
            <w:tcW w:w="1493" w:type="dxa"/>
            <w:vAlign w:val="top"/>
          </w:tcPr>
          <w:p w14:paraId="126F30CE">
            <w:pPr>
              <w:spacing w:before="30"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85~90</w:t>
            </w:r>
          </w:p>
        </w:tc>
      </w:tr>
      <w:tr w14:paraId="7E824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80" w:type="dxa"/>
            <w:vAlign w:val="top"/>
          </w:tcPr>
          <w:p w14:paraId="3EB75379">
            <w:pPr>
              <w:spacing w:before="31"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309" w:type="dxa"/>
            <w:vAlign w:val="top"/>
          </w:tcPr>
          <w:p w14:paraId="327EAC22">
            <w:pPr>
              <w:pStyle w:val="6"/>
              <w:spacing w:before="62" w:line="228" w:lineRule="auto"/>
              <w:ind w:left="531"/>
            </w:pPr>
            <w:r>
              <w:rPr>
                <w:spacing w:val="7"/>
              </w:rPr>
              <w:t>各类型压路车</w:t>
            </w:r>
          </w:p>
        </w:tc>
        <w:tc>
          <w:tcPr>
            <w:tcW w:w="1489" w:type="dxa"/>
            <w:vAlign w:val="top"/>
          </w:tcPr>
          <w:p w14:paraId="5384A460">
            <w:pPr>
              <w:spacing w:before="31"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80~90</w:t>
            </w:r>
          </w:p>
        </w:tc>
        <w:tc>
          <w:tcPr>
            <w:tcW w:w="876" w:type="dxa"/>
            <w:vAlign w:val="top"/>
          </w:tcPr>
          <w:p w14:paraId="695BD9F9">
            <w:pPr>
              <w:spacing w:before="31"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2103" w:type="dxa"/>
            <w:vAlign w:val="top"/>
          </w:tcPr>
          <w:p w14:paraId="7ACAEE44">
            <w:pPr>
              <w:pStyle w:val="6"/>
              <w:spacing w:before="62" w:line="228" w:lineRule="auto"/>
              <w:ind w:left="431"/>
            </w:pPr>
            <w:r>
              <w:rPr>
                <w:spacing w:val="7"/>
              </w:rPr>
              <w:t>混凝土振捣器</w:t>
            </w:r>
          </w:p>
        </w:tc>
        <w:tc>
          <w:tcPr>
            <w:tcW w:w="1493" w:type="dxa"/>
            <w:vAlign w:val="top"/>
          </w:tcPr>
          <w:p w14:paraId="37C1A913">
            <w:pPr>
              <w:spacing w:before="31"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80~88</w:t>
            </w:r>
          </w:p>
        </w:tc>
      </w:tr>
      <w:tr w14:paraId="1BE55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0" w:type="dxa"/>
            <w:vAlign w:val="top"/>
          </w:tcPr>
          <w:p w14:paraId="589EB420">
            <w:pPr>
              <w:spacing w:before="100" w:line="192"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09" w:type="dxa"/>
            <w:vAlign w:val="top"/>
          </w:tcPr>
          <w:p w14:paraId="4105362D">
            <w:pPr>
              <w:pStyle w:val="6"/>
              <w:spacing w:before="62" w:line="234" w:lineRule="auto"/>
              <w:ind w:left="973"/>
            </w:pPr>
            <w:r>
              <w:rPr>
                <w:spacing w:val="-8"/>
              </w:rPr>
              <w:t>电锤</w:t>
            </w:r>
          </w:p>
        </w:tc>
        <w:tc>
          <w:tcPr>
            <w:tcW w:w="1489" w:type="dxa"/>
            <w:vAlign w:val="top"/>
          </w:tcPr>
          <w:p w14:paraId="1CD7553A">
            <w:pPr>
              <w:spacing w:before="31" w:line="274" w:lineRule="exact"/>
              <w:ind w:left="3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2"/>
                <w:position w:val="2"/>
                <w:sz w:val="20"/>
                <w:szCs w:val="20"/>
              </w:rPr>
              <w:t>105</w:t>
            </w:r>
          </w:p>
        </w:tc>
        <w:tc>
          <w:tcPr>
            <w:tcW w:w="876" w:type="dxa"/>
            <w:vAlign w:val="top"/>
          </w:tcPr>
          <w:p w14:paraId="41D7A20B">
            <w:pPr>
              <w:spacing w:before="31"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103" w:type="dxa"/>
            <w:vAlign w:val="top"/>
          </w:tcPr>
          <w:p w14:paraId="0CE356A0">
            <w:pPr>
              <w:pStyle w:val="6"/>
              <w:spacing w:before="61" w:line="228" w:lineRule="auto"/>
              <w:ind w:left="329"/>
            </w:pPr>
            <w:r>
              <w:rPr>
                <w:spacing w:val="7"/>
              </w:rPr>
              <w:t>云石机、角磨机</w:t>
            </w:r>
          </w:p>
        </w:tc>
        <w:tc>
          <w:tcPr>
            <w:tcW w:w="1493" w:type="dxa"/>
            <w:vAlign w:val="top"/>
          </w:tcPr>
          <w:p w14:paraId="3B0E575A">
            <w:pPr>
              <w:spacing w:before="31" w:line="274" w:lineRule="exact"/>
              <w:ind w:left="48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90~96</w:t>
            </w:r>
          </w:p>
        </w:tc>
      </w:tr>
      <w:tr w14:paraId="1413A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80" w:type="dxa"/>
            <w:vAlign w:val="top"/>
          </w:tcPr>
          <w:p w14:paraId="1B23DBEF">
            <w:pPr>
              <w:spacing w:before="32"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309" w:type="dxa"/>
            <w:vAlign w:val="top"/>
          </w:tcPr>
          <w:p w14:paraId="6B2530C1">
            <w:pPr>
              <w:pStyle w:val="6"/>
              <w:spacing w:before="62" w:line="229" w:lineRule="auto"/>
              <w:ind w:left="949"/>
            </w:pPr>
            <w:r>
              <w:rPr>
                <w:spacing w:val="4"/>
              </w:rPr>
              <w:t>夯锤</w:t>
            </w:r>
          </w:p>
        </w:tc>
        <w:tc>
          <w:tcPr>
            <w:tcW w:w="1489" w:type="dxa"/>
            <w:vAlign w:val="top"/>
          </w:tcPr>
          <w:p w14:paraId="158D5442">
            <w:pPr>
              <w:spacing w:before="32"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90~</w:t>
            </w:r>
            <w:r>
              <w:rPr>
                <w:rFonts w:ascii="Times New Roman" w:hAnsi="Times New Roman" w:eastAsia="Times New Roman" w:cs="Times New Roman"/>
                <w:spacing w:val="-22"/>
                <w:position w:val="2"/>
                <w:sz w:val="20"/>
                <w:szCs w:val="20"/>
              </w:rPr>
              <w:t xml:space="preserve"> </w:t>
            </w:r>
            <w:r>
              <w:rPr>
                <w:rFonts w:ascii="Times New Roman" w:hAnsi="Times New Roman" w:eastAsia="Times New Roman" w:cs="Times New Roman"/>
                <w:spacing w:val="-1"/>
                <w:position w:val="2"/>
                <w:sz w:val="20"/>
                <w:szCs w:val="20"/>
              </w:rPr>
              <w:t>100</w:t>
            </w:r>
          </w:p>
        </w:tc>
        <w:tc>
          <w:tcPr>
            <w:tcW w:w="876" w:type="dxa"/>
            <w:vAlign w:val="top"/>
          </w:tcPr>
          <w:p w14:paraId="513CDBBC">
            <w:pPr>
              <w:spacing w:before="32"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2103" w:type="dxa"/>
            <w:vAlign w:val="top"/>
          </w:tcPr>
          <w:p w14:paraId="6700FF25">
            <w:pPr>
              <w:pStyle w:val="6"/>
              <w:spacing w:before="62" w:line="228" w:lineRule="auto"/>
              <w:ind w:left="750"/>
            </w:pPr>
            <w:r>
              <w:rPr>
                <w:spacing w:val="4"/>
              </w:rPr>
              <w:t>空压机</w:t>
            </w:r>
          </w:p>
        </w:tc>
        <w:tc>
          <w:tcPr>
            <w:tcW w:w="1493" w:type="dxa"/>
            <w:vAlign w:val="top"/>
          </w:tcPr>
          <w:p w14:paraId="0414740B">
            <w:pPr>
              <w:spacing w:before="32"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88~92</w:t>
            </w:r>
          </w:p>
        </w:tc>
      </w:tr>
    </w:tbl>
    <w:p w14:paraId="5C6EC088">
      <w:pPr>
        <w:pStyle w:val="2"/>
        <w:spacing w:line="366" w:lineRule="auto"/>
      </w:pPr>
    </w:p>
    <w:p w14:paraId="3BF4827C">
      <w:pPr>
        <w:spacing w:before="78" w:line="374" w:lineRule="auto"/>
        <w:ind w:left="122" w:right="110" w:firstLine="479"/>
        <w:jc w:val="both"/>
        <w:rPr>
          <w:rFonts w:ascii="宋体" w:hAnsi="宋体" w:eastAsia="宋体" w:cs="宋体"/>
          <w:sz w:val="24"/>
          <w:szCs w:val="24"/>
        </w:rPr>
      </w:pPr>
      <w:r>
        <w:rPr>
          <w:rFonts w:ascii="宋体" w:hAnsi="宋体" w:eastAsia="宋体" w:cs="宋体"/>
          <w:spacing w:val="2"/>
          <w:sz w:val="24"/>
          <w:szCs w:val="24"/>
        </w:rPr>
        <w:t>施工期随着工程的展开，投入的施工设备也在变化。在施工初期，所选用的设</w:t>
      </w:r>
      <w:r>
        <w:rPr>
          <w:rFonts w:ascii="宋体" w:hAnsi="宋体" w:eastAsia="宋体" w:cs="宋体"/>
          <w:spacing w:val="11"/>
          <w:sz w:val="24"/>
          <w:szCs w:val="24"/>
        </w:rPr>
        <w:t xml:space="preserve"> </w:t>
      </w:r>
      <w:r>
        <w:rPr>
          <w:rFonts w:ascii="宋体" w:hAnsi="宋体" w:eastAsia="宋体" w:cs="宋体"/>
          <w:spacing w:val="2"/>
          <w:sz w:val="24"/>
          <w:szCs w:val="24"/>
        </w:rPr>
        <w:t>备以推土机、挖掘机和运输设备为主，之后使用较多的是压路机和运输设备等，后</w:t>
      </w:r>
      <w:r>
        <w:rPr>
          <w:rFonts w:ascii="宋体" w:hAnsi="宋体" w:eastAsia="宋体" w:cs="宋体"/>
          <w:spacing w:val="6"/>
          <w:sz w:val="24"/>
          <w:szCs w:val="24"/>
        </w:rPr>
        <w:t xml:space="preserve"> </w:t>
      </w:r>
      <w:r>
        <w:rPr>
          <w:rFonts w:ascii="宋体" w:hAnsi="宋体" w:eastAsia="宋体" w:cs="宋体"/>
          <w:spacing w:val="2"/>
          <w:sz w:val="24"/>
          <w:szCs w:val="24"/>
        </w:rPr>
        <w:t>期使用的产噪设备主要为切割机、电焊机、电锯、电刨等。固定声源一般功率大，</w:t>
      </w:r>
      <w:r>
        <w:rPr>
          <w:rFonts w:ascii="宋体" w:hAnsi="宋体" w:eastAsia="宋体" w:cs="宋体"/>
          <w:spacing w:val="8"/>
          <w:sz w:val="24"/>
          <w:szCs w:val="24"/>
        </w:rPr>
        <w:t xml:space="preserve"> </w:t>
      </w:r>
      <w:r>
        <w:rPr>
          <w:rFonts w:ascii="宋体" w:hAnsi="宋体" w:eastAsia="宋体" w:cs="宋体"/>
          <w:spacing w:val="2"/>
          <w:sz w:val="24"/>
          <w:szCs w:val="24"/>
        </w:rPr>
        <w:t>运行时间较长，对周围敏感目标的影响较大，影响程度主要取决于施工点与敏感目</w:t>
      </w:r>
      <w:r>
        <w:rPr>
          <w:rFonts w:ascii="宋体" w:hAnsi="宋体" w:eastAsia="宋体" w:cs="宋体"/>
          <w:spacing w:val="6"/>
          <w:sz w:val="24"/>
          <w:szCs w:val="24"/>
        </w:rPr>
        <w:t xml:space="preserve"> </w:t>
      </w:r>
      <w:r>
        <w:rPr>
          <w:rFonts w:ascii="宋体" w:hAnsi="宋体" w:eastAsia="宋体" w:cs="宋体"/>
          <w:spacing w:val="-3"/>
          <w:sz w:val="24"/>
          <w:szCs w:val="24"/>
        </w:rPr>
        <w:t>标的距离。由于本项目的所在地</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200m</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范围内没有居民</w:t>
      </w:r>
      <w:r>
        <w:rPr>
          <w:rFonts w:ascii="宋体" w:hAnsi="宋体" w:eastAsia="宋体" w:cs="宋体"/>
          <w:spacing w:val="-4"/>
          <w:sz w:val="24"/>
          <w:szCs w:val="24"/>
        </w:rPr>
        <w:t>、学校、医院、机关单位等环</w:t>
      </w:r>
      <w:r>
        <w:rPr>
          <w:rFonts w:ascii="宋体" w:hAnsi="宋体" w:eastAsia="宋体" w:cs="宋体"/>
          <w:sz w:val="24"/>
          <w:szCs w:val="24"/>
        </w:rPr>
        <w:t xml:space="preserve"> 境敏感点。因此施工期间，噪声经过距离衰减后</w:t>
      </w:r>
      <w:r>
        <w:rPr>
          <w:rFonts w:ascii="宋体" w:hAnsi="宋体" w:eastAsia="宋体" w:cs="宋体"/>
          <w:spacing w:val="-1"/>
          <w:sz w:val="24"/>
          <w:szCs w:val="24"/>
        </w:rPr>
        <w:t>，对周围环境影响较小。</w:t>
      </w:r>
    </w:p>
    <w:p w14:paraId="3D78C372">
      <w:pPr>
        <w:spacing w:before="317" w:line="221"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3.4.4</w:t>
      </w:r>
      <w:r>
        <w:rPr>
          <w:rFonts w:ascii="宋体" w:hAnsi="宋体" w:eastAsia="宋体" w:cs="宋体"/>
          <w:b/>
          <w:bCs/>
          <w:spacing w:val="-2"/>
          <w:sz w:val="24"/>
          <w:szCs w:val="24"/>
        </w:rPr>
        <w:t>施工期固废</w:t>
      </w:r>
    </w:p>
    <w:p w14:paraId="369AF2CB">
      <w:pPr>
        <w:pStyle w:val="2"/>
        <w:spacing w:line="279" w:lineRule="auto"/>
      </w:pPr>
    </w:p>
    <w:p w14:paraId="70E2E69F">
      <w:pPr>
        <w:spacing w:before="78" w:line="219" w:lineRule="auto"/>
        <w:ind w:left="603"/>
        <w:rPr>
          <w:rFonts w:ascii="宋体" w:hAnsi="宋体" w:eastAsia="宋体" w:cs="宋体"/>
          <w:sz w:val="24"/>
          <w:szCs w:val="24"/>
        </w:rPr>
      </w:pPr>
      <w:r>
        <w:rPr>
          <w:rFonts w:ascii="宋体" w:hAnsi="宋体" w:eastAsia="宋体" w:cs="宋体"/>
          <w:spacing w:val="-1"/>
          <w:sz w:val="24"/>
          <w:szCs w:val="24"/>
        </w:rPr>
        <w:t>本项目施工期固体废物来源主要是建筑垃圾和施工人员生活垃圾。</w:t>
      </w:r>
    </w:p>
    <w:p w14:paraId="79AC095F">
      <w:pPr>
        <w:spacing w:before="168" w:line="377" w:lineRule="auto"/>
        <w:ind w:left="124" w:right="113" w:firstLine="479"/>
        <w:rPr>
          <w:rFonts w:ascii="宋体" w:hAnsi="宋体" w:eastAsia="宋体" w:cs="宋体"/>
          <w:sz w:val="24"/>
          <w:szCs w:val="24"/>
        </w:rPr>
      </w:pPr>
      <w:r>
        <w:rPr>
          <w:rFonts w:ascii="宋体" w:hAnsi="宋体" w:eastAsia="宋体" w:cs="宋体"/>
          <w:spacing w:val="-1"/>
          <w:sz w:val="24"/>
          <w:szCs w:val="24"/>
        </w:rPr>
        <w:t>本项目建筑面积为</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8346m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2"/>
          <w:position w:val="8"/>
          <w:sz w:val="15"/>
          <w:szCs w:val="15"/>
        </w:rPr>
        <w:t xml:space="preserve"> </w:t>
      </w:r>
      <w:r>
        <w:rPr>
          <w:rFonts w:ascii="宋体" w:hAnsi="宋体" w:eastAsia="宋体" w:cs="宋体"/>
          <w:spacing w:val="-1"/>
          <w:sz w:val="24"/>
          <w:szCs w:val="24"/>
        </w:rPr>
        <w:t>，经过与企业施工期固废排放情况类比，</w:t>
      </w:r>
      <w:r>
        <w:rPr>
          <w:rFonts w:ascii="宋体" w:hAnsi="宋体" w:eastAsia="宋体" w:cs="宋体"/>
          <w:spacing w:val="-2"/>
          <w:sz w:val="24"/>
          <w:szCs w:val="24"/>
        </w:rPr>
        <w:t>每平方米建</w:t>
      </w:r>
      <w:r>
        <w:rPr>
          <w:rFonts w:ascii="宋体" w:hAnsi="宋体" w:eastAsia="宋体" w:cs="宋体"/>
          <w:sz w:val="24"/>
          <w:szCs w:val="24"/>
        </w:rPr>
        <w:t xml:space="preserve"> 筑面积产生建筑垃圾约</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4.4kg</w:t>
      </w:r>
      <w:r>
        <w:rPr>
          <w:rFonts w:ascii="Times New Roman" w:hAnsi="Times New Roman" w:eastAsia="Times New Roman" w:cs="Times New Roman"/>
          <w:spacing w:val="-24"/>
          <w:sz w:val="24"/>
          <w:szCs w:val="24"/>
        </w:rPr>
        <w:t xml:space="preserve"> </w:t>
      </w:r>
      <w:r>
        <w:rPr>
          <w:rFonts w:ascii="宋体" w:hAnsi="宋体" w:eastAsia="宋体" w:cs="宋体"/>
          <w:sz w:val="24"/>
          <w:szCs w:val="24"/>
        </w:rPr>
        <w:t>。故本项目施工期将产生约</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 xml:space="preserve">36.7t </w:t>
      </w:r>
      <w:r>
        <w:rPr>
          <w:rFonts w:ascii="宋体" w:hAnsi="宋体" w:eastAsia="宋体" w:cs="宋体"/>
          <w:sz w:val="24"/>
          <w:szCs w:val="24"/>
        </w:rPr>
        <w:t xml:space="preserve">建筑垃圾，其主要成 </w:t>
      </w:r>
      <w:r>
        <w:rPr>
          <w:rFonts w:ascii="宋体" w:hAnsi="宋体" w:eastAsia="宋体" w:cs="宋体"/>
          <w:spacing w:val="2"/>
          <w:sz w:val="24"/>
          <w:szCs w:val="24"/>
        </w:rPr>
        <w:t>分是：废弃的沙土石、水泥、木屑、碎木快、弃砖、水泥袋、纤维、塑料泡沫、碎</w:t>
      </w:r>
      <w:r>
        <w:rPr>
          <w:rFonts w:ascii="宋体" w:hAnsi="宋体" w:eastAsia="宋体" w:cs="宋体"/>
          <w:spacing w:val="4"/>
          <w:sz w:val="24"/>
          <w:szCs w:val="24"/>
        </w:rPr>
        <w:t xml:space="preserve"> </w:t>
      </w:r>
      <w:r>
        <w:rPr>
          <w:rFonts w:ascii="宋体" w:hAnsi="宋体" w:eastAsia="宋体" w:cs="宋体"/>
          <w:spacing w:val="2"/>
          <w:sz w:val="24"/>
          <w:szCs w:val="24"/>
        </w:rPr>
        <w:t>玻璃、废瓷砖等。产生的建筑垃圾可以回收的收集后外售给废品收购站，不能回收</w:t>
      </w:r>
      <w:r>
        <w:rPr>
          <w:rFonts w:ascii="宋体" w:hAnsi="宋体" w:eastAsia="宋体" w:cs="宋体"/>
          <w:spacing w:val="4"/>
          <w:sz w:val="24"/>
          <w:szCs w:val="24"/>
        </w:rPr>
        <w:t xml:space="preserve"> </w:t>
      </w:r>
      <w:r>
        <w:rPr>
          <w:rFonts w:ascii="宋体" w:hAnsi="宋体" w:eastAsia="宋体" w:cs="宋体"/>
          <w:spacing w:val="-1"/>
          <w:sz w:val="24"/>
          <w:szCs w:val="24"/>
        </w:rPr>
        <w:t>的外运至相关收纳场处理。</w:t>
      </w:r>
    </w:p>
    <w:p w14:paraId="7F615148">
      <w:pPr>
        <w:spacing w:line="377" w:lineRule="auto"/>
        <w:rPr>
          <w:rFonts w:ascii="宋体" w:hAnsi="宋体" w:eastAsia="宋体" w:cs="宋体"/>
          <w:sz w:val="24"/>
          <w:szCs w:val="24"/>
        </w:rPr>
        <w:sectPr>
          <w:footerReference r:id="rId75" w:type="default"/>
          <w:pgSz w:w="11906" w:h="16839"/>
          <w:pgMar w:top="400" w:right="1475" w:bottom="1485" w:left="1475" w:header="0" w:footer="1249" w:gutter="0"/>
          <w:cols w:space="720" w:num="1"/>
        </w:sectPr>
      </w:pPr>
    </w:p>
    <w:p w14:paraId="3561F2E7">
      <w:pPr>
        <w:pStyle w:val="2"/>
        <w:spacing w:line="255" w:lineRule="auto"/>
      </w:pPr>
    </w:p>
    <w:p w14:paraId="6AB571EC">
      <w:pPr>
        <w:pStyle w:val="2"/>
        <w:spacing w:line="255" w:lineRule="auto"/>
      </w:pPr>
    </w:p>
    <w:p w14:paraId="3F38AE40">
      <w:pPr>
        <w:pStyle w:val="2"/>
        <w:spacing w:line="255" w:lineRule="auto"/>
      </w:pPr>
    </w:p>
    <w:p w14:paraId="728EDF62">
      <w:pPr>
        <w:pStyle w:val="2"/>
        <w:spacing w:line="256" w:lineRule="auto"/>
      </w:pPr>
    </w:p>
    <w:p w14:paraId="21C517B6">
      <w:pPr>
        <w:spacing w:before="78" w:line="367" w:lineRule="auto"/>
        <w:ind w:left="122" w:right="113" w:firstLine="479"/>
        <w:jc w:val="both"/>
        <w:rPr>
          <w:rFonts w:ascii="宋体" w:hAnsi="宋体" w:eastAsia="宋体" w:cs="宋体"/>
          <w:sz w:val="24"/>
          <w:szCs w:val="24"/>
        </w:rPr>
      </w:pPr>
      <w:r>
        <w:rPr>
          <w:rFonts w:ascii="宋体" w:hAnsi="宋体" w:eastAsia="宋体" w:cs="宋体"/>
          <w:spacing w:val="-1"/>
          <w:sz w:val="24"/>
          <w:szCs w:val="24"/>
        </w:rPr>
        <w:t>施工人员每天产生的生活垃圾数量因在场人员数</w:t>
      </w:r>
      <w:r>
        <w:rPr>
          <w:rFonts w:ascii="宋体" w:hAnsi="宋体" w:eastAsia="宋体" w:cs="宋体"/>
          <w:spacing w:val="-2"/>
          <w:sz w:val="24"/>
          <w:szCs w:val="24"/>
        </w:rPr>
        <w:t>量而异，按进场施工人数</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30 </w:t>
      </w:r>
      <w:r>
        <w:rPr>
          <w:rFonts w:ascii="宋体" w:hAnsi="宋体" w:eastAsia="宋体" w:cs="宋体"/>
          <w:spacing w:val="-2"/>
          <w:sz w:val="24"/>
          <w:szCs w:val="24"/>
        </w:rPr>
        <w:t>人</w:t>
      </w:r>
      <w:r>
        <w:rPr>
          <w:rFonts w:ascii="宋体" w:hAnsi="宋体" w:eastAsia="宋体" w:cs="宋体"/>
          <w:sz w:val="24"/>
          <w:szCs w:val="24"/>
        </w:rPr>
        <w:t xml:space="preserve"> </w:t>
      </w:r>
      <w:r>
        <w:rPr>
          <w:rFonts w:ascii="宋体" w:hAnsi="宋体" w:eastAsia="宋体" w:cs="宋体"/>
          <w:spacing w:val="1"/>
          <w:sz w:val="24"/>
          <w:szCs w:val="24"/>
        </w:rPr>
        <w:t>计，生活垃圾产生系数取</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0.5</w:t>
      </w:r>
      <w:r>
        <w:rPr>
          <w:rFonts w:ascii="Times New Roman" w:hAnsi="Times New Roman" w:eastAsia="Times New Roman" w:cs="Times New Roman"/>
          <w:sz w:val="24"/>
          <w:szCs w:val="24"/>
        </w:rPr>
        <w:t>kg</w:t>
      </w:r>
      <w:r>
        <w:rPr>
          <w:rFonts w:ascii="Times New Roman" w:hAnsi="Times New Roman" w:eastAsia="Times New Roman" w:cs="Times New Roman"/>
          <w:spacing w:val="1"/>
          <w:sz w:val="24"/>
          <w:szCs w:val="24"/>
        </w:rPr>
        <w:t>/</w:t>
      </w:r>
      <w:r>
        <w:rPr>
          <w:rFonts w:ascii="宋体" w:hAnsi="宋体" w:eastAsia="宋体" w:cs="宋体"/>
          <w:spacing w:val="1"/>
          <w:sz w:val="24"/>
          <w:szCs w:val="24"/>
        </w:rPr>
        <w:t>人</w:t>
      </w:r>
      <w:r>
        <w:rPr>
          <w:rFonts w:ascii="Times New Roman" w:hAnsi="Times New Roman" w:eastAsia="Times New Roman" w:cs="Times New Roman"/>
          <w:spacing w:val="1"/>
          <w:sz w:val="24"/>
          <w:szCs w:val="24"/>
        </w:rPr>
        <w:t>∙</w:t>
      </w:r>
      <w:r>
        <w:rPr>
          <w:rFonts w:ascii="宋体" w:hAnsi="宋体" w:eastAsia="宋体" w:cs="宋体"/>
          <w:spacing w:val="1"/>
          <w:sz w:val="24"/>
          <w:szCs w:val="24"/>
        </w:rPr>
        <w:t>天，施工期</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个月，则项目施工人员的生活垃圾</w:t>
      </w:r>
      <w:r>
        <w:rPr>
          <w:rFonts w:ascii="宋体" w:hAnsi="宋体" w:eastAsia="宋体" w:cs="宋体"/>
          <w:sz w:val="24"/>
          <w:szCs w:val="24"/>
        </w:rPr>
        <w:t xml:space="preserve"> </w:t>
      </w:r>
      <w:r>
        <w:rPr>
          <w:rFonts w:ascii="宋体" w:hAnsi="宋体" w:eastAsia="宋体" w:cs="宋体"/>
          <w:spacing w:val="-3"/>
          <w:sz w:val="24"/>
          <w:szCs w:val="24"/>
        </w:rPr>
        <w:t>产生量为</w:t>
      </w:r>
      <w:r>
        <w:rPr>
          <w:rFonts w:ascii="宋体" w:hAnsi="宋体" w:eastAsia="宋体" w:cs="宋体"/>
          <w:spacing w:val="-18"/>
          <w:sz w:val="24"/>
          <w:szCs w:val="24"/>
        </w:rPr>
        <w:t xml:space="preserve"> </w:t>
      </w:r>
      <w:r>
        <w:rPr>
          <w:rFonts w:ascii="Times New Roman" w:hAnsi="Times New Roman" w:eastAsia="Times New Roman" w:cs="Times New Roman"/>
          <w:spacing w:val="-3"/>
          <w:sz w:val="24"/>
          <w:szCs w:val="24"/>
        </w:rPr>
        <w:t>15kg/d</w:t>
      </w:r>
      <w:r>
        <w:rPr>
          <w:rFonts w:ascii="宋体" w:hAnsi="宋体" w:eastAsia="宋体" w:cs="宋体"/>
          <w:spacing w:val="-3"/>
          <w:sz w:val="24"/>
          <w:szCs w:val="24"/>
        </w:rPr>
        <w:t>（</w:t>
      </w:r>
      <w:r>
        <w:rPr>
          <w:rFonts w:ascii="Times New Roman" w:hAnsi="Times New Roman" w:eastAsia="Times New Roman" w:cs="Times New Roman"/>
          <w:spacing w:val="-3"/>
          <w:sz w:val="24"/>
          <w:szCs w:val="24"/>
        </w:rPr>
        <w:t>2.25t</w:t>
      </w:r>
      <w:r>
        <w:rPr>
          <w:rFonts w:ascii="宋体" w:hAnsi="宋体" w:eastAsia="宋体" w:cs="宋体"/>
          <w:spacing w:val="-3"/>
          <w:sz w:val="24"/>
          <w:szCs w:val="24"/>
        </w:rPr>
        <w:t>）。</w:t>
      </w:r>
    </w:p>
    <w:p w14:paraId="146C05C7">
      <w:pPr>
        <w:spacing w:before="88" w:line="228" w:lineRule="auto"/>
        <w:ind w:left="303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 xml:space="preserve">3.4-5  </w:t>
      </w:r>
      <w:r>
        <w:rPr>
          <w:rFonts w:ascii="宋体" w:hAnsi="宋体" w:eastAsia="宋体" w:cs="宋体"/>
          <w:b/>
          <w:bCs/>
          <w:spacing w:val="6"/>
          <w:sz w:val="20"/>
          <w:szCs w:val="20"/>
        </w:rPr>
        <w:t>施工期固废产生情况一览表</w:t>
      </w:r>
    </w:p>
    <w:p w14:paraId="5D87D4D4">
      <w:pPr>
        <w:spacing w:line="101"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75"/>
        <w:gridCol w:w="4475"/>
      </w:tblGrid>
      <w:tr w14:paraId="4189A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4475" w:type="dxa"/>
            <w:vAlign w:val="top"/>
          </w:tcPr>
          <w:p w14:paraId="3D46508A">
            <w:pPr>
              <w:pStyle w:val="6"/>
              <w:spacing w:before="64" w:line="229" w:lineRule="auto"/>
              <w:ind w:left="1841"/>
            </w:pPr>
            <w:r>
              <w:rPr>
                <w:b/>
                <w:bCs/>
                <w:spacing w:val="2"/>
              </w:rPr>
              <w:t>固废名称</w:t>
            </w:r>
          </w:p>
        </w:tc>
        <w:tc>
          <w:tcPr>
            <w:tcW w:w="4475" w:type="dxa"/>
            <w:vAlign w:val="top"/>
          </w:tcPr>
          <w:p w14:paraId="50A0C036">
            <w:pPr>
              <w:pStyle w:val="6"/>
              <w:spacing w:before="64" w:line="228" w:lineRule="auto"/>
              <w:ind w:left="1927"/>
            </w:pPr>
            <w:r>
              <w:rPr>
                <w:b/>
                <w:bCs/>
                <w:spacing w:val="5"/>
              </w:rPr>
              <w:t>产生量</w:t>
            </w:r>
          </w:p>
        </w:tc>
      </w:tr>
      <w:tr w14:paraId="35A79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475" w:type="dxa"/>
            <w:vAlign w:val="top"/>
          </w:tcPr>
          <w:p w14:paraId="3DCE1E3F">
            <w:pPr>
              <w:pStyle w:val="6"/>
              <w:spacing w:before="61" w:line="229" w:lineRule="auto"/>
              <w:ind w:left="1825"/>
            </w:pPr>
            <w:r>
              <w:rPr>
                <w:spacing w:val="6"/>
              </w:rPr>
              <w:t>建筑垃圾</w:t>
            </w:r>
          </w:p>
        </w:tc>
        <w:tc>
          <w:tcPr>
            <w:tcW w:w="4475" w:type="dxa"/>
            <w:vAlign w:val="top"/>
          </w:tcPr>
          <w:p w14:paraId="18EBE9DA">
            <w:pPr>
              <w:spacing w:before="30" w:line="274" w:lineRule="exact"/>
              <w:ind w:left="20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36.7t</w:t>
            </w:r>
          </w:p>
        </w:tc>
      </w:tr>
      <w:tr w14:paraId="4B0E1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4475" w:type="dxa"/>
            <w:vAlign w:val="top"/>
          </w:tcPr>
          <w:p w14:paraId="0B8A029D">
            <w:pPr>
              <w:pStyle w:val="6"/>
              <w:spacing w:before="63" w:line="229" w:lineRule="auto"/>
              <w:ind w:left="1824"/>
            </w:pPr>
            <w:r>
              <w:rPr>
                <w:spacing w:val="6"/>
              </w:rPr>
              <w:t>生活垃圾</w:t>
            </w:r>
          </w:p>
        </w:tc>
        <w:tc>
          <w:tcPr>
            <w:tcW w:w="4475" w:type="dxa"/>
            <w:vAlign w:val="top"/>
          </w:tcPr>
          <w:p w14:paraId="539210EB">
            <w:pPr>
              <w:spacing w:before="32" w:line="274" w:lineRule="exact"/>
              <w:ind w:left="20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2.25t</w:t>
            </w:r>
          </w:p>
        </w:tc>
      </w:tr>
    </w:tbl>
    <w:p w14:paraId="4321A308">
      <w:pPr>
        <w:pStyle w:val="2"/>
        <w:spacing w:line="344" w:lineRule="auto"/>
      </w:pPr>
    </w:p>
    <w:p w14:paraId="1E613071">
      <w:pPr>
        <w:spacing w:before="78" w:line="220"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3.4.5</w:t>
      </w:r>
      <w:r>
        <w:rPr>
          <w:rFonts w:ascii="宋体" w:hAnsi="宋体" w:eastAsia="宋体" w:cs="宋体"/>
          <w:b/>
          <w:bCs/>
          <w:spacing w:val="-2"/>
          <w:sz w:val="24"/>
          <w:szCs w:val="24"/>
        </w:rPr>
        <w:t>水土流失分析</w:t>
      </w:r>
    </w:p>
    <w:p w14:paraId="14AA0A84">
      <w:pPr>
        <w:pStyle w:val="2"/>
        <w:spacing w:line="273" w:lineRule="auto"/>
      </w:pPr>
    </w:p>
    <w:p w14:paraId="72146B5B">
      <w:pPr>
        <w:spacing w:before="78" w:line="374" w:lineRule="auto"/>
        <w:ind w:left="121" w:right="110" w:firstLine="480"/>
        <w:jc w:val="both"/>
        <w:rPr>
          <w:rFonts w:ascii="宋体" w:hAnsi="宋体" w:eastAsia="宋体" w:cs="宋体"/>
          <w:sz w:val="24"/>
          <w:szCs w:val="24"/>
        </w:rPr>
      </w:pPr>
      <w:r>
        <w:rPr>
          <w:rFonts w:ascii="宋体" w:hAnsi="宋体" w:eastAsia="宋体" w:cs="宋体"/>
          <w:spacing w:val="2"/>
          <w:sz w:val="24"/>
          <w:szCs w:val="24"/>
        </w:rPr>
        <w:t>施工期导致水土流失的主要原因是地表开挖、弃土堆放及暴雨。项目土建施工</w:t>
      </w:r>
      <w:r>
        <w:rPr>
          <w:rFonts w:ascii="宋体" w:hAnsi="宋体" w:eastAsia="宋体" w:cs="宋体"/>
          <w:spacing w:val="11"/>
          <w:sz w:val="24"/>
          <w:szCs w:val="24"/>
        </w:rPr>
        <w:t xml:space="preserve"> </w:t>
      </w:r>
      <w:r>
        <w:rPr>
          <w:rFonts w:ascii="宋体" w:hAnsi="宋体" w:eastAsia="宋体" w:cs="宋体"/>
          <w:spacing w:val="2"/>
          <w:sz w:val="24"/>
          <w:szCs w:val="24"/>
        </w:rPr>
        <w:t>是引起水土流失的工程因素，在施工过程中，土壤暴露在雨、风和其它干扰之下，</w:t>
      </w:r>
      <w:r>
        <w:rPr>
          <w:rFonts w:ascii="宋体" w:hAnsi="宋体" w:eastAsia="宋体" w:cs="宋体"/>
          <w:spacing w:val="10"/>
          <w:sz w:val="24"/>
          <w:szCs w:val="24"/>
        </w:rPr>
        <w:t xml:space="preserve"> </w:t>
      </w:r>
      <w:r>
        <w:rPr>
          <w:rFonts w:ascii="宋体" w:hAnsi="宋体" w:eastAsia="宋体" w:cs="宋体"/>
          <w:spacing w:val="2"/>
          <w:sz w:val="24"/>
          <w:szCs w:val="24"/>
        </w:rPr>
        <w:t>另外，大量的土方填挖，陡坡、边坡的形成和整理、弃土的堆放等，会使土壤暴露</w:t>
      </w:r>
      <w:r>
        <w:rPr>
          <w:rFonts w:ascii="宋体" w:hAnsi="宋体" w:eastAsia="宋体" w:cs="宋体"/>
          <w:spacing w:val="8"/>
          <w:sz w:val="24"/>
          <w:szCs w:val="24"/>
        </w:rPr>
        <w:t xml:space="preserve"> </w:t>
      </w:r>
      <w:r>
        <w:rPr>
          <w:rFonts w:ascii="宋体" w:hAnsi="宋体" w:eastAsia="宋体" w:cs="宋体"/>
          <w:spacing w:val="2"/>
          <w:sz w:val="24"/>
          <w:szCs w:val="24"/>
        </w:rPr>
        <w:t>情况加剧，土壤结构会受到破坏，土壤抵抗侵蚀的能力将会大大减弱，项目所在地</w:t>
      </w:r>
      <w:r>
        <w:rPr>
          <w:rFonts w:ascii="宋体" w:hAnsi="宋体" w:eastAsia="宋体" w:cs="宋体"/>
          <w:spacing w:val="8"/>
          <w:sz w:val="24"/>
          <w:szCs w:val="24"/>
        </w:rPr>
        <w:t xml:space="preserve"> </w:t>
      </w:r>
      <w:r>
        <w:rPr>
          <w:rFonts w:ascii="宋体" w:hAnsi="宋体" w:eastAsia="宋体" w:cs="宋体"/>
          <w:spacing w:val="-2"/>
          <w:sz w:val="24"/>
          <w:szCs w:val="24"/>
        </w:rPr>
        <w:t>年均降雨量</w:t>
      </w:r>
      <w:r>
        <w:rPr>
          <w:rFonts w:ascii="宋体" w:hAnsi="宋体" w:eastAsia="宋体" w:cs="宋体"/>
          <w:spacing w:val="-20"/>
          <w:sz w:val="24"/>
          <w:szCs w:val="24"/>
        </w:rPr>
        <w:t xml:space="preserve"> </w:t>
      </w:r>
      <w:r>
        <w:rPr>
          <w:rFonts w:ascii="Times New Roman" w:hAnsi="Times New Roman" w:eastAsia="Times New Roman" w:cs="Times New Roman"/>
          <w:spacing w:val="-2"/>
          <w:sz w:val="24"/>
          <w:szCs w:val="24"/>
        </w:rPr>
        <w:t xml:space="preserve">1700 </w:t>
      </w:r>
      <w:r>
        <w:rPr>
          <w:rFonts w:ascii="宋体" w:hAnsi="宋体" w:eastAsia="宋体" w:cs="宋体"/>
          <w:spacing w:val="-2"/>
          <w:sz w:val="24"/>
          <w:szCs w:val="24"/>
        </w:rPr>
        <w:t>毫米以上，夏季暴雨较集中，降雨大，降雨时间长，在暴雨中由降</w:t>
      </w:r>
      <w:r>
        <w:rPr>
          <w:rFonts w:ascii="宋体" w:hAnsi="宋体" w:eastAsia="宋体" w:cs="宋体"/>
          <w:sz w:val="24"/>
          <w:szCs w:val="24"/>
        </w:rPr>
        <w:t xml:space="preserve"> 雨所产生的土壤侵蚀，将会造成项目建设施工</w:t>
      </w:r>
      <w:r>
        <w:rPr>
          <w:rFonts w:ascii="宋体" w:hAnsi="宋体" w:eastAsia="宋体" w:cs="宋体"/>
          <w:spacing w:val="-1"/>
          <w:sz w:val="24"/>
          <w:szCs w:val="24"/>
        </w:rPr>
        <w:t>过程中的水土流失。</w:t>
      </w:r>
    </w:p>
    <w:p w14:paraId="446E4A89">
      <w:pPr>
        <w:spacing w:before="21" w:line="377" w:lineRule="auto"/>
        <w:ind w:left="125" w:right="113" w:firstLine="476"/>
        <w:jc w:val="both"/>
        <w:rPr>
          <w:rFonts w:ascii="宋体" w:hAnsi="宋体" w:eastAsia="宋体" w:cs="宋体"/>
          <w:sz w:val="24"/>
          <w:szCs w:val="24"/>
        </w:rPr>
      </w:pPr>
      <w:r>
        <w:rPr>
          <w:rFonts w:ascii="宋体" w:hAnsi="宋体" w:eastAsia="宋体" w:cs="宋体"/>
          <w:spacing w:val="2"/>
          <w:sz w:val="24"/>
          <w:szCs w:val="24"/>
        </w:rPr>
        <w:t>施工过程中的水土流失，不但会影响工程进度和工程质量，而且还产生泥沙作</w:t>
      </w:r>
      <w:r>
        <w:rPr>
          <w:rFonts w:ascii="宋体" w:hAnsi="宋体" w:eastAsia="宋体" w:cs="宋体"/>
          <w:spacing w:val="11"/>
          <w:sz w:val="24"/>
          <w:szCs w:val="24"/>
        </w:rPr>
        <w:t xml:space="preserve"> </w:t>
      </w:r>
      <w:r>
        <w:rPr>
          <w:rFonts w:ascii="宋体" w:hAnsi="宋体" w:eastAsia="宋体" w:cs="宋体"/>
          <w:spacing w:val="2"/>
          <w:sz w:val="24"/>
          <w:szCs w:val="24"/>
        </w:rPr>
        <w:t>为一种废物或污染物往外排放，对周围环境产生较为严重的影响：在施工场地上，</w:t>
      </w:r>
      <w:r>
        <w:rPr>
          <w:rFonts w:ascii="宋体" w:hAnsi="宋体" w:eastAsia="宋体" w:cs="宋体"/>
          <w:spacing w:val="3"/>
          <w:sz w:val="24"/>
          <w:szCs w:val="24"/>
        </w:rPr>
        <w:t xml:space="preserve"> 雨水径流将以</w:t>
      </w:r>
      <w:r>
        <w:rPr>
          <w:rFonts w:ascii="Times New Roman" w:hAnsi="Times New Roman" w:eastAsia="Times New Roman" w:cs="Times New Roman"/>
          <w:spacing w:val="3"/>
          <w:sz w:val="24"/>
          <w:szCs w:val="24"/>
        </w:rPr>
        <w:t>“</w:t>
      </w:r>
      <w:r>
        <w:rPr>
          <w:rFonts w:ascii="宋体" w:hAnsi="宋体" w:eastAsia="宋体" w:cs="宋体"/>
          <w:spacing w:val="3"/>
          <w:sz w:val="24"/>
          <w:szCs w:val="24"/>
        </w:rPr>
        <w:t>黄泥水</w:t>
      </w:r>
      <w:r>
        <w:rPr>
          <w:rFonts w:ascii="Times New Roman" w:hAnsi="Times New Roman" w:eastAsia="Times New Roman" w:cs="Times New Roman"/>
          <w:spacing w:val="3"/>
          <w:sz w:val="24"/>
          <w:szCs w:val="24"/>
        </w:rPr>
        <w:t>”</w:t>
      </w:r>
      <w:r>
        <w:rPr>
          <w:rFonts w:ascii="宋体" w:hAnsi="宋体" w:eastAsia="宋体" w:cs="宋体"/>
          <w:spacing w:val="3"/>
          <w:sz w:val="24"/>
          <w:szCs w:val="24"/>
        </w:rPr>
        <w:t>的形式排入水体，对水环境造成影响；</w:t>
      </w:r>
      <w:r>
        <w:rPr>
          <w:rFonts w:ascii="宋体" w:hAnsi="宋体" w:eastAsia="宋体" w:cs="宋体"/>
          <w:spacing w:val="2"/>
          <w:sz w:val="24"/>
          <w:szCs w:val="24"/>
        </w:rPr>
        <w:t>同时，泥浆水还会夹</w:t>
      </w:r>
      <w:r>
        <w:rPr>
          <w:rFonts w:ascii="宋体" w:hAnsi="宋体" w:eastAsia="宋体" w:cs="宋体"/>
          <w:sz w:val="24"/>
          <w:szCs w:val="24"/>
        </w:rPr>
        <w:t xml:space="preserve"> </w:t>
      </w:r>
      <w:r>
        <w:rPr>
          <w:rFonts w:ascii="宋体" w:hAnsi="宋体" w:eastAsia="宋体" w:cs="宋体"/>
          <w:spacing w:val="-1"/>
          <w:sz w:val="24"/>
          <w:szCs w:val="24"/>
        </w:rPr>
        <w:t>带施工场地上的水泥等污染物进入水体，造成下游水体污染。</w:t>
      </w:r>
    </w:p>
    <w:p w14:paraId="7CE21006">
      <w:pPr>
        <w:spacing w:before="298" w:line="225" w:lineRule="auto"/>
        <w:ind w:left="118"/>
        <w:outlineLvl w:val="1"/>
        <w:rPr>
          <w:rFonts w:ascii="宋体" w:hAnsi="宋体" w:eastAsia="宋体" w:cs="宋体"/>
          <w:sz w:val="31"/>
          <w:szCs w:val="31"/>
        </w:rPr>
      </w:pPr>
      <w:bookmarkStart w:id="24" w:name="bookmark22"/>
      <w:bookmarkEnd w:id="24"/>
      <w:r>
        <w:rPr>
          <w:rFonts w:ascii="Times New Roman" w:hAnsi="Times New Roman" w:eastAsia="Times New Roman" w:cs="Times New Roman"/>
          <w:b/>
          <w:bCs/>
          <w:spacing w:val="6"/>
          <w:sz w:val="31"/>
          <w:szCs w:val="31"/>
        </w:rPr>
        <w:t>3.5</w:t>
      </w:r>
      <w:r>
        <w:rPr>
          <w:rFonts w:ascii="宋体" w:hAnsi="宋体" w:eastAsia="宋体" w:cs="宋体"/>
          <w:b/>
          <w:bCs/>
          <w:spacing w:val="6"/>
          <w:sz w:val="31"/>
          <w:szCs w:val="31"/>
        </w:rPr>
        <w:t>运营期污染因素分析</w:t>
      </w:r>
    </w:p>
    <w:p w14:paraId="75EB79F3">
      <w:pPr>
        <w:pStyle w:val="2"/>
        <w:spacing w:line="410" w:lineRule="auto"/>
      </w:pPr>
    </w:p>
    <w:p w14:paraId="67782B5F">
      <w:pPr>
        <w:spacing w:before="79" w:line="220"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3.5.1</w:t>
      </w:r>
      <w:r>
        <w:rPr>
          <w:rFonts w:ascii="宋体" w:hAnsi="宋体" w:eastAsia="宋体" w:cs="宋体"/>
          <w:b/>
          <w:bCs/>
          <w:spacing w:val="-2"/>
          <w:sz w:val="24"/>
          <w:szCs w:val="24"/>
        </w:rPr>
        <w:t>水污染源</w:t>
      </w:r>
    </w:p>
    <w:p w14:paraId="24B22638">
      <w:pPr>
        <w:spacing w:before="203" w:line="220" w:lineRule="auto"/>
        <w:ind w:left="609"/>
        <w:rPr>
          <w:rFonts w:ascii="宋体" w:hAnsi="宋体" w:eastAsia="宋体" w:cs="宋体"/>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7"/>
          <w:sz w:val="24"/>
          <w:szCs w:val="24"/>
        </w:rPr>
        <w:t xml:space="preserve"> </w:t>
      </w:r>
      <w:r>
        <w:rPr>
          <w:rFonts w:ascii="宋体" w:hAnsi="宋体" w:eastAsia="宋体" w:cs="宋体"/>
          <w:b/>
          <w:bCs/>
          <w:spacing w:val="-6"/>
          <w:sz w:val="24"/>
          <w:szCs w:val="24"/>
        </w:rPr>
        <w:t>、项目污水来源、种类</w:t>
      </w:r>
    </w:p>
    <w:p w14:paraId="22F34B49">
      <w:pPr>
        <w:spacing w:before="204" w:line="369" w:lineRule="auto"/>
        <w:ind w:left="122" w:right="113" w:firstLine="481"/>
        <w:rPr>
          <w:rFonts w:ascii="宋体" w:hAnsi="宋体" w:eastAsia="宋体" w:cs="宋体"/>
          <w:sz w:val="24"/>
          <w:szCs w:val="24"/>
        </w:rPr>
      </w:pPr>
      <w:r>
        <w:rPr>
          <w:rFonts w:ascii="宋体" w:hAnsi="宋体" w:eastAsia="宋体" w:cs="宋体"/>
          <w:spacing w:val="2"/>
          <w:sz w:val="24"/>
          <w:szCs w:val="24"/>
        </w:rPr>
        <w:t>本项目废水主要是猪只养殖废水、员工办公生活污水。养殖废水包括猪只尿液</w:t>
      </w:r>
      <w:r>
        <w:rPr>
          <w:rFonts w:ascii="宋体" w:hAnsi="宋体" w:eastAsia="宋体" w:cs="宋体"/>
          <w:spacing w:val="9"/>
          <w:sz w:val="24"/>
          <w:szCs w:val="24"/>
        </w:rPr>
        <w:t xml:space="preserve"> </w:t>
      </w:r>
      <w:r>
        <w:rPr>
          <w:rFonts w:ascii="宋体" w:hAnsi="宋体" w:eastAsia="宋体" w:cs="宋体"/>
          <w:spacing w:val="2"/>
          <w:sz w:val="24"/>
          <w:szCs w:val="24"/>
        </w:rPr>
        <w:t>及猪舍冲洗废水；员工办公生活污水主要是办公生活区职工排出的办公生活污水。</w:t>
      </w:r>
      <w:r>
        <w:rPr>
          <w:rFonts w:ascii="宋体" w:hAnsi="宋体" w:eastAsia="宋体" w:cs="宋体"/>
          <w:spacing w:val="7"/>
          <w:sz w:val="24"/>
          <w:szCs w:val="24"/>
        </w:rPr>
        <w:t xml:space="preserve"> </w:t>
      </w:r>
      <w:r>
        <w:rPr>
          <w:rFonts w:ascii="宋体" w:hAnsi="宋体" w:eastAsia="宋体" w:cs="宋体"/>
          <w:spacing w:val="2"/>
          <w:sz w:val="24"/>
          <w:szCs w:val="24"/>
        </w:rPr>
        <w:t>由于本项目猪舍和有机肥发酵车间均采用防雨、防渗设计，沿途不会洒落粪便尿液</w:t>
      </w:r>
      <w:r>
        <w:rPr>
          <w:rFonts w:ascii="宋体" w:hAnsi="宋体" w:eastAsia="宋体" w:cs="宋体"/>
          <w:spacing w:val="7"/>
          <w:sz w:val="24"/>
          <w:szCs w:val="24"/>
        </w:rPr>
        <w:t xml:space="preserve"> </w:t>
      </w:r>
      <w:r>
        <w:rPr>
          <w:rFonts w:ascii="宋体" w:hAnsi="宋体" w:eastAsia="宋体" w:cs="宋体"/>
          <w:sz w:val="24"/>
          <w:szCs w:val="24"/>
        </w:rPr>
        <w:t>等污染物，故初期雨水直接通过沿途雨水沟排入附</w:t>
      </w:r>
      <w:r>
        <w:rPr>
          <w:rFonts w:ascii="宋体" w:hAnsi="宋体" w:eastAsia="宋体" w:cs="宋体"/>
          <w:spacing w:val="-1"/>
          <w:sz w:val="24"/>
          <w:szCs w:val="24"/>
        </w:rPr>
        <w:t>近小河，不收集处理。</w:t>
      </w:r>
    </w:p>
    <w:p w14:paraId="3F677FFA">
      <w:pPr>
        <w:spacing w:line="355" w:lineRule="auto"/>
        <w:ind w:left="125" w:right="110" w:firstLine="482"/>
        <w:rPr>
          <w:rFonts w:ascii="宋体" w:hAnsi="宋体" w:eastAsia="宋体" w:cs="宋体"/>
          <w:sz w:val="24"/>
          <w:szCs w:val="24"/>
        </w:rPr>
      </w:pPr>
      <w:r>
        <w:rPr>
          <w:rFonts w:ascii="宋体" w:hAnsi="宋体" w:eastAsia="宋体" w:cs="宋体"/>
          <w:spacing w:val="2"/>
          <w:sz w:val="24"/>
          <w:szCs w:val="24"/>
        </w:rPr>
        <w:t>结合《畜禽养殖业污染治理工程技术规范》（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497-2009</w:t>
      </w:r>
      <w:r>
        <w:rPr>
          <w:rFonts w:ascii="宋体" w:hAnsi="宋体" w:eastAsia="宋体" w:cs="宋体"/>
          <w:spacing w:val="2"/>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 xml:space="preserve">A.1 </w:t>
      </w:r>
      <w:r>
        <w:rPr>
          <w:rFonts w:ascii="宋体" w:hAnsi="宋体" w:eastAsia="宋体" w:cs="宋体"/>
          <w:spacing w:val="2"/>
          <w:sz w:val="24"/>
          <w:szCs w:val="24"/>
        </w:rPr>
        <w:t>得出本项目</w:t>
      </w:r>
      <w:r>
        <w:rPr>
          <w:rFonts w:ascii="宋体" w:hAnsi="宋体" w:eastAsia="宋体" w:cs="宋体"/>
          <w:sz w:val="24"/>
          <w:szCs w:val="24"/>
        </w:rPr>
        <w:t xml:space="preserve"> </w:t>
      </w:r>
      <w:r>
        <w:rPr>
          <w:rFonts w:ascii="宋体" w:hAnsi="宋体" w:eastAsia="宋体" w:cs="宋体"/>
          <w:spacing w:val="2"/>
          <w:sz w:val="24"/>
          <w:szCs w:val="24"/>
        </w:rPr>
        <w:t>建成后运营期项目污水的主要污染物类别，</w:t>
      </w:r>
      <w:r>
        <w:rPr>
          <w:rFonts w:ascii="宋体" w:hAnsi="宋体" w:eastAsia="宋体" w:cs="宋体"/>
          <w:spacing w:val="1"/>
          <w:sz w:val="24"/>
          <w:szCs w:val="24"/>
        </w:rPr>
        <w:t>见表</w:t>
      </w:r>
      <w:r>
        <w:rPr>
          <w:rFonts w:ascii="Times New Roman" w:hAnsi="Times New Roman" w:eastAsia="Times New Roman" w:cs="Times New Roman"/>
          <w:spacing w:val="1"/>
          <w:sz w:val="24"/>
          <w:szCs w:val="24"/>
        </w:rPr>
        <w:t>3.5-1</w:t>
      </w:r>
      <w:r>
        <w:rPr>
          <w:rFonts w:ascii="宋体" w:hAnsi="宋体" w:eastAsia="宋体" w:cs="宋体"/>
          <w:spacing w:val="1"/>
          <w:sz w:val="24"/>
          <w:szCs w:val="24"/>
        </w:rPr>
        <w:t>。</w:t>
      </w:r>
    </w:p>
    <w:p w14:paraId="0E29C8A8">
      <w:pPr>
        <w:spacing w:line="355" w:lineRule="auto"/>
        <w:rPr>
          <w:rFonts w:ascii="宋体" w:hAnsi="宋体" w:eastAsia="宋体" w:cs="宋体"/>
          <w:sz w:val="24"/>
          <w:szCs w:val="24"/>
        </w:rPr>
        <w:sectPr>
          <w:footerReference r:id="rId76" w:type="default"/>
          <w:pgSz w:w="11906" w:h="16839"/>
          <w:pgMar w:top="400" w:right="1475" w:bottom="1485" w:left="1475" w:header="0" w:footer="1249" w:gutter="0"/>
          <w:cols w:space="720" w:num="1"/>
        </w:sectPr>
      </w:pPr>
    </w:p>
    <w:p w14:paraId="57D04654">
      <w:pPr>
        <w:pStyle w:val="2"/>
        <w:spacing w:line="271" w:lineRule="auto"/>
      </w:pPr>
    </w:p>
    <w:p w14:paraId="2C4F5822">
      <w:pPr>
        <w:pStyle w:val="2"/>
        <w:spacing w:line="271" w:lineRule="auto"/>
      </w:pPr>
    </w:p>
    <w:p w14:paraId="711E68BE">
      <w:pPr>
        <w:pStyle w:val="2"/>
        <w:spacing w:line="271" w:lineRule="auto"/>
      </w:pPr>
    </w:p>
    <w:p w14:paraId="37B0B465">
      <w:pPr>
        <w:pStyle w:val="2"/>
        <w:spacing w:line="272" w:lineRule="auto"/>
      </w:pPr>
    </w:p>
    <w:p w14:paraId="68CCB0DA">
      <w:pPr>
        <w:spacing w:before="65" w:line="228" w:lineRule="auto"/>
        <w:ind w:left="255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6"/>
          <w:sz w:val="20"/>
          <w:szCs w:val="20"/>
        </w:rPr>
        <w:t xml:space="preserve">3.5-1    </w:t>
      </w:r>
      <w:r>
        <w:rPr>
          <w:rFonts w:ascii="宋体" w:hAnsi="宋体" w:eastAsia="宋体" w:cs="宋体"/>
          <w:b/>
          <w:bCs/>
          <w:spacing w:val="6"/>
          <w:sz w:val="20"/>
          <w:szCs w:val="20"/>
        </w:rPr>
        <w:t>运营期项目污水主要污染物类别</w:t>
      </w:r>
    </w:p>
    <w:p w14:paraId="77891C5F">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2268"/>
        <w:gridCol w:w="1701"/>
        <w:gridCol w:w="3877"/>
      </w:tblGrid>
      <w:tr w14:paraId="335BA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4" w:hRule="atLeast"/>
        </w:trPr>
        <w:tc>
          <w:tcPr>
            <w:tcW w:w="1104" w:type="dxa"/>
            <w:vAlign w:val="top"/>
          </w:tcPr>
          <w:p w14:paraId="72CD748B">
            <w:pPr>
              <w:pStyle w:val="6"/>
              <w:spacing w:before="62" w:line="228" w:lineRule="auto"/>
              <w:ind w:left="140"/>
            </w:pPr>
            <w:r>
              <w:rPr>
                <w:spacing w:val="6"/>
              </w:rPr>
              <w:t>污水类别</w:t>
            </w:r>
          </w:p>
        </w:tc>
        <w:tc>
          <w:tcPr>
            <w:tcW w:w="2268" w:type="dxa"/>
            <w:vAlign w:val="top"/>
          </w:tcPr>
          <w:p w14:paraId="3B23BA79">
            <w:pPr>
              <w:pStyle w:val="6"/>
              <w:spacing w:before="62" w:line="228" w:lineRule="auto"/>
              <w:ind w:left="718"/>
            </w:pPr>
            <w:r>
              <w:rPr>
                <w:spacing w:val="6"/>
              </w:rPr>
              <w:t>污水来源</w:t>
            </w:r>
          </w:p>
        </w:tc>
        <w:tc>
          <w:tcPr>
            <w:tcW w:w="1701" w:type="dxa"/>
            <w:vAlign w:val="top"/>
          </w:tcPr>
          <w:p w14:paraId="00370620">
            <w:pPr>
              <w:pStyle w:val="6"/>
              <w:spacing w:before="62" w:line="228" w:lineRule="auto"/>
              <w:ind w:left="437"/>
            </w:pPr>
            <w:r>
              <w:rPr>
                <w:spacing w:val="6"/>
              </w:rPr>
              <w:t>污水性质</w:t>
            </w:r>
          </w:p>
        </w:tc>
        <w:tc>
          <w:tcPr>
            <w:tcW w:w="3877" w:type="dxa"/>
            <w:vAlign w:val="top"/>
          </w:tcPr>
          <w:p w14:paraId="1DC6A53C">
            <w:pPr>
              <w:pStyle w:val="6"/>
              <w:spacing w:before="62" w:line="229" w:lineRule="auto"/>
              <w:ind w:left="1314"/>
            </w:pPr>
            <w:r>
              <w:rPr>
                <w:spacing w:val="7"/>
              </w:rPr>
              <w:t>主要污染因子</w:t>
            </w:r>
          </w:p>
        </w:tc>
      </w:tr>
      <w:tr w14:paraId="3BA78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104" w:type="dxa"/>
            <w:vAlign w:val="top"/>
          </w:tcPr>
          <w:p w14:paraId="4CB44CC1">
            <w:pPr>
              <w:pStyle w:val="6"/>
              <w:spacing w:before="222" w:line="228" w:lineRule="auto"/>
              <w:ind w:left="139"/>
            </w:pPr>
            <w:r>
              <w:rPr>
                <w:spacing w:val="7"/>
              </w:rPr>
              <w:t>养殖废水</w:t>
            </w:r>
          </w:p>
        </w:tc>
        <w:tc>
          <w:tcPr>
            <w:tcW w:w="2268" w:type="dxa"/>
            <w:vAlign w:val="top"/>
          </w:tcPr>
          <w:p w14:paraId="34C55E25">
            <w:pPr>
              <w:pStyle w:val="6"/>
              <w:spacing w:before="59" w:line="229" w:lineRule="auto"/>
              <w:ind w:left="613"/>
            </w:pPr>
            <w:r>
              <w:rPr>
                <w:spacing w:val="5"/>
              </w:rPr>
              <w:t>猪只尿液、</w:t>
            </w:r>
          </w:p>
          <w:p w14:paraId="522EF109">
            <w:pPr>
              <w:pStyle w:val="6"/>
              <w:spacing w:before="78" w:line="228" w:lineRule="auto"/>
              <w:ind w:left="507"/>
            </w:pPr>
            <w:r>
              <w:rPr>
                <w:spacing w:val="8"/>
              </w:rPr>
              <w:t>猪舍冲洗废水</w:t>
            </w:r>
          </w:p>
        </w:tc>
        <w:tc>
          <w:tcPr>
            <w:tcW w:w="1701" w:type="dxa"/>
            <w:vAlign w:val="top"/>
          </w:tcPr>
          <w:p w14:paraId="5514BBE7">
            <w:pPr>
              <w:pStyle w:val="6"/>
              <w:spacing w:before="222" w:line="228" w:lineRule="auto"/>
              <w:ind w:left="542"/>
            </w:pPr>
            <w:r>
              <w:rPr>
                <w:spacing w:val="6"/>
              </w:rPr>
              <w:t>养殖区</w:t>
            </w:r>
          </w:p>
        </w:tc>
        <w:tc>
          <w:tcPr>
            <w:tcW w:w="3877" w:type="dxa"/>
            <w:vAlign w:val="top"/>
          </w:tcPr>
          <w:p w14:paraId="3447CAFC">
            <w:pPr>
              <w:pStyle w:val="6"/>
              <w:spacing w:before="258" w:line="229" w:lineRule="auto"/>
              <w:ind w:left="416"/>
              <w:rPr>
                <w:rFonts w:ascii="Times New Roman" w:hAnsi="Times New Roman" w:eastAsia="Times New Roman" w:cs="Times New Roman"/>
              </w:rPr>
            </w:pPr>
            <w:r>
              <w:rPr>
                <w:rFonts w:ascii="Times New Roman" w:hAnsi="Times New Roman" w:eastAsia="Times New Roman" w:cs="Times New Roman"/>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7"/>
                <w:position w:val="-1"/>
                <w:sz w:val="13"/>
                <w:szCs w:val="13"/>
              </w:rPr>
              <w:t xml:space="preserve"> </w:t>
            </w:r>
            <w:r>
              <w:rPr>
                <w:spacing w:val="8"/>
              </w:rPr>
              <w:t>、</w:t>
            </w:r>
            <w:r>
              <w:rPr>
                <w:rFonts w:ascii="Times New Roman" w:hAnsi="Times New Roman" w:eastAsia="Times New Roman" w:cs="Times New Roman"/>
              </w:rPr>
              <w:t>BOD</w:t>
            </w:r>
            <w:r>
              <w:rPr>
                <w:rFonts w:ascii="Times New Roman" w:hAnsi="Times New Roman" w:eastAsia="Times New Roman" w:cs="Times New Roman"/>
                <w:spacing w:val="8"/>
                <w:position w:val="-1"/>
                <w:sz w:val="13"/>
                <w:szCs w:val="13"/>
              </w:rPr>
              <w:t xml:space="preserve">5 </w:t>
            </w:r>
            <w:r>
              <w:rPr>
                <w:spacing w:val="8"/>
              </w:rPr>
              <w:t>、</w:t>
            </w:r>
            <w:r>
              <w:rPr>
                <w:rFonts w:ascii="Times New Roman" w:hAnsi="Times New Roman" w:eastAsia="Times New Roman" w:cs="Times New Roman"/>
              </w:rPr>
              <w:t>SS</w:t>
            </w:r>
            <w:r>
              <w:rPr>
                <w:rFonts w:ascii="Times New Roman" w:hAnsi="Times New Roman" w:eastAsia="Times New Roman" w:cs="Times New Roman"/>
                <w:spacing w:val="-14"/>
              </w:rPr>
              <w:t xml:space="preserve"> </w:t>
            </w:r>
            <w:r>
              <w:rPr>
                <w:spacing w:val="8"/>
              </w:rPr>
              <w:t>、</w:t>
            </w:r>
            <w:r>
              <w:rPr>
                <w:rFonts w:ascii="Times New Roman" w:hAnsi="Times New Roman" w:eastAsia="Times New Roman" w:cs="Times New Roman"/>
              </w:rPr>
              <w:t>NH</w:t>
            </w:r>
            <w:r>
              <w:rPr>
                <w:rFonts w:ascii="Times New Roman" w:hAnsi="Times New Roman" w:eastAsia="Times New Roman" w:cs="Times New Roman"/>
                <w:spacing w:val="8"/>
                <w:sz w:val="13"/>
                <w:szCs w:val="13"/>
              </w:rPr>
              <w:t>3</w:t>
            </w:r>
            <w:r>
              <w:rPr>
                <w:rFonts w:ascii="Times New Roman" w:hAnsi="Times New Roman" w:eastAsia="Times New Roman" w:cs="Times New Roman"/>
                <w:spacing w:val="8"/>
              </w:rPr>
              <w:t>-N</w:t>
            </w:r>
            <w:r>
              <w:rPr>
                <w:rFonts w:ascii="Times New Roman" w:hAnsi="Times New Roman" w:eastAsia="Times New Roman" w:cs="Times New Roman"/>
                <w:spacing w:val="-24"/>
              </w:rPr>
              <w:t xml:space="preserve"> </w:t>
            </w:r>
            <w:r>
              <w:rPr>
                <w:spacing w:val="8"/>
              </w:rPr>
              <w:t>、</w:t>
            </w:r>
            <w:r>
              <w:rPr>
                <w:rFonts w:ascii="Times New Roman" w:hAnsi="Times New Roman" w:eastAsia="Times New Roman" w:cs="Times New Roman"/>
              </w:rPr>
              <w:t>TP</w:t>
            </w:r>
          </w:p>
        </w:tc>
      </w:tr>
      <w:tr w14:paraId="46CB8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04" w:type="dxa"/>
            <w:vAlign w:val="top"/>
          </w:tcPr>
          <w:p w14:paraId="07CB0765">
            <w:pPr>
              <w:pStyle w:val="6"/>
              <w:spacing w:before="62" w:line="271" w:lineRule="auto"/>
              <w:ind w:left="348" w:right="131" w:hanging="206"/>
            </w:pPr>
            <w:r>
              <w:rPr>
                <w:spacing w:val="6"/>
              </w:rPr>
              <w:t>办公生活</w:t>
            </w:r>
            <w:r>
              <w:t xml:space="preserve"> </w:t>
            </w:r>
            <w:r>
              <w:rPr>
                <w:spacing w:val="3"/>
              </w:rPr>
              <w:t>污水</w:t>
            </w:r>
          </w:p>
        </w:tc>
        <w:tc>
          <w:tcPr>
            <w:tcW w:w="2268" w:type="dxa"/>
            <w:vAlign w:val="top"/>
          </w:tcPr>
          <w:p w14:paraId="0F8AD66F">
            <w:pPr>
              <w:pStyle w:val="6"/>
              <w:spacing w:before="226" w:line="228" w:lineRule="auto"/>
              <w:ind w:left="508"/>
            </w:pPr>
            <w:r>
              <w:rPr>
                <w:spacing w:val="8"/>
              </w:rPr>
              <w:t>职工办公生活</w:t>
            </w:r>
          </w:p>
        </w:tc>
        <w:tc>
          <w:tcPr>
            <w:tcW w:w="1701" w:type="dxa"/>
            <w:vAlign w:val="top"/>
          </w:tcPr>
          <w:p w14:paraId="2F60BED8">
            <w:pPr>
              <w:pStyle w:val="6"/>
              <w:spacing w:before="226" w:line="228" w:lineRule="auto"/>
              <w:ind w:left="125"/>
            </w:pPr>
            <w:r>
              <w:rPr>
                <w:spacing w:val="8"/>
              </w:rPr>
              <w:t>办公室、宿舍楼</w:t>
            </w:r>
          </w:p>
        </w:tc>
        <w:tc>
          <w:tcPr>
            <w:tcW w:w="3877" w:type="dxa"/>
            <w:vAlign w:val="top"/>
          </w:tcPr>
          <w:p w14:paraId="0008FFF7">
            <w:pPr>
              <w:pStyle w:val="6"/>
              <w:spacing w:before="262" w:line="229" w:lineRule="auto"/>
              <w:ind w:left="642"/>
              <w:rPr>
                <w:rFonts w:ascii="Times New Roman" w:hAnsi="Times New Roman" w:eastAsia="Times New Roman" w:cs="Times New Roman"/>
              </w:rPr>
            </w:pPr>
            <w:r>
              <w:rPr>
                <w:rFonts w:ascii="Times New Roman" w:hAnsi="Times New Roman" w:eastAsia="Times New Roman" w:cs="Times New Roman"/>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5"/>
                <w:position w:val="-1"/>
                <w:sz w:val="13"/>
                <w:szCs w:val="13"/>
              </w:rPr>
              <w:t xml:space="preserve"> </w:t>
            </w:r>
            <w:r>
              <w:rPr>
                <w:spacing w:val="9"/>
              </w:rPr>
              <w:t>、</w:t>
            </w:r>
            <w:r>
              <w:rPr>
                <w:rFonts w:ascii="Times New Roman" w:hAnsi="Times New Roman" w:eastAsia="Times New Roman" w:cs="Times New Roman"/>
              </w:rPr>
              <w:t>BOD</w:t>
            </w:r>
            <w:r>
              <w:rPr>
                <w:rFonts w:ascii="Times New Roman" w:hAnsi="Times New Roman" w:eastAsia="Times New Roman" w:cs="Times New Roman"/>
                <w:spacing w:val="9"/>
                <w:position w:val="-1"/>
                <w:sz w:val="13"/>
                <w:szCs w:val="13"/>
              </w:rPr>
              <w:t xml:space="preserve">5 </w:t>
            </w:r>
            <w:r>
              <w:rPr>
                <w:spacing w:val="9"/>
              </w:rPr>
              <w:t>、</w:t>
            </w:r>
            <w:r>
              <w:rPr>
                <w:rFonts w:ascii="Times New Roman" w:hAnsi="Times New Roman" w:eastAsia="Times New Roman" w:cs="Times New Roman"/>
              </w:rPr>
              <w:t>SS</w:t>
            </w:r>
            <w:r>
              <w:rPr>
                <w:rFonts w:ascii="Times New Roman" w:hAnsi="Times New Roman" w:eastAsia="Times New Roman" w:cs="Times New Roman"/>
                <w:spacing w:val="-12"/>
              </w:rPr>
              <w:t xml:space="preserve"> </w:t>
            </w:r>
            <w:r>
              <w:rPr>
                <w:spacing w:val="9"/>
              </w:rPr>
              <w:t>、</w:t>
            </w:r>
            <w:r>
              <w:rPr>
                <w:rFonts w:ascii="Times New Roman" w:hAnsi="Times New Roman" w:eastAsia="Times New Roman" w:cs="Times New Roman"/>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rPr>
              <w:t>-N</w:t>
            </w:r>
          </w:p>
        </w:tc>
      </w:tr>
    </w:tbl>
    <w:p w14:paraId="2A50B141">
      <w:pPr>
        <w:pStyle w:val="2"/>
        <w:spacing w:line="371" w:lineRule="auto"/>
      </w:pPr>
    </w:p>
    <w:p w14:paraId="00D522DF">
      <w:pPr>
        <w:spacing w:before="78" w:line="219" w:lineRule="auto"/>
        <w:ind w:left="599"/>
        <w:rPr>
          <w:rFonts w:ascii="宋体" w:hAnsi="宋体" w:eastAsia="宋体" w:cs="宋体"/>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23"/>
          <w:sz w:val="24"/>
          <w:szCs w:val="24"/>
        </w:rPr>
        <w:t xml:space="preserve"> </w:t>
      </w:r>
      <w:r>
        <w:rPr>
          <w:rFonts w:ascii="宋体" w:hAnsi="宋体" w:eastAsia="宋体" w:cs="宋体"/>
          <w:b/>
          <w:bCs/>
          <w:spacing w:val="-5"/>
          <w:sz w:val="24"/>
          <w:szCs w:val="24"/>
        </w:rPr>
        <w:t>、本项目建成后废水产生量</w:t>
      </w:r>
    </w:p>
    <w:p w14:paraId="441EC804">
      <w:pPr>
        <w:spacing w:before="165" w:line="375" w:lineRule="auto"/>
        <w:ind w:left="122" w:right="108" w:firstLine="509"/>
        <w:jc w:val="both"/>
        <w:rPr>
          <w:rFonts w:ascii="宋体" w:hAnsi="宋体" w:eastAsia="宋体" w:cs="宋体"/>
          <w:sz w:val="24"/>
          <w:szCs w:val="24"/>
        </w:rPr>
      </w:pPr>
      <w:r>
        <w:rPr>
          <w:rFonts w:ascii="宋体" w:hAnsi="宋体" w:eastAsia="宋体" w:cs="宋体"/>
          <w:spacing w:val="6"/>
          <w:sz w:val="24"/>
          <w:szCs w:val="24"/>
        </w:rPr>
        <w:t>由“</w:t>
      </w:r>
      <w:r>
        <w:rPr>
          <w:rFonts w:ascii="Times New Roman" w:hAnsi="Times New Roman" w:eastAsia="Times New Roman" w:cs="Times New Roman"/>
          <w:spacing w:val="6"/>
          <w:sz w:val="24"/>
          <w:szCs w:val="24"/>
        </w:rPr>
        <w:t>3.2.1</w:t>
      </w:r>
      <w:r>
        <w:rPr>
          <w:rFonts w:ascii="Times New Roman" w:hAnsi="Times New Roman" w:eastAsia="Times New Roman" w:cs="Times New Roman"/>
          <w:spacing w:val="33"/>
          <w:sz w:val="24"/>
          <w:szCs w:val="24"/>
        </w:rPr>
        <w:t xml:space="preserve"> </w:t>
      </w:r>
      <w:r>
        <w:rPr>
          <w:rFonts w:ascii="宋体" w:hAnsi="宋体" w:eastAsia="宋体" w:cs="宋体"/>
          <w:spacing w:val="6"/>
          <w:sz w:val="24"/>
          <w:szCs w:val="24"/>
        </w:rPr>
        <w:t>给排水工程</w:t>
      </w:r>
      <w:r>
        <w:rPr>
          <w:rFonts w:ascii="宋体" w:hAnsi="宋体" w:eastAsia="宋体" w:cs="宋体"/>
          <w:spacing w:val="-74"/>
          <w:sz w:val="24"/>
          <w:szCs w:val="24"/>
        </w:rPr>
        <w:t xml:space="preserve"> </w:t>
      </w:r>
      <w:r>
        <w:rPr>
          <w:rFonts w:ascii="宋体" w:hAnsi="宋体" w:eastAsia="宋体" w:cs="宋体"/>
          <w:spacing w:val="6"/>
          <w:sz w:val="24"/>
          <w:szCs w:val="24"/>
        </w:rPr>
        <w:t>”分析可知，本项目运营期猪只尿液产生量为</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23.63t/d</w:t>
      </w:r>
      <w:r>
        <w:rPr>
          <w:rFonts w:ascii="Times New Roman" w:hAnsi="Times New Roman" w:eastAsia="Times New Roman" w:cs="Times New Roman"/>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8617.02t/a</w:t>
      </w:r>
      <w:r>
        <w:rPr>
          <w:rFonts w:ascii="宋体" w:hAnsi="宋体" w:eastAsia="宋体" w:cs="宋体"/>
          <w:spacing w:val="17"/>
          <w:sz w:val="24"/>
          <w:szCs w:val="24"/>
        </w:rPr>
        <w:t>），</w:t>
      </w:r>
      <w:r>
        <w:rPr>
          <w:rFonts w:ascii="宋体" w:hAnsi="宋体" w:eastAsia="宋体" w:cs="宋体"/>
          <w:spacing w:val="1"/>
          <w:sz w:val="24"/>
          <w:szCs w:val="24"/>
        </w:rPr>
        <w:t>猪舍冲洗废水产生量为</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6.75t/</w:t>
      </w:r>
      <w:r>
        <w:rPr>
          <w:rFonts w:ascii="宋体" w:hAnsi="宋体" w:eastAsia="宋体" w:cs="宋体"/>
          <w:spacing w:val="1"/>
          <w:sz w:val="24"/>
          <w:szCs w:val="24"/>
        </w:rPr>
        <w:t>次（</w:t>
      </w:r>
      <w:r>
        <w:rPr>
          <w:rFonts w:ascii="Times New Roman" w:hAnsi="Times New Roman" w:eastAsia="Times New Roman" w:cs="Times New Roman"/>
          <w:spacing w:val="1"/>
          <w:sz w:val="24"/>
          <w:szCs w:val="24"/>
        </w:rPr>
        <w:t>81t/a</w:t>
      </w:r>
      <w:r>
        <w:rPr>
          <w:rFonts w:ascii="宋体" w:hAnsi="宋体" w:eastAsia="宋体" w:cs="宋体"/>
          <w:spacing w:val="17"/>
          <w:sz w:val="24"/>
          <w:szCs w:val="24"/>
        </w:rPr>
        <w:t>），</w:t>
      </w:r>
      <w:r>
        <w:rPr>
          <w:rFonts w:ascii="宋体" w:hAnsi="宋体" w:eastAsia="宋体" w:cs="宋体"/>
          <w:spacing w:val="1"/>
          <w:sz w:val="24"/>
          <w:szCs w:val="24"/>
        </w:rPr>
        <w:t>办公生活污水产生量为</w:t>
      </w:r>
      <w:r>
        <w:rPr>
          <w:rFonts w:ascii="宋体" w:hAnsi="宋体" w:eastAsia="宋体" w:cs="宋体"/>
          <w:sz w:val="24"/>
          <w:szCs w:val="24"/>
        </w:rPr>
        <w:t xml:space="preserve"> </w:t>
      </w:r>
      <w:r>
        <w:rPr>
          <w:rFonts w:ascii="Times New Roman" w:hAnsi="Times New Roman" w:eastAsia="Times New Roman" w:cs="Times New Roman"/>
          <w:sz w:val="24"/>
          <w:szCs w:val="24"/>
        </w:rPr>
        <w:t>0.58t/d</w:t>
      </w:r>
      <w:r>
        <w:rPr>
          <w:rFonts w:ascii="宋体" w:hAnsi="宋体" w:eastAsia="宋体" w:cs="宋体"/>
          <w:sz w:val="24"/>
          <w:szCs w:val="24"/>
        </w:rPr>
        <w:t>（</w:t>
      </w:r>
      <w:r>
        <w:rPr>
          <w:rFonts w:ascii="Times New Roman" w:hAnsi="Times New Roman" w:eastAsia="Times New Roman" w:cs="Times New Roman"/>
          <w:sz w:val="24"/>
          <w:szCs w:val="24"/>
        </w:rPr>
        <w:t>210.24t/a</w:t>
      </w:r>
      <w:r>
        <w:rPr>
          <w:rFonts w:ascii="宋体" w:hAnsi="宋体" w:eastAsia="宋体" w:cs="宋体"/>
          <w:sz w:val="24"/>
          <w:szCs w:val="24"/>
        </w:rPr>
        <w:t>）。则本项目废水最大产生总量为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30.96t/d</w:t>
      </w:r>
      <w:r>
        <w:rPr>
          <w:rFonts w:ascii="宋体" w:hAnsi="宋体" w:eastAsia="宋体" w:cs="宋体"/>
          <w:spacing w:val="-1"/>
          <w:sz w:val="24"/>
          <w:szCs w:val="24"/>
        </w:rPr>
        <w:t>（</w:t>
      </w:r>
      <w:r>
        <w:rPr>
          <w:rFonts w:ascii="Times New Roman" w:hAnsi="Times New Roman" w:eastAsia="Times New Roman" w:cs="Times New Roman"/>
          <w:spacing w:val="-1"/>
          <w:sz w:val="24"/>
          <w:szCs w:val="24"/>
        </w:rPr>
        <w:t>8908.26 t/a</w:t>
      </w:r>
      <w:r>
        <w:rPr>
          <w:rFonts w:ascii="宋体" w:hAnsi="宋体" w:eastAsia="宋体" w:cs="宋体"/>
          <w:spacing w:val="-1"/>
          <w:sz w:val="24"/>
          <w:szCs w:val="24"/>
        </w:rPr>
        <w:t>）。</w:t>
      </w:r>
    </w:p>
    <w:p w14:paraId="1EE47157">
      <w:pPr>
        <w:spacing w:before="43" w:line="220" w:lineRule="auto"/>
        <w:ind w:left="597"/>
        <w:rPr>
          <w:rFonts w:ascii="宋体" w:hAnsi="宋体" w:eastAsia="宋体" w:cs="宋体"/>
          <w:sz w:val="24"/>
          <w:szCs w:val="24"/>
        </w:rPr>
      </w:pPr>
      <w:r>
        <w:rPr>
          <w:rFonts w:ascii="Times New Roman" w:hAnsi="Times New Roman" w:eastAsia="Times New Roman" w:cs="Times New Roman"/>
          <w:b/>
          <w:bCs/>
          <w:spacing w:val="-4"/>
          <w:sz w:val="24"/>
          <w:szCs w:val="24"/>
        </w:rPr>
        <w:t>3</w:t>
      </w:r>
      <w:r>
        <w:rPr>
          <w:rFonts w:ascii="Times New Roman" w:hAnsi="Times New Roman" w:eastAsia="Times New Roman" w:cs="Times New Roman"/>
          <w:b/>
          <w:bCs/>
          <w:spacing w:val="-22"/>
          <w:sz w:val="24"/>
          <w:szCs w:val="24"/>
        </w:rPr>
        <w:t xml:space="preserve"> </w:t>
      </w:r>
      <w:r>
        <w:rPr>
          <w:rFonts w:ascii="宋体" w:hAnsi="宋体" w:eastAsia="宋体" w:cs="宋体"/>
          <w:b/>
          <w:bCs/>
          <w:spacing w:val="-4"/>
          <w:sz w:val="24"/>
          <w:szCs w:val="24"/>
        </w:rPr>
        <w:t>、项目建成的废水处理方式与排放去向</w:t>
      </w:r>
    </w:p>
    <w:p w14:paraId="010FBAAC">
      <w:pPr>
        <w:spacing w:before="201" w:line="378" w:lineRule="auto"/>
        <w:ind w:left="122" w:right="113" w:firstLine="480"/>
        <w:jc w:val="both"/>
        <w:rPr>
          <w:rFonts w:ascii="宋体" w:hAnsi="宋体" w:eastAsia="宋体" w:cs="宋体"/>
          <w:sz w:val="24"/>
          <w:szCs w:val="24"/>
        </w:rPr>
      </w:pPr>
      <w:r>
        <w:rPr>
          <w:rFonts w:ascii="宋体" w:hAnsi="宋体" w:eastAsia="宋体" w:cs="宋体"/>
          <w:spacing w:val="2"/>
          <w:sz w:val="24"/>
          <w:szCs w:val="24"/>
        </w:rPr>
        <w:t>本项目猪只养殖区产生的尿液、猪舍冲洗废水与猪只粪便一起收集，不单独收</w:t>
      </w:r>
      <w:r>
        <w:rPr>
          <w:rFonts w:ascii="宋体" w:hAnsi="宋体" w:eastAsia="宋体" w:cs="宋体"/>
          <w:spacing w:val="9"/>
          <w:sz w:val="24"/>
          <w:szCs w:val="24"/>
        </w:rPr>
        <w:t xml:space="preserve"> </w:t>
      </w:r>
      <w:r>
        <w:rPr>
          <w:rFonts w:ascii="宋体" w:hAnsi="宋体" w:eastAsia="宋体" w:cs="宋体"/>
          <w:spacing w:val="2"/>
          <w:sz w:val="24"/>
          <w:szCs w:val="24"/>
        </w:rPr>
        <w:t>集，收集的粪污传至有机肥发酵处理系统进行好氧发酵成为有机肥半成品外售，不</w:t>
      </w:r>
      <w:r>
        <w:rPr>
          <w:rFonts w:ascii="宋体" w:hAnsi="宋体" w:eastAsia="宋体" w:cs="宋体"/>
          <w:spacing w:val="6"/>
          <w:sz w:val="24"/>
          <w:szCs w:val="24"/>
        </w:rPr>
        <w:t xml:space="preserve"> </w:t>
      </w:r>
      <w:r>
        <w:rPr>
          <w:rFonts w:ascii="宋体" w:hAnsi="宋体" w:eastAsia="宋体" w:cs="宋体"/>
          <w:spacing w:val="2"/>
          <w:sz w:val="24"/>
          <w:szCs w:val="24"/>
        </w:rPr>
        <w:t>外排。生活污水经有机肥发酵处理系统进行好氧发酵成为有机肥半成品外售，不外</w:t>
      </w:r>
      <w:r>
        <w:rPr>
          <w:rFonts w:ascii="宋体" w:hAnsi="宋体" w:eastAsia="宋体" w:cs="宋体"/>
          <w:spacing w:val="6"/>
          <w:sz w:val="24"/>
          <w:szCs w:val="24"/>
        </w:rPr>
        <w:t xml:space="preserve"> </w:t>
      </w:r>
      <w:r>
        <w:rPr>
          <w:rFonts w:ascii="宋体" w:hAnsi="宋体" w:eastAsia="宋体" w:cs="宋体"/>
          <w:spacing w:val="-5"/>
          <w:sz w:val="24"/>
          <w:szCs w:val="24"/>
        </w:rPr>
        <w:t>排。</w:t>
      </w:r>
    </w:p>
    <w:p w14:paraId="38B9A827">
      <w:pPr>
        <w:spacing w:line="378" w:lineRule="auto"/>
        <w:rPr>
          <w:rFonts w:ascii="宋体" w:hAnsi="宋体" w:eastAsia="宋体" w:cs="宋体"/>
          <w:sz w:val="24"/>
          <w:szCs w:val="24"/>
        </w:rPr>
        <w:sectPr>
          <w:footerReference r:id="rId77" w:type="default"/>
          <w:pgSz w:w="11906" w:h="16839"/>
          <w:pgMar w:top="400" w:right="1475" w:bottom="1485" w:left="1475" w:header="0" w:footer="1249" w:gutter="0"/>
          <w:cols w:space="720" w:num="1"/>
        </w:sectPr>
      </w:pPr>
    </w:p>
    <w:p w14:paraId="24926DD5">
      <w:pPr>
        <w:pStyle w:val="2"/>
        <w:spacing w:line="264" w:lineRule="auto"/>
      </w:pPr>
    </w:p>
    <w:p w14:paraId="401F18D6">
      <w:pPr>
        <w:pStyle w:val="2"/>
        <w:spacing w:line="264" w:lineRule="auto"/>
      </w:pPr>
    </w:p>
    <w:p w14:paraId="32C0314F">
      <w:pPr>
        <w:pStyle w:val="2"/>
        <w:spacing w:line="264" w:lineRule="auto"/>
      </w:pPr>
    </w:p>
    <w:p w14:paraId="0AA6E16D">
      <w:pPr>
        <w:pStyle w:val="2"/>
        <w:spacing w:line="265" w:lineRule="auto"/>
      </w:pPr>
    </w:p>
    <w:p w14:paraId="55E367F1">
      <w:pPr>
        <w:spacing w:before="78" w:line="221"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3.5.2</w:t>
      </w:r>
      <w:r>
        <w:rPr>
          <w:rFonts w:ascii="宋体" w:hAnsi="宋体" w:eastAsia="宋体" w:cs="宋体"/>
          <w:b/>
          <w:bCs/>
          <w:spacing w:val="-2"/>
          <w:sz w:val="24"/>
          <w:szCs w:val="24"/>
        </w:rPr>
        <w:t>大气污染源</w:t>
      </w:r>
    </w:p>
    <w:p w14:paraId="231DE14F">
      <w:pPr>
        <w:spacing w:before="202" w:line="362" w:lineRule="auto"/>
        <w:ind w:left="122" w:right="113" w:firstLine="484"/>
        <w:rPr>
          <w:rFonts w:ascii="宋体" w:hAnsi="宋体" w:eastAsia="宋体" w:cs="宋体"/>
          <w:sz w:val="24"/>
          <w:szCs w:val="24"/>
        </w:rPr>
      </w:pPr>
      <w:r>
        <w:rPr>
          <w:rFonts w:ascii="宋体" w:hAnsi="宋体" w:eastAsia="宋体" w:cs="宋体"/>
          <w:spacing w:val="2"/>
          <w:sz w:val="24"/>
          <w:szCs w:val="24"/>
        </w:rPr>
        <w:t>项目运营期产生的废气主要包括猪舍恶臭、有机肥发酵车间恶臭、饲料加工房</w:t>
      </w:r>
      <w:r>
        <w:rPr>
          <w:rFonts w:ascii="宋体" w:hAnsi="宋体" w:eastAsia="宋体" w:cs="宋体"/>
          <w:spacing w:val="6"/>
          <w:sz w:val="24"/>
          <w:szCs w:val="24"/>
        </w:rPr>
        <w:t xml:space="preserve"> </w:t>
      </w:r>
      <w:r>
        <w:rPr>
          <w:rFonts w:ascii="宋体" w:hAnsi="宋体" w:eastAsia="宋体" w:cs="宋体"/>
          <w:spacing w:val="-1"/>
          <w:sz w:val="24"/>
          <w:szCs w:val="24"/>
        </w:rPr>
        <w:t>粉尘及备用发电机尾气等。</w:t>
      </w:r>
    </w:p>
    <w:p w14:paraId="1EF02B94">
      <w:pPr>
        <w:spacing w:line="359" w:lineRule="exact"/>
        <w:ind w:left="621"/>
        <w:rPr>
          <w:rFonts w:ascii="宋体" w:hAnsi="宋体" w:eastAsia="宋体" w:cs="宋体"/>
          <w:sz w:val="24"/>
          <w:szCs w:val="24"/>
        </w:rPr>
      </w:pPr>
      <w:r>
        <w:rPr>
          <w:rFonts w:ascii="Times New Roman" w:hAnsi="Times New Roman" w:eastAsia="Times New Roman" w:cs="Times New Roman"/>
          <w:spacing w:val="-3"/>
          <w:position w:val="2"/>
          <w:sz w:val="24"/>
          <w:szCs w:val="24"/>
        </w:rPr>
        <w:t>1</w:t>
      </w:r>
      <w:r>
        <w:rPr>
          <w:rFonts w:ascii="Times New Roman" w:hAnsi="Times New Roman" w:eastAsia="Times New Roman" w:cs="Times New Roman"/>
          <w:spacing w:val="-21"/>
          <w:position w:val="2"/>
          <w:sz w:val="24"/>
          <w:szCs w:val="24"/>
        </w:rPr>
        <w:t xml:space="preserve"> </w:t>
      </w:r>
      <w:r>
        <w:rPr>
          <w:rFonts w:ascii="宋体" w:hAnsi="宋体" w:eastAsia="宋体" w:cs="宋体"/>
          <w:spacing w:val="-3"/>
          <w:position w:val="2"/>
          <w:sz w:val="24"/>
          <w:szCs w:val="24"/>
        </w:rPr>
        <w:t>、养殖场恶臭主要来源于猪舍、有机肥发酵车间。</w:t>
      </w:r>
    </w:p>
    <w:p w14:paraId="1D048053">
      <w:pPr>
        <w:spacing w:before="165" w:line="362" w:lineRule="auto"/>
        <w:ind w:left="122" w:right="113" w:firstLine="480"/>
        <w:rPr>
          <w:rFonts w:ascii="宋体" w:hAnsi="宋体" w:eastAsia="宋体" w:cs="宋体"/>
          <w:sz w:val="24"/>
          <w:szCs w:val="24"/>
        </w:rPr>
      </w:pPr>
      <w:r>
        <w:rPr>
          <w:rFonts w:ascii="宋体" w:hAnsi="宋体" w:eastAsia="宋体" w:cs="宋体"/>
          <w:spacing w:val="2"/>
          <w:sz w:val="24"/>
          <w:szCs w:val="24"/>
        </w:rPr>
        <w:t>猪舍废气主要是恶臭和温室气体，主要来源为有机物腐败时所产生的氨气、动</w:t>
      </w:r>
      <w:r>
        <w:rPr>
          <w:rFonts w:ascii="宋体" w:hAnsi="宋体" w:eastAsia="宋体" w:cs="宋体"/>
          <w:spacing w:val="10"/>
          <w:sz w:val="24"/>
          <w:szCs w:val="24"/>
        </w:rPr>
        <w:t xml:space="preserve"> </w:t>
      </w:r>
      <w:r>
        <w:rPr>
          <w:rFonts w:ascii="宋体" w:hAnsi="宋体" w:eastAsia="宋体" w:cs="宋体"/>
          <w:sz w:val="24"/>
          <w:szCs w:val="24"/>
        </w:rPr>
        <w:t>物有机体中蛋白质腐败时产生的硫化氢及饲料中纤维</w:t>
      </w:r>
      <w:r>
        <w:rPr>
          <w:rFonts w:ascii="宋体" w:hAnsi="宋体" w:eastAsia="宋体" w:cs="宋体"/>
          <w:spacing w:val="-1"/>
          <w:sz w:val="24"/>
          <w:szCs w:val="24"/>
        </w:rPr>
        <w:t>分解时所产生的甲烷等。</w:t>
      </w:r>
    </w:p>
    <w:p w14:paraId="720C416B">
      <w:pPr>
        <w:spacing w:line="360"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）猪舍恶臭</w:t>
      </w:r>
    </w:p>
    <w:p w14:paraId="3855E6DB">
      <w:pPr>
        <w:spacing w:before="166" w:line="376" w:lineRule="auto"/>
        <w:ind w:left="122" w:right="113" w:firstLine="480"/>
        <w:rPr>
          <w:rFonts w:ascii="宋体" w:hAnsi="宋体" w:eastAsia="宋体" w:cs="宋体"/>
          <w:sz w:val="24"/>
          <w:szCs w:val="24"/>
        </w:rPr>
      </w:pPr>
      <w:r>
        <w:rPr>
          <w:rFonts w:ascii="宋体" w:hAnsi="宋体" w:eastAsia="宋体" w:cs="宋体"/>
          <w:spacing w:val="2"/>
          <w:sz w:val="24"/>
          <w:szCs w:val="24"/>
        </w:rPr>
        <w:t>猪舍废气主要是恶臭和温室气体，主要来源为有机物腐败时所产生的氨气、动</w:t>
      </w:r>
      <w:r>
        <w:rPr>
          <w:rFonts w:ascii="宋体" w:hAnsi="宋体" w:eastAsia="宋体" w:cs="宋体"/>
          <w:spacing w:val="10"/>
          <w:sz w:val="24"/>
          <w:szCs w:val="24"/>
        </w:rPr>
        <w:t xml:space="preserve"> </w:t>
      </w:r>
      <w:r>
        <w:rPr>
          <w:rFonts w:ascii="宋体" w:hAnsi="宋体" w:eastAsia="宋体" w:cs="宋体"/>
          <w:sz w:val="24"/>
          <w:szCs w:val="24"/>
        </w:rPr>
        <w:t>物有机体中蛋白质腐败时产生的硫化氢及饲料中纤维</w:t>
      </w:r>
      <w:r>
        <w:rPr>
          <w:rFonts w:ascii="宋体" w:hAnsi="宋体" w:eastAsia="宋体" w:cs="宋体"/>
          <w:spacing w:val="-1"/>
          <w:sz w:val="24"/>
          <w:szCs w:val="24"/>
        </w:rPr>
        <w:t>分解时所产生的甲烷等。</w:t>
      </w:r>
    </w:p>
    <w:p w14:paraId="372F5D40">
      <w:pPr>
        <w:spacing w:before="1" w:line="363" w:lineRule="auto"/>
        <w:ind w:left="123" w:right="36" w:firstLine="482"/>
        <w:jc w:val="both"/>
        <w:rPr>
          <w:rFonts w:ascii="宋体" w:hAnsi="宋体" w:eastAsia="宋体" w:cs="宋体"/>
          <w:sz w:val="24"/>
          <w:szCs w:val="24"/>
        </w:rPr>
      </w:pPr>
      <w:r>
        <w:rPr>
          <w:rFonts w:ascii="宋体" w:hAnsi="宋体" w:eastAsia="宋体" w:cs="宋体"/>
          <w:spacing w:val="2"/>
          <w:sz w:val="24"/>
          <w:szCs w:val="24"/>
        </w:rPr>
        <w:t>项目大气污染物主要是来自猪舍和猪粪贮存场所挥发的氨等恶臭物质，属于无</w:t>
      </w:r>
      <w:r>
        <w:rPr>
          <w:rFonts w:ascii="宋体" w:hAnsi="宋体" w:eastAsia="宋体" w:cs="宋体"/>
          <w:spacing w:val="6"/>
          <w:sz w:val="24"/>
          <w:szCs w:val="24"/>
        </w:rPr>
        <w:t xml:space="preserve"> </w:t>
      </w:r>
      <w:r>
        <w:rPr>
          <w:rFonts w:ascii="宋体" w:hAnsi="宋体" w:eastAsia="宋体" w:cs="宋体"/>
          <w:spacing w:val="1"/>
          <w:sz w:val="24"/>
          <w:szCs w:val="24"/>
        </w:rPr>
        <w:t>组织排放。类比参照《蒲城惠达石坡塄</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15000</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头育肥猪场项目环境</w:t>
      </w:r>
      <w:r>
        <w:rPr>
          <w:rFonts w:ascii="宋体" w:hAnsi="宋体" w:eastAsia="宋体" w:cs="宋体"/>
          <w:sz w:val="24"/>
          <w:szCs w:val="24"/>
        </w:rPr>
        <w:t xml:space="preserve">影响报告书》中 </w:t>
      </w:r>
      <w:r>
        <w:rPr>
          <w:rFonts w:ascii="宋体" w:hAnsi="宋体" w:eastAsia="宋体" w:cs="宋体"/>
          <w:spacing w:val="-6"/>
          <w:sz w:val="24"/>
          <w:szCs w:val="24"/>
        </w:rPr>
        <w:t>的数据，育肥猪</w:t>
      </w:r>
      <w:r>
        <w:rPr>
          <w:rFonts w:ascii="宋体" w:hAnsi="宋体" w:eastAsia="宋体" w:cs="宋体"/>
          <w:spacing w:val="-63"/>
          <w:sz w:val="24"/>
          <w:szCs w:val="24"/>
        </w:rPr>
        <w:t xml:space="preserve"> </w:t>
      </w:r>
      <w:r>
        <w:rPr>
          <w:rFonts w:ascii="Times New Roman" w:hAnsi="Times New Roman" w:eastAsia="Times New Roman" w:cs="Times New Roman"/>
          <w:spacing w:val="-6"/>
          <w:sz w:val="24"/>
          <w:szCs w:val="24"/>
        </w:rPr>
        <w:t>NH</w:t>
      </w:r>
      <w:r>
        <w:rPr>
          <w:rFonts w:ascii="Times New Roman" w:hAnsi="Times New Roman" w:eastAsia="Times New Roman" w:cs="Times New Roman"/>
          <w:spacing w:val="-6"/>
          <w:position w:val="-1"/>
          <w:sz w:val="15"/>
          <w:szCs w:val="15"/>
        </w:rPr>
        <w:t>3</w:t>
      </w:r>
      <w:r>
        <w:rPr>
          <w:rFonts w:ascii="Times New Roman" w:hAnsi="Times New Roman" w:eastAsia="Times New Roman" w:cs="Times New Roman"/>
          <w:spacing w:val="11"/>
          <w:w w:val="102"/>
          <w:position w:val="-1"/>
          <w:sz w:val="15"/>
          <w:szCs w:val="15"/>
        </w:rPr>
        <w:t xml:space="preserve"> </w:t>
      </w:r>
      <w:r>
        <w:rPr>
          <w:rFonts w:ascii="宋体" w:hAnsi="宋体" w:eastAsia="宋体" w:cs="宋体"/>
          <w:spacing w:val="-6"/>
          <w:sz w:val="24"/>
          <w:szCs w:val="24"/>
        </w:rPr>
        <w:t>产生源强为</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0.2g/</w:t>
      </w:r>
      <w:r>
        <w:rPr>
          <w:rFonts w:ascii="宋体" w:hAnsi="宋体" w:eastAsia="宋体" w:cs="宋体"/>
          <w:spacing w:val="-6"/>
          <w:sz w:val="24"/>
          <w:szCs w:val="24"/>
        </w:rPr>
        <w:t>头</w:t>
      </w:r>
      <w:r>
        <w:rPr>
          <w:rFonts w:ascii="宋体" w:hAnsi="宋体" w:eastAsia="宋体" w:cs="宋体"/>
          <w:spacing w:val="-28"/>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d</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，育肥猪</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H</w:t>
      </w:r>
      <w:r>
        <w:rPr>
          <w:rFonts w:ascii="Times New Roman" w:hAnsi="Times New Roman" w:eastAsia="Times New Roman" w:cs="Times New Roman"/>
          <w:spacing w:val="-6"/>
          <w:position w:val="-1"/>
          <w:sz w:val="15"/>
          <w:szCs w:val="15"/>
        </w:rPr>
        <w:t>2</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6"/>
          <w:sz w:val="24"/>
          <w:szCs w:val="24"/>
        </w:rPr>
        <w:t>S</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产生源强为</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0.012g/</w:t>
      </w:r>
      <w:r>
        <w:rPr>
          <w:rFonts w:ascii="宋体" w:hAnsi="宋体" w:eastAsia="宋体" w:cs="宋体"/>
          <w:spacing w:val="-7"/>
          <w:sz w:val="24"/>
          <w:szCs w:val="24"/>
        </w:rPr>
        <w:t>头</w:t>
      </w:r>
      <w:r>
        <w:rPr>
          <w:rFonts w:ascii="宋体" w:hAnsi="宋体" w:eastAsia="宋体" w:cs="宋体"/>
          <w:spacing w:val="-28"/>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d</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
          <w:sz w:val="24"/>
          <w:szCs w:val="24"/>
        </w:rPr>
        <w:t>蒲城惠达石坡塄</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 xml:space="preserve">15000 </w:t>
      </w:r>
      <w:r>
        <w:rPr>
          <w:rFonts w:ascii="宋体" w:hAnsi="宋体" w:eastAsia="宋体" w:cs="宋体"/>
          <w:spacing w:val="1"/>
          <w:sz w:val="24"/>
          <w:szCs w:val="24"/>
        </w:rPr>
        <w:t>头育肥猪场项目猪舍采用全漏缝地板，采用干清粪工艺，与</w:t>
      </w:r>
      <w:r>
        <w:rPr>
          <w:rFonts w:ascii="宋体" w:hAnsi="宋体" w:eastAsia="宋体" w:cs="宋体"/>
          <w:sz w:val="24"/>
          <w:szCs w:val="24"/>
        </w:rPr>
        <w:t xml:space="preserve"> 本项目类似，因此具有类比性。养猪场猪舍恶臭气</w:t>
      </w:r>
      <w:r>
        <w:rPr>
          <w:rFonts w:ascii="宋体" w:hAnsi="宋体" w:eastAsia="宋体" w:cs="宋体"/>
          <w:spacing w:val="-1"/>
          <w:sz w:val="24"/>
          <w:szCs w:val="24"/>
        </w:rPr>
        <w:t>体的排放源强如下表所示：</w:t>
      </w:r>
    </w:p>
    <w:p w14:paraId="4FB70FA3">
      <w:pPr>
        <w:spacing w:before="100" w:line="228" w:lineRule="auto"/>
        <w:ind w:left="2640"/>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5"/>
          <w:sz w:val="20"/>
          <w:szCs w:val="20"/>
        </w:rPr>
        <w:t xml:space="preserve">3.5-2 </w:t>
      </w:r>
      <w:r>
        <w:rPr>
          <w:rFonts w:ascii="宋体" w:hAnsi="宋体" w:eastAsia="宋体" w:cs="宋体"/>
          <w:b/>
          <w:bCs/>
          <w:spacing w:val="5"/>
          <w:sz w:val="20"/>
          <w:szCs w:val="20"/>
        </w:rPr>
        <w:t>猪舍</w:t>
      </w:r>
      <w:r>
        <w:rPr>
          <w:rFonts w:ascii="宋体" w:hAnsi="宋体" w:eastAsia="宋体" w:cs="宋体"/>
          <w:spacing w:val="-42"/>
          <w:sz w:val="20"/>
          <w:szCs w:val="20"/>
        </w:rPr>
        <w:t xml:space="preserve"> </w:t>
      </w:r>
      <w:r>
        <w:rPr>
          <w:rFonts w:ascii="Times New Roman" w:hAnsi="Times New Roman" w:eastAsia="Times New Roman" w:cs="Times New Roman"/>
          <w:b/>
          <w:bCs/>
          <w:sz w:val="20"/>
          <w:szCs w:val="20"/>
        </w:rPr>
        <w:t>NH</w:t>
      </w:r>
      <w:r>
        <w:rPr>
          <w:rFonts w:ascii="Times New Roman" w:hAnsi="Times New Roman" w:eastAsia="Times New Roman" w:cs="Times New Roman"/>
          <w:b/>
          <w:bCs/>
          <w:spacing w:val="5"/>
          <w:position w:val="-1"/>
          <w:sz w:val="13"/>
          <w:szCs w:val="13"/>
        </w:rPr>
        <w:t>3</w:t>
      </w:r>
      <w:r>
        <w:rPr>
          <w:rFonts w:ascii="Times New Roman" w:hAnsi="Times New Roman" w:eastAsia="Times New Roman" w:cs="Times New Roman"/>
          <w:b/>
          <w:bCs/>
          <w:spacing w:val="-11"/>
          <w:position w:val="-1"/>
          <w:sz w:val="13"/>
          <w:szCs w:val="13"/>
        </w:rPr>
        <w:t xml:space="preserve"> </w:t>
      </w:r>
      <w:r>
        <w:rPr>
          <w:rFonts w:ascii="宋体" w:hAnsi="宋体" w:eastAsia="宋体" w:cs="宋体"/>
          <w:b/>
          <w:bCs/>
          <w:spacing w:val="5"/>
          <w:sz w:val="20"/>
          <w:szCs w:val="20"/>
        </w:rPr>
        <w:t>、</w:t>
      </w:r>
      <w:r>
        <w:rPr>
          <w:rFonts w:ascii="Times New Roman" w:hAnsi="Times New Roman" w:eastAsia="Times New Roman" w:cs="Times New Roman"/>
          <w:b/>
          <w:bCs/>
          <w:spacing w:val="5"/>
          <w:sz w:val="20"/>
          <w:szCs w:val="20"/>
        </w:rPr>
        <w:t>H</w:t>
      </w:r>
      <w:r>
        <w:rPr>
          <w:rFonts w:ascii="Times New Roman" w:hAnsi="Times New Roman" w:eastAsia="Times New Roman" w:cs="Times New Roman"/>
          <w:b/>
          <w:bCs/>
          <w:spacing w:val="5"/>
          <w:position w:val="-1"/>
          <w:sz w:val="13"/>
          <w:szCs w:val="13"/>
        </w:rPr>
        <w:t>2</w:t>
      </w:r>
      <w:r>
        <w:rPr>
          <w:rFonts w:ascii="Times New Roman" w:hAnsi="Times New Roman" w:eastAsia="Times New Roman" w:cs="Times New Roman"/>
          <w:b/>
          <w:bCs/>
          <w:spacing w:val="5"/>
          <w:sz w:val="20"/>
          <w:szCs w:val="20"/>
        </w:rPr>
        <w:t xml:space="preserve">S </w:t>
      </w:r>
      <w:r>
        <w:rPr>
          <w:rFonts w:ascii="宋体" w:hAnsi="宋体" w:eastAsia="宋体" w:cs="宋体"/>
          <w:b/>
          <w:bCs/>
          <w:spacing w:val="5"/>
          <w:sz w:val="20"/>
          <w:szCs w:val="20"/>
        </w:rPr>
        <w:t>排放源强系数表</w:t>
      </w:r>
    </w:p>
    <w:p w14:paraId="305E280C">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1"/>
        <w:gridCol w:w="1394"/>
        <w:gridCol w:w="2980"/>
        <w:gridCol w:w="2985"/>
      </w:tblGrid>
      <w:tr w14:paraId="35BC3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985" w:type="dxa"/>
            <w:gridSpan w:val="2"/>
            <w:vAlign w:val="top"/>
          </w:tcPr>
          <w:p w14:paraId="34D35FEA">
            <w:pPr>
              <w:pStyle w:val="6"/>
              <w:spacing w:before="63" w:line="229" w:lineRule="auto"/>
              <w:ind w:left="1287"/>
            </w:pPr>
            <w:r>
              <w:rPr>
                <w:spacing w:val="4"/>
              </w:rPr>
              <w:t>猪舍</w:t>
            </w:r>
          </w:p>
        </w:tc>
        <w:tc>
          <w:tcPr>
            <w:tcW w:w="2980" w:type="dxa"/>
            <w:vAlign w:val="top"/>
          </w:tcPr>
          <w:p w14:paraId="5BB822FD">
            <w:pPr>
              <w:pStyle w:val="6"/>
              <w:spacing w:before="32" w:line="274" w:lineRule="exact"/>
              <w:ind w:left="351"/>
            </w:pPr>
            <w:r>
              <w:rPr>
                <w:rFonts w:ascii="Times New Roman" w:hAnsi="Times New Roman" w:eastAsia="Times New Roman" w:cs="Times New Roman"/>
                <w:position w:val="2"/>
              </w:rPr>
              <w:t>NH</w:t>
            </w:r>
            <w:r>
              <w:rPr>
                <w:rFonts w:ascii="Times New Roman" w:hAnsi="Times New Roman" w:eastAsia="Times New Roman" w:cs="Times New Roman"/>
                <w:spacing w:val="8"/>
                <w:position w:val="1"/>
                <w:sz w:val="13"/>
                <w:szCs w:val="13"/>
              </w:rPr>
              <w:t>3</w:t>
            </w:r>
            <w:r>
              <w:rPr>
                <w:spacing w:val="8"/>
                <w:position w:val="2"/>
              </w:rPr>
              <w:t>排放强度（</w:t>
            </w:r>
            <w:r>
              <w:rPr>
                <w:rFonts w:ascii="Times New Roman" w:hAnsi="Times New Roman" w:eastAsia="Times New Roman" w:cs="Times New Roman"/>
                <w:spacing w:val="8"/>
                <w:position w:val="2"/>
              </w:rPr>
              <w:t>g/</w:t>
            </w:r>
            <w:r>
              <w:rPr>
                <w:spacing w:val="8"/>
                <w:position w:val="2"/>
              </w:rPr>
              <w:t>头</w:t>
            </w:r>
            <w:r>
              <w:rPr>
                <w:rFonts w:ascii="Times New Roman" w:hAnsi="Times New Roman" w:eastAsia="Times New Roman" w:cs="Times New Roman"/>
                <w:spacing w:val="8"/>
                <w:position w:val="2"/>
              </w:rPr>
              <w:t>.</w:t>
            </w:r>
            <w:r>
              <w:rPr>
                <w:spacing w:val="8"/>
                <w:position w:val="2"/>
              </w:rPr>
              <w:t>天）</w:t>
            </w:r>
          </w:p>
        </w:tc>
        <w:tc>
          <w:tcPr>
            <w:tcW w:w="2985" w:type="dxa"/>
            <w:vAlign w:val="top"/>
          </w:tcPr>
          <w:p w14:paraId="2906AC5E">
            <w:pPr>
              <w:pStyle w:val="6"/>
              <w:spacing w:before="32" w:line="274" w:lineRule="exact"/>
              <w:ind w:left="377"/>
            </w:pPr>
            <w:r>
              <w:rPr>
                <w:rFonts w:ascii="Times New Roman" w:hAnsi="Times New Roman" w:eastAsia="Times New Roman" w:cs="Times New Roman"/>
                <w:spacing w:val="6"/>
                <w:position w:val="2"/>
              </w:rPr>
              <w:t>H</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6"/>
                <w:position w:val="2"/>
              </w:rPr>
              <w:t>S</w:t>
            </w:r>
            <w:r>
              <w:rPr>
                <w:spacing w:val="6"/>
                <w:position w:val="2"/>
              </w:rPr>
              <w:t>排放强度（</w:t>
            </w:r>
            <w:r>
              <w:rPr>
                <w:rFonts w:ascii="Times New Roman" w:hAnsi="Times New Roman" w:eastAsia="Times New Roman" w:cs="Times New Roman"/>
                <w:spacing w:val="6"/>
                <w:position w:val="2"/>
              </w:rPr>
              <w:t>g/</w:t>
            </w:r>
            <w:r>
              <w:rPr>
                <w:spacing w:val="6"/>
                <w:position w:val="2"/>
              </w:rPr>
              <w:t>头</w:t>
            </w:r>
            <w:r>
              <w:rPr>
                <w:rFonts w:ascii="Times New Roman" w:hAnsi="Times New Roman" w:eastAsia="Times New Roman" w:cs="Times New Roman"/>
                <w:spacing w:val="6"/>
                <w:position w:val="2"/>
              </w:rPr>
              <w:t>.</w:t>
            </w:r>
            <w:r>
              <w:rPr>
                <w:spacing w:val="6"/>
                <w:position w:val="2"/>
              </w:rPr>
              <w:t>天）</w:t>
            </w:r>
          </w:p>
        </w:tc>
      </w:tr>
      <w:tr w14:paraId="4FCA4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591" w:type="dxa"/>
            <w:vAlign w:val="top"/>
          </w:tcPr>
          <w:p w14:paraId="7ABB1AAA">
            <w:pPr>
              <w:pStyle w:val="6"/>
              <w:spacing w:before="61" w:line="229" w:lineRule="auto"/>
              <w:ind w:left="591"/>
            </w:pPr>
            <w:r>
              <w:rPr>
                <w:spacing w:val="4"/>
              </w:rPr>
              <w:t>猪舍</w:t>
            </w:r>
          </w:p>
        </w:tc>
        <w:tc>
          <w:tcPr>
            <w:tcW w:w="1394" w:type="dxa"/>
            <w:vAlign w:val="top"/>
          </w:tcPr>
          <w:p w14:paraId="6E35AADF">
            <w:pPr>
              <w:pStyle w:val="6"/>
              <w:spacing w:before="60" w:line="228" w:lineRule="auto"/>
              <w:ind w:left="393"/>
            </w:pPr>
            <w:r>
              <w:rPr>
                <w:spacing w:val="4"/>
              </w:rPr>
              <w:t>育肥猪</w:t>
            </w:r>
          </w:p>
        </w:tc>
        <w:tc>
          <w:tcPr>
            <w:tcW w:w="2980" w:type="dxa"/>
            <w:vAlign w:val="top"/>
          </w:tcPr>
          <w:p w14:paraId="437DB1E2">
            <w:pPr>
              <w:spacing w:before="30" w:line="274" w:lineRule="exact"/>
              <w:ind w:left="136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2985" w:type="dxa"/>
            <w:vAlign w:val="top"/>
          </w:tcPr>
          <w:p w14:paraId="48914C45">
            <w:pPr>
              <w:spacing w:before="30" w:line="274" w:lineRule="exact"/>
              <w:ind w:left="126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0.012</w:t>
            </w:r>
          </w:p>
        </w:tc>
      </w:tr>
    </w:tbl>
    <w:p w14:paraId="46258FCC">
      <w:pPr>
        <w:spacing w:before="251" w:line="363" w:lineRule="auto"/>
        <w:ind w:left="142" w:right="109" w:firstLine="464"/>
        <w:rPr>
          <w:rFonts w:ascii="宋体" w:hAnsi="宋体" w:eastAsia="宋体" w:cs="宋体"/>
          <w:sz w:val="24"/>
          <w:szCs w:val="24"/>
        </w:rPr>
      </w:pPr>
      <w:r>
        <w:rPr>
          <w:rFonts w:ascii="宋体" w:hAnsi="宋体" w:eastAsia="宋体" w:cs="宋体"/>
          <w:spacing w:val="-5"/>
          <w:sz w:val="24"/>
          <w:szCs w:val="24"/>
        </w:rPr>
        <w:t>项目年存栏猪</w:t>
      </w:r>
      <w:r>
        <w:rPr>
          <w:rFonts w:ascii="宋体" w:hAnsi="宋体" w:eastAsia="宋体" w:cs="宋体"/>
          <w:spacing w:val="-43"/>
          <w:sz w:val="24"/>
          <w:szCs w:val="24"/>
        </w:rPr>
        <w:t xml:space="preserve"> </w:t>
      </w:r>
      <w:r>
        <w:rPr>
          <w:rFonts w:ascii="Times New Roman" w:hAnsi="Times New Roman" w:eastAsia="Times New Roman" w:cs="Times New Roman"/>
          <w:spacing w:val="-5"/>
          <w:sz w:val="24"/>
          <w:szCs w:val="24"/>
        </w:rPr>
        <w:t xml:space="preserve">7000 </w:t>
      </w:r>
      <w:r>
        <w:rPr>
          <w:rFonts w:ascii="宋体" w:hAnsi="宋体" w:eastAsia="宋体" w:cs="宋体"/>
          <w:spacing w:val="-5"/>
          <w:sz w:val="24"/>
          <w:szCs w:val="24"/>
        </w:rPr>
        <w:t>头。根据排放源强系数及各类猪的存栏量计算猪舍</w:t>
      </w:r>
      <w:r>
        <w:rPr>
          <w:rFonts w:ascii="宋体" w:hAnsi="宋体" w:eastAsia="宋体" w:cs="宋体"/>
          <w:spacing w:val="-62"/>
          <w:sz w:val="24"/>
          <w:szCs w:val="24"/>
        </w:rPr>
        <w:t xml:space="preserve"> </w:t>
      </w:r>
      <w:r>
        <w:rPr>
          <w:rFonts w:ascii="Times New Roman" w:hAnsi="Times New Roman" w:eastAsia="Times New Roman" w:cs="Times New Roman"/>
          <w:spacing w:val="-5"/>
          <w:sz w:val="24"/>
          <w:szCs w:val="24"/>
        </w:rPr>
        <w:t>NH</w:t>
      </w:r>
      <w:r>
        <w:rPr>
          <w:rFonts w:ascii="Times New Roman" w:hAnsi="Times New Roman" w:eastAsia="Times New Roman" w:cs="Times New Roman"/>
          <w:spacing w:val="-5"/>
          <w:position w:val="-1"/>
          <w:sz w:val="15"/>
          <w:szCs w:val="15"/>
        </w:rPr>
        <w:t>3</w:t>
      </w:r>
      <w:r>
        <w:rPr>
          <w:rFonts w:ascii="宋体" w:hAnsi="宋体" w:eastAsia="宋体" w:cs="宋体"/>
          <w:spacing w:val="-5"/>
          <w:position w:val="-1"/>
          <w:sz w:val="24"/>
          <w:szCs w:val="24"/>
        </w:rPr>
        <w:t>、</w:t>
      </w:r>
      <w:r>
        <w:rPr>
          <w:rFonts w:ascii="Times New Roman" w:hAnsi="Times New Roman" w:eastAsia="Times New Roman" w:cs="Times New Roman"/>
          <w:spacing w:val="-5"/>
          <w:sz w:val="24"/>
          <w:szCs w:val="24"/>
        </w:rPr>
        <w:t>H</w:t>
      </w:r>
      <w:r>
        <w:rPr>
          <w:rFonts w:ascii="Times New Roman" w:hAnsi="Times New Roman" w:eastAsia="Times New Roman" w:cs="Times New Roman"/>
          <w:spacing w:val="-5"/>
          <w:position w:val="-1"/>
          <w:sz w:val="15"/>
          <w:szCs w:val="15"/>
        </w:rPr>
        <w:t>2</w:t>
      </w:r>
      <w:r>
        <w:rPr>
          <w:rFonts w:ascii="Times New Roman" w:hAnsi="Times New Roman" w:eastAsia="Times New Roman" w:cs="Times New Roman"/>
          <w:spacing w:val="-5"/>
          <w:sz w:val="24"/>
          <w:szCs w:val="24"/>
        </w:rPr>
        <w:t>S</w:t>
      </w:r>
      <w:r>
        <w:rPr>
          <w:rFonts w:ascii="Times New Roman" w:hAnsi="Times New Roman" w:eastAsia="Times New Roman" w:cs="Times New Roman"/>
          <w:sz w:val="24"/>
          <w:szCs w:val="24"/>
        </w:rPr>
        <w:t xml:space="preserve"> </w:t>
      </w:r>
      <w:r>
        <w:rPr>
          <w:rFonts w:ascii="宋体" w:hAnsi="宋体" w:eastAsia="宋体" w:cs="宋体"/>
          <w:spacing w:val="-4"/>
          <w:sz w:val="24"/>
          <w:szCs w:val="24"/>
        </w:rPr>
        <w:t>的产生量如下表：</w:t>
      </w:r>
    </w:p>
    <w:p w14:paraId="39D1C3FC">
      <w:pPr>
        <w:spacing w:before="76" w:line="228" w:lineRule="auto"/>
        <w:ind w:left="2880"/>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5"/>
          <w:sz w:val="20"/>
          <w:szCs w:val="20"/>
        </w:rPr>
        <w:t xml:space="preserve">3.5-3 </w:t>
      </w:r>
      <w:r>
        <w:rPr>
          <w:rFonts w:ascii="宋体" w:hAnsi="宋体" w:eastAsia="宋体" w:cs="宋体"/>
          <w:b/>
          <w:bCs/>
          <w:spacing w:val="5"/>
          <w:sz w:val="20"/>
          <w:szCs w:val="20"/>
        </w:rPr>
        <w:t>猪舍</w:t>
      </w:r>
      <w:r>
        <w:rPr>
          <w:rFonts w:ascii="宋体" w:hAnsi="宋体" w:eastAsia="宋体" w:cs="宋体"/>
          <w:spacing w:val="-42"/>
          <w:sz w:val="20"/>
          <w:szCs w:val="20"/>
        </w:rPr>
        <w:t xml:space="preserve"> </w:t>
      </w:r>
      <w:r>
        <w:rPr>
          <w:rFonts w:ascii="Times New Roman" w:hAnsi="Times New Roman" w:eastAsia="Times New Roman" w:cs="Times New Roman"/>
          <w:b/>
          <w:bCs/>
          <w:sz w:val="20"/>
          <w:szCs w:val="20"/>
        </w:rPr>
        <w:t>NH</w:t>
      </w:r>
      <w:r>
        <w:rPr>
          <w:rFonts w:ascii="Times New Roman" w:hAnsi="Times New Roman" w:eastAsia="Times New Roman" w:cs="Times New Roman"/>
          <w:b/>
          <w:bCs/>
          <w:spacing w:val="5"/>
          <w:position w:val="-1"/>
          <w:sz w:val="13"/>
          <w:szCs w:val="13"/>
        </w:rPr>
        <w:t>3</w:t>
      </w:r>
      <w:r>
        <w:rPr>
          <w:rFonts w:ascii="Times New Roman" w:hAnsi="Times New Roman" w:eastAsia="Times New Roman" w:cs="Times New Roman"/>
          <w:b/>
          <w:bCs/>
          <w:spacing w:val="-11"/>
          <w:position w:val="-1"/>
          <w:sz w:val="13"/>
          <w:szCs w:val="13"/>
        </w:rPr>
        <w:t xml:space="preserve"> </w:t>
      </w:r>
      <w:r>
        <w:rPr>
          <w:rFonts w:ascii="宋体" w:hAnsi="宋体" w:eastAsia="宋体" w:cs="宋体"/>
          <w:b/>
          <w:bCs/>
          <w:spacing w:val="5"/>
          <w:sz w:val="20"/>
          <w:szCs w:val="20"/>
        </w:rPr>
        <w:t>、</w:t>
      </w:r>
      <w:r>
        <w:rPr>
          <w:rFonts w:ascii="Times New Roman" w:hAnsi="Times New Roman" w:eastAsia="Times New Roman" w:cs="Times New Roman"/>
          <w:b/>
          <w:bCs/>
          <w:spacing w:val="5"/>
          <w:sz w:val="20"/>
          <w:szCs w:val="20"/>
        </w:rPr>
        <w:t>H</w:t>
      </w:r>
      <w:r>
        <w:rPr>
          <w:rFonts w:ascii="Times New Roman" w:hAnsi="Times New Roman" w:eastAsia="Times New Roman" w:cs="Times New Roman"/>
          <w:b/>
          <w:bCs/>
          <w:spacing w:val="5"/>
          <w:position w:val="-1"/>
          <w:sz w:val="13"/>
          <w:szCs w:val="13"/>
        </w:rPr>
        <w:t>2</w:t>
      </w:r>
      <w:r>
        <w:rPr>
          <w:rFonts w:ascii="Times New Roman" w:hAnsi="Times New Roman" w:eastAsia="Times New Roman" w:cs="Times New Roman"/>
          <w:b/>
          <w:bCs/>
          <w:spacing w:val="5"/>
          <w:sz w:val="20"/>
          <w:szCs w:val="20"/>
        </w:rPr>
        <w:t xml:space="preserve">S </w:t>
      </w:r>
      <w:r>
        <w:rPr>
          <w:rFonts w:ascii="宋体" w:hAnsi="宋体" w:eastAsia="宋体" w:cs="宋体"/>
          <w:b/>
          <w:bCs/>
          <w:spacing w:val="5"/>
          <w:sz w:val="20"/>
          <w:szCs w:val="20"/>
        </w:rPr>
        <w:t>产生源强统计表</w:t>
      </w:r>
    </w:p>
    <w:p w14:paraId="635939E7">
      <w:pPr>
        <w:spacing w:line="103" w:lineRule="exact"/>
      </w:pPr>
    </w:p>
    <w:tbl>
      <w:tblPr>
        <w:tblStyle w:val="5"/>
        <w:tblW w:w="89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2"/>
        <w:gridCol w:w="1791"/>
        <w:gridCol w:w="1787"/>
        <w:gridCol w:w="1787"/>
        <w:gridCol w:w="1792"/>
      </w:tblGrid>
      <w:tr w14:paraId="4FB15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792" w:type="dxa"/>
            <w:vAlign w:val="top"/>
          </w:tcPr>
          <w:p w14:paraId="7F57DC21">
            <w:pPr>
              <w:pStyle w:val="6"/>
              <w:spacing w:before="62" w:line="229" w:lineRule="auto"/>
              <w:ind w:left="708"/>
            </w:pPr>
            <w:r>
              <w:rPr>
                <w:spacing w:val="-3"/>
              </w:rPr>
              <w:t>区域</w:t>
            </w:r>
          </w:p>
        </w:tc>
        <w:tc>
          <w:tcPr>
            <w:tcW w:w="1791" w:type="dxa"/>
            <w:vAlign w:val="top"/>
          </w:tcPr>
          <w:p w14:paraId="1885670C">
            <w:pPr>
              <w:pStyle w:val="6"/>
              <w:spacing w:before="62" w:line="228" w:lineRule="auto"/>
              <w:ind w:left="691"/>
            </w:pPr>
            <w:r>
              <w:rPr>
                <w:spacing w:val="4"/>
              </w:rPr>
              <w:t>类别</w:t>
            </w:r>
          </w:p>
        </w:tc>
        <w:tc>
          <w:tcPr>
            <w:tcW w:w="1787" w:type="dxa"/>
            <w:vAlign w:val="top"/>
          </w:tcPr>
          <w:p w14:paraId="3C186AA6">
            <w:pPr>
              <w:pStyle w:val="6"/>
              <w:spacing w:before="62" w:line="228" w:lineRule="auto"/>
              <w:ind w:left="375"/>
            </w:pPr>
            <w:r>
              <w:rPr>
                <w:spacing w:val="5"/>
              </w:rPr>
              <w:t>数量（头）</w:t>
            </w:r>
          </w:p>
        </w:tc>
        <w:tc>
          <w:tcPr>
            <w:tcW w:w="1787" w:type="dxa"/>
            <w:vAlign w:val="top"/>
          </w:tcPr>
          <w:p w14:paraId="1CF6A552">
            <w:pPr>
              <w:spacing w:before="101" w:line="231" w:lineRule="auto"/>
              <w:ind w:left="704"/>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792" w:type="dxa"/>
            <w:vAlign w:val="top"/>
          </w:tcPr>
          <w:p w14:paraId="1CD625B6">
            <w:pPr>
              <w:spacing w:before="98" w:line="234" w:lineRule="auto"/>
              <w:ind w:left="7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r>
      <w:tr w14:paraId="2B576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792" w:type="dxa"/>
            <w:vAlign w:val="top"/>
          </w:tcPr>
          <w:p w14:paraId="66600CC8">
            <w:pPr>
              <w:pStyle w:val="6"/>
              <w:spacing w:before="60" w:line="228" w:lineRule="auto"/>
              <w:ind w:left="375"/>
            </w:pPr>
            <w:r>
              <w:rPr>
                <w:spacing w:val="8"/>
              </w:rPr>
              <w:t>猪养殖区域</w:t>
            </w:r>
          </w:p>
        </w:tc>
        <w:tc>
          <w:tcPr>
            <w:tcW w:w="1791" w:type="dxa"/>
            <w:vAlign w:val="top"/>
          </w:tcPr>
          <w:p w14:paraId="172352FB">
            <w:pPr>
              <w:pStyle w:val="6"/>
              <w:spacing w:before="60" w:line="228" w:lineRule="auto"/>
              <w:ind w:left="593"/>
            </w:pPr>
            <w:r>
              <w:rPr>
                <w:spacing w:val="4"/>
              </w:rPr>
              <w:t>育肥猪</w:t>
            </w:r>
          </w:p>
        </w:tc>
        <w:tc>
          <w:tcPr>
            <w:tcW w:w="1787" w:type="dxa"/>
            <w:vAlign w:val="top"/>
          </w:tcPr>
          <w:p w14:paraId="338F0292">
            <w:pPr>
              <w:spacing w:before="29"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7000</w:t>
            </w:r>
          </w:p>
        </w:tc>
        <w:tc>
          <w:tcPr>
            <w:tcW w:w="1787" w:type="dxa"/>
            <w:vAlign w:val="top"/>
          </w:tcPr>
          <w:p w14:paraId="031815D6">
            <w:pPr>
              <w:spacing w:before="29" w:line="274" w:lineRule="exact"/>
              <w:ind w:left="599"/>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1.4kg/d</w:t>
            </w:r>
          </w:p>
        </w:tc>
        <w:tc>
          <w:tcPr>
            <w:tcW w:w="1792" w:type="dxa"/>
            <w:vAlign w:val="top"/>
          </w:tcPr>
          <w:p w14:paraId="5C40928D">
            <w:pPr>
              <w:spacing w:before="29" w:line="274" w:lineRule="exact"/>
              <w:ind w:left="478"/>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0.084</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4"/>
                <w:position w:val="3"/>
                <w:sz w:val="20"/>
                <w:szCs w:val="20"/>
              </w:rPr>
              <w:t>/d</w:t>
            </w:r>
          </w:p>
        </w:tc>
      </w:tr>
    </w:tbl>
    <w:p w14:paraId="3928BD89">
      <w:pPr>
        <w:spacing w:before="254" w:line="361" w:lineRule="auto"/>
        <w:ind w:left="122" w:right="167" w:firstLine="480"/>
        <w:rPr>
          <w:rFonts w:ascii="宋体" w:hAnsi="宋体" w:eastAsia="宋体" w:cs="宋体"/>
          <w:sz w:val="24"/>
          <w:szCs w:val="24"/>
        </w:rPr>
      </w:pPr>
      <w:r>
        <w:rPr>
          <w:rFonts w:ascii="宋体" w:hAnsi="宋体" w:eastAsia="宋体" w:cs="宋体"/>
          <w:spacing w:val="4"/>
          <w:sz w:val="24"/>
          <w:szCs w:val="24"/>
        </w:rPr>
        <w:t>根据上表计算可知，项目猪养殖区域恶臭</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4"/>
          <w:position w:val="-1"/>
          <w:sz w:val="15"/>
          <w:szCs w:val="15"/>
        </w:rPr>
        <w:t xml:space="preserve">3 </w:t>
      </w:r>
      <w:r>
        <w:rPr>
          <w:rFonts w:ascii="宋体" w:hAnsi="宋体" w:eastAsia="宋体" w:cs="宋体"/>
          <w:spacing w:val="4"/>
          <w:sz w:val="24"/>
          <w:szCs w:val="24"/>
        </w:rPr>
        <w:t>、</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面源源强为</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0.058</w:t>
      </w:r>
      <w:r>
        <w:rPr>
          <w:rFonts w:ascii="Times New Roman" w:hAnsi="Times New Roman" w:eastAsia="Times New Roman" w:cs="Times New Roman"/>
          <w:sz w:val="24"/>
          <w:szCs w:val="24"/>
        </w:rPr>
        <w:t>kg</w:t>
      </w:r>
      <w:r>
        <w:rPr>
          <w:rFonts w:ascii="Times New Roman" w:hAnsi="Times New Roman" w:eastAsia="Times New Roman" w:cs="Times New Roman"/>
          <w:spacing w:val="3"/>
          <w:sz w:val="24"/>
          <w:szCs w:val="24"/>
        </w:rPr>
        <w:t>/h</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0.0035kg/h</w:t>
      </w:r>
      <w:r>
        <w:rPr>
          <w:rFonts w:ascii="宋体" w:hAnsi="宋体" w:eastAsia="宋体" w:cs="宋体"/>
          <w:spacing w:val="-1"/>
          <w:sz w:val="24"/>
          <w:szCs w:val="24"/>
        </w:rPr>
        <w:t>。</w:t>
      </w:r>
    </w:p>
    <w:p w14:paraId="2FA5904A">
      <w:pPr>
        <w:spacing w:before="75" w:line="379" w:lineRule="auto"/>
        <w:ind w:left="118" w:right="49" w:firstLine="488"/>
        <w:jc w:val="both"/>
        <w:rPr>
          <w:rFonts w:ascii="宋体" w:hAnsi="宋体" w:eastAsia="宋体" w:cs="宋体"/>
          <w:sz w:val="24"/>
          <w:szCs w:val="24"/>
        </w:rPr>
      </w:pPr>
      <w:r>
        <w:rPr>
          <w:rFonts w:ascii="宋体" w:hAnsi="宋体" w:eastAsia="宋体" w:cs="宋体"/>
          <w:spacing w:val="-3"/>
          <w:sz w:val="24"/>
          <w:szCs w:val="24"/>
        </w:rPr>
        <w:t>项目拟在猪舍及周围产生恶臭地方喷洒除臭剂，根据《自然科学》现代化农业，</w:t>
      </w:r>
      <w:r>
        <w:rPr>
          <w:rFonts w:ascii="宋体" w:hAnsi="宋体" w:eastAsia="宋体" w:cs="宋体"/>
          <w:spacing w:val="2"/>
          <w:sz w:val="24"/>
          <w:szCs w:val="24"/>
        </w:rPr>
        <w:t xml:space="preserve"> </w:t>
      </w:r>
      <w:r>
        <w:rPr>
          <w:rFonts w:ascii="Times New Roman" w:hAnsi="Times New Roman" w:eastAsia="Times New Roman" w:cs="Times New Roman"/>
          <w:sz w:val="24"/>
          <w:szCs w:val="24"/>
        </w:rPr>
        <w:t xml:space="preserve">2011 </w:t>
      </w:r>
      <w:r>
        <w:rPr>
          <w:rFonts w:ascii="宋体" w:hAnsi="宋体" w:eastAsia="宋体" w:cs="宋体"/>
          <w:sz w:val="24"/>
          <w:szCs w:val="24"/>
        </w:rPr>
        <w:t>年第</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6 </w:t>
      </w:r>
      <w:r>
        <w:rPr>
          <w:rFonts w:ascii="宋体" w:hAnsi="宋体" w:eastAsia="宋体" w:cs="宋体"/>
          <w:sz w:val="24"/>
          <w:szCs w:val="24"/>
        </w:rPr>
        <w:t>期（总第</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 xml:space="preserve">383 </w:t>
      </w:r>
      <w:r>
        <w:rPr>
          <w:rFonts w:ascii="宋体" w:hAnsi="宋体" w:eastAsia="宋体" w:cs="宋体"/>
          <w:sz w:val="24"/>
          <w:szCs w:val="24"/>
        </w:rPr>
        <w:t xml:space="preserve">期）《微生物除臭剂研究进展》（赵晓锋，隋文志）的资 </w:t>
      </w:r>
      <w:r>
        <w:rPr>
          <w:rFonts w:ascii="宋体" w:hAnsi="宋体" w:eastAsia="宋体" w:cs="宋体"/>
          <w:spacing w:val="1"/>
          <w:sz w:val="24"/>
          <w:szCs w:val="24"/>
        </w:rPr>
        <w:t>料，经国家环境分析测试中心和陕西环境监测中心测试，</w:t>
      </w:r>
      <w:r>
        <w:rPr>
          <w:rFonts w:ascii="宋体" w:hAnsi="宋体" w:eastAsia="宋体" w:cs="宋体"/>
          <w:spacing w:val="-64"/>
          <w:sz w:val="24"/>
          <w:szCs w:val="24"/>
        </w:rPr>
        <w:t xml:space="preserve"> </w:t>
      </w:r>
      <w:r>
        <w:rPr>
          <w:rFonts w:ascii="宋体" w:hAnsi="宋体" w:eastAsia="宋体" w:cs="宋体"/>
          <w:spacing w:val="1"/>
          <w:sz w:val="24"/>
          <w:szCs w:val="24"/>
        </w:rPr>
        <w:t>目</w:t>
      </w:r>
      <w:r>
        <w:rPr>
          <w:rFonts w:ascii="宋体" w:hAnsi="宋体" w:eastAsia="宋体" w:cs="宋体"/>
          <w:sz w:val="24"/>
          <w:szCs w:val="24"/>
        </w:rPr>
        <w:t xml:space="preserve">前市场上微生物除臭剂 </w:t>
      </w:r>
      <w:r>
        <w:rPr>
          <w:rFonts w:ascii="宋体" w:hAnsi="宋体" w:eastAsia="宋体" w:cs="宋体"/>
          <w:spacing w:val="-3"/>
          <w:sz w:val="24"/>
          <w:szCs w:val="24"/>
        </w:rPr>
        <w:t>对</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10"/>
          <w:w w:val="101"/>
          <w:position w:val="-1"/>
          <w:sz w:val="15"/>
          <w:szCs w:val="15"/>
        </w:rPr>
        <w:t xml:space="preserve"> </w:t>
      </w:r>
      <w:r>
        <w:rPr>
          <w:rFonts w:ascii="宋体" w:hAnsi="宋体" w:eastAsia="宋体" w:cs="宋体"/>
          <w:spacing w:val="-3"/>
          <w:sz w:val="24"/>
          <w:szCs w:val="24"/>
        </w:rPr>
        <w:t>和</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的去除效率能达</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92.6%</w:t>
      </w:r>
      <w:r>
        <w:rPr>
          <w:rFonts w:ascii="宋体" w:hAnsi="宋体" w:eastAsia="宋体" w:cs="宋体"/>
          <w:spacing w:val="-3"/>
          <w:sz w:val="24"/>
          <w:szCs w:val="24"/>
        </w:rPr>
        <w:t>和</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89%</w:t>
      </w:r>
      <w:r>
        <w:rPr>
          <w:rFonts w:ascii="宋体" w:hAnsi="宋体" w:eastAsia="宋体" w:cs="宋体"/>
          <w:spacing w:val="-3"/>
          <w:sz w:val="24"/>
          <w:szCs w:val="24"/>
        </w:rPr>
        <w:t>以上。</w:t>
      </w:r>
    </w:p>
    <w:p w14:paraId="44693FDD">
      <w:pPr>
        <w:spacing w:line="379" w:lineRule="auto"/>
        <w:rPr>
          <w:rFonts w:ascii="宋体" w:hAnsi="宋体" w:eastAsia="宋体" w:cs="宋体"/>
          <w:sz w:val="24"/>
          <w:szCs w:val="24"/>
        </w:rPr>
        <w:sectPr>
          <w:footerReference r:id="rId78" w:type="default"/>
          <w:pgSz w:w="11906" w:h="16839"/>
          <w:pgMar w:top="400" w:right="1475" w:bottom="1485" w:left="1475" w:header="0" w:footer="1249" w:gutter="0"/>
          <w:cols w:space="720" w:num="1"/>
        </w:sectPr>
      </w:pPr>
    </w:p>
    <w:p w14:paraId="25E36291">
      <w:pPr>
        <w:pStyle w:val="2"/>
        <w:spacing w:line="264" w:lineRule="auto"/>
      </w:pPr>
    </w:p>
    <w:p w14:paraId="4CF92281">
      <w:pPr>
        <w:pStyle w:val="2"/>
        <w:spacing w:line="264" w:lineRule="auto"/>
      </w:pPr>
    </w:p>
    <w:p w14:paraId="2D0833BC">
      <w:pPr>
        <w:pStyle w:val="2"/>
        <w:spacing w:line="265" w:lineRule="auto"/>
      </w:pPr>
    </w:p>
    <w:p w14:paraId="1D999DF4">
      <w:pPr>
        <w:pStyle w:val="2"/>
        <w:spacing w:line="265" w:lineRule="auto"/>
      </w:pPr>
    </w:p>
    <w:p w14:paraId="2B28A4A2">
      <w:pPr>
        <w:spacing w:before="78" w:line="242" w:lineRule="auto"/>
        <w:ind w:left="602"/>
        <w:rPr>
          <w:rFonts w:ascii="宋体" w:hAnsi="宋体" w:eastAsia="宋体" w:cs="宋体"/>
          <w:sz w:val="24"/>
          <w:szCs w:val="24"/>
        </w:rPr>
      </w:pPr>
      <w:r>
        <w:rPr>
          <w:rFonts w:ascii="宋体" w:hAnsi="宋体" w:eastAsia="宋体" w:cs="宋体"/>
          <w:spacing w:val="-1"/>
          <w:sz w:val="24"/>
          <w:szCs w:val="24"/>
        </w:rPr>
        <w:t>根据《集约化猪场</w:t>
      </w:r>
      <w:r>
        <w:rPr>
          <w:rFonts w:ascii="宋体" w:hAnsi="宋体" w:eastAsia="宋体" w:cs="宋体"/>
          <w:spacing w:val="-63"/>
          <w:sz w:val="24"/>
          <w:szCs w:val="24"/>
        </w:rPr>
        <w:t xml:space="preserve"> </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28"/>
          <w:w w:val="101"/>
          <w:position w:val="-1"/>
          <w:sz w:val="15"/>
          <w:szCs w:val="15"/>
        </w:rPr>
        <w:t xml:space="preserve"> </w:t>
      </w:r>
      <w:r>
        <w:rPr>
          <w:rFonts w:ascii="宋体" w:hAnsi="宋体" w:eastAsia="宋体" w:cs="宋体"/>
          <w:spacing w:val="-1"/>
          <w:sz w:val="24"/>
          <w:szCs w:val="24"/>
        </w:rPr>
        <w:t>的排放系数研究》（代小蓉，浙江大学硕士学位论文</w:t>
      </w:r>
    </w:p>
    <w:p w14:paraId="5A369FD8">
      <w:pPr>
        <w:spacing w:before="140" w:line="370" w:lineRule="auto"/>
        <w:ind w:left="117" w:right="49"/>
        <w:rPr>
          <w:rFonts w:ascii="宋体" w:hAnsi="宋体" w:eastAsia="宋体" w:cs="宋体"/>
          <w:sz w:val="24"/>
          <w:szCs w:val="24"/>
        </w:rPr>
      </w:pPr>
      <w:r>
        <w:rPr>
          <w:rFonts w:ascii="Times New Roman" w:hAnsi="Times New Roman" w:eastAsia="Times New Roman" w:cs="Times New Roman"/>
          <w:spacing w:val="-4"/>
          <w:sz w:val="24"/>
          <w:szCs w:val="24"/>
        </w:rPr>
        <w:t xml:space="preserve">2010 </w:t>
      </w:r>
      <w:r>
        <w:rPr>
          <w:rFonts w:ascii="宋体" w:hAnsi="宋体" w:eastAsia="宋体" w:cs="宋体"/>
          <w:spacing w:val="-4"/>
          <w:sz w:val="24"/>
          <w:szCs w:val="24"/>
        </w:rPr>
        <w:t>年）、《集约化猪场的恶臭排放与扩散研究》（魏波，浙江大学硕士学位论文，</w:t>
      </w:r>
      <w:r>
        <w:rPr>
          <w:rFonts w:ascii="宋体" w:hAnsi="宋体" w:eastAsia="宋体" w:cs="宋体"/>
          <w:spacing w:val="6"/>
          <w:sz w:val="24"/>
          <w:szCs w:val="24"/>
        </w:rPr>
        <w:t xml:space="preserve"> </w:t>
      </w:r>
      <w:r>
        <w:rPr>
          <w:rFonts w:ascii="Times New Roman" w:hAnsi="Times New Roman" w:eastAsia="Times New Roman" w:cs="Times New Roman"/>
          <w:spacing w:val="1"/>
          <w:sz w:val="24"/>
          <w:szCs w:val="24"/>
        </w:rPr>
        <w:t>2011</w:t>
      </w:r>
      <w:r>
        <w:rPr>
          <w:rFonts w:ascii="宋体" w:hAnsi="宋体" w:eastAsia="宋体" w:cs="宋体"/>
          <w:spacing w:val="1"/>
          <w:sz w:val="24"/>
          <w:szCs w:val="24"/>
        </w:rPr>
        <w:t>年）等研究成果表明：①猪舍结构对</w:t>
      </w:r>
      <w:r>
        <w:rPr>
          <w:rFonts w:ascii="宋体" w:hAnsi="宋体" w:eastAsia="宋体" w:cs="宋体"/>
          <w:spacing w:val="-63"/>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28"/>
          <w:w w:val="102"/>
          <w:position w:val="-1"/>
          <w:sz w:val="15"/>
          <w:szCs w:val="15"/>
        </w:rPr>
        <w:t xml:space="preserve"> </w:t>
      </w:r>
      <w:r>
        <w:rPr>
          <w:rFonts w:ascii="宋体" w:hAnsi="宋体" w:eastAsia="宋体" w:cs="宋体"/>
          <w:sz w:val="24"/>
          <w:szCs w:val="24"/>
        </w:rPr>
        <w:t xml:space="preserve">的转化和损失有很大的影响，猪舍内 </w:t>
      </w:r>
      <w:r>
        <w:rPr>
          <w:rFonts w:ascii="宋体" w:hAnsi="宋体" w:eastAsia="宋体" w:cs="宋体"/>
          <w:spacing w:val="1"/>
          <w:sz w:val="24"/>
          <w:szCs w:val="24"/>
        </w:rPr>
        <w:t>减少漏缝面积和储粪坑挥发表面积可以减少</w:t>
      </w:r>
      <w:r>
        <w:rPr>
          <w:rFonts w:ascii="宋体" w:hAnsi="宋体" w:eastAsia="宋体" w:cs="宋体"/>
          <w:spacing w:val="-62"/>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1"/>
          <w:position w:val="-1"/>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的挥发，如将地</w:t>
      </w:r>
      <w:r>
        <w:rPr>
          <w:rFonts w:ascii="宋体" w:hAnsi="宋体" w:eastAsia="宋体" w:cs="宋体"/>
          <w:sz w:val="24"/>
          <w:szCs w:val="24"/>
        </w:rPr>
        <w:t>面</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50%</w:t>
      </w:r>
      <w:r>
        <w:rPr>
          <w:rFonts w:ascii="宋体" w:hAnsi="宋体" w:eastAsia="宋体" w:cs="宋体"/>
          <w:sz w:val="24"/>
          <w:szCs w:val="24"/>
        </w:rPr>
        <w:t>漏缝 面积降到</w:t>
      </w:r>
      <w:r>
        <w:rPr>
          <w:rFonts w:ascii="Times New Roman" w:hAnsi="Times New Roman" w:eastAsia="Times New Roman" w:cs="Times New Roman"/>
          <w:sz w:val="24"/>
          <w:szCs w:val="24"/>
        </w:rPr>
        <w:t>25%</w:t>
      </w:r>
      <w:r>
        <w:rPr>
          <w:rFonts w:ascii="Times New Roman" w:hAnsi="Times New Roman" w:eastAsia="Times New Roman" w:cs="Times New Roman"/>
          <w:spacing w:val="-17"/>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3</w:t>
      </w:r>
      <w:r>
        <w:rPr>
          <w:rFonts w:ascii="Times New Roman" w:hAnsi="Times New Roman" w:eastAsia="Times New Roman" w:cs="Times New Roman"/>
          <w:spacing w:val="-10"/>
          <w:position w:val="-1"/>
          <w:sz w:val="15"/>
          <w:szCs w:val="15"/>
        </w:rPr>
        <w:t xml:space="preserve"> </w:t>
      </w:r>
      <w:r>
        <w:rPr>
          <w:rFonts w:ascii="宋体" w:hAnsi="宋体" w:eastAsia="宋体" w:cs="宋体"/>
          <w:sz w:val="24"/>
          <w:szCs w:val="24"/>
        </w:rPr>
        <w:t>、</w:t>
      </w:r>
      <w:r>
        <w:rPr>
          <w:rFonts w:ascii="Times New Roman" w:hAnsi="Times New Roman" w:eastAsia="Times New Roman" w:cs="Times New Roman"/>
          <w:sz w:val="24"/>
          <w:szCs w:val="24"/>
        </w:rPr>
        <w:t>H</w:t>
      </w:r>
      <w:r>
        <w:rPr>
          <w:rFonts w:ascii="Times New Roman" w:hAnsi="Times New Roman" w:eastAsia="Times New Roman" w:cs="Times New Roman"/>
          <w:position w:val="-1"/>
          <w:sz w:val="15"/>
          <w:szCs w:val="15"/>
        </w:rPr>
        <w:t>2</w:t>
      </w:r>
      <w:r>
        <w:rPr>
          <w:rFonts w:ascii="Times New Roman" w:hAnsi="Times New Roman" w:eastAsia="Times New Roman" w:cs="Times New Roman"/>
          <w:sz w:val="24"/>
          <w:szCs w:val="24"/>
        </w:rPr>
        <w:t xml:space="preserve">S </w:t>
      </w:r>
      <w:r>
        <w:rPr>
          <w:rFonts w:ascii="宋体" w:hAnsi="宋体" w:eastAsia="宋体" w:cs="宋体"/>
          <w:sz w:val="24"/>
          <w:szCs w:val="24"/>
        </w:rPr>
        <w:t>排放量可下降</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20%</w:t>
      </w:r>
      <w:r>
        <w:rPr>
          <w:rFonts w:ascii="宋体" w:hAnsi="宋体" w:eastAsia="宋体" w:cs="宋体"/>
          <w:sz w:val="24"/>
          <w:szCs w:val="24"/>
        </w:rPr>
        <w:t>；②及时清粪可以减少</w:t>
      </w:r>
      <w:r>
        <w:rPr>
          <w:rFonts w:ascii="宋体" w:hAnsi="宋体" w:eastAsia="宋体" w:cs="宋体"/>
          <w:spacing w:val="-60"/>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3</w:t>
      </w:r>
      <w:r>
        <w:rPr>
          <w:rFonts w:ascii="Times New Roman" w:hAnsi="Times New Roman" w:eastAsia="Times New Roman" w:cs="Times New Roman"/>
          <w:spacing w:val="-11"/>
          <w:position w:val="-1"/>
          <w:sz w:val="15"/>
          <w:szCs w:val="15"/>
        </w:rPr>
        <w:t xml:space="preserve"> </w:t>
      </w:r>
      <w:r>
        <w:rPr>
          <w:rFonts w:ascii="宋体" w:hAnsi="宋体" w:eastAsia="宋体" w:cs="宋体"/>
          <w:sz w:val="24"/>
          <w:szCs w:val="24"/>
        </w:rPr>
        <w:t>、</w:t>
      </w:r>
      <w:r>
        <w:rPr>
          <w:rFonts w:ascii="Times New Roman" w:hAnsi="Times New Roman" w:eastAsia="Times New Roman" w:cs="Times New Roman"/>
          <w:sz w:val="24"/>
          <w:szCs w:val="24"/>
        </w:rPr>
        <w:t>H</w:t>
      </w:r>
      <w:r>
        <w:rPr>
          <w:rFonts w:ascii="Times New Roman" w:hAnsi="Times New Roman" w:eastAsia="Times New Roman" w:cs="Times New Roman"/>
          <w:position w:val="-1"/>
          <w:sz w:val="15"/>
          <w:szCs w:val="15"/>
        </w:rPr>
        <w:t>2</w:t>
      </w:r>
      <w:r>
        <w:rPr>
          <w:rFonts w:ascii="Times New Roman" w:hAnsi="Times New Roman" w:eastAsia="Times New Roman" w:cs="Times New Roman"/>
          <w:sz w:val="24"/>
          <w:szCs w:val="24"/>
        </w:rPr>
        <w:t xml:space="preserve">S60%  </w:t>
      </w:r>
      <w:r>
        <w:rPr>
          <w:rFonts w:ascii="宋体" w:hAnsi="宋体" w:eastAsia="宋体" w:cs="宋体"/>
          <w:spacing w:val="3"/>
          <w:sz w:val="24"/>
          <w:szCs w:val="24"/>
        </w:rPr>
        <w:t>以上的排放量；③机械通风方式下平均通风速率较自然通风速率高</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 xml:space="preserve">2~4 </w:t>
      </w:r>
      <w:r>
        <w:rPr>
          <w:rFonts w:ascii="宋体" w:hAnsi="宋体" w:eastAsia="宋体" w:cs="宋体"/>
          <w:spacing w:val="3"/>
          <w:sz w:val="24"/>
          <w:szCs w:val="24"/>
        </w:rPr>
        <w:t>倍，</w:t>
      </w:r>
      <w:r>
        <w:rPr>
          <w:rFonts w:ascii="Times New Roman" w:hAnsi="Times New Roman" w:eastAsia="Times New Roman" w:cs="Times New Roman"/>
          <w:sz w:val="24"/>
          <w:szCs w:val="24"/>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8"/>
          <w:position w:val="-1"/>
          <w:sz w:val="15"/>
          <w:szCs w:val="15"/>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 xml:space="preserve">S </w:t>
      </w:r>
      <w:r>
        <w:rPr>
          <w:rFonts w:ascii="宋体" w:hAnsi="宋体" w:eastAsia="宋体" w:cs="宋体"/>
          <w:spacing w:val="-1"/>
          <w:sz w:val="24"/>
          <w:szCs w:val="24"/>
        </w:rPr>
        <w:t>浓度降低</w:t>
      </w:r>
      <w:r>
        <w:rPr>
          <w:rFonts w:ascii="Times New Roman" w:hAnsi="Times New Roman" w:eastAsia="Times New Roman" w:cs="Times New Roman"/>
          <w:spacing w:val="-1"/>
          <w:sz w:val="24"/>
          <w:szCs w:val="24"/>
        </w:rPr>
        <w:t>33%~88%</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，降低猪舍环境温度可以减少猪粪中</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33%~88%NH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2"/>
          <w:position w:val="-1"/>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的</w:t>
      </w:r>
      <w:r>
        <w:rPr>
          <w:rFonts w:ascii="宋体" w:hAnsi="宋体" w:eastAsia="宋体" w:cs="宋体"/>
          <w:sz w:val="24"/>
          <w:szCs w:val="24"/>
        </w:rPr>
        <w:t xml:space="preserve"> </w:t>
      </w:r>
      <w:r>
        <w:rPr>
          <w:rFonts w:ascii="宋体" w:hAnsi="宋体" w:eastAsia="宋体" w:cs="宋体"/>
          <w:spacing w:val="-2"/>
          <w:sz w:val="24"/>
          <w:szCs w:val="24"/>
        </w:rPr>
        <w:t>产生量。</w:t>
      </w:r>
    </w:p>
    <w:p w14:paraId="694B9E96">
      <w:pPr>
        <w:spacing w:before="95" w:line="373" w:lineRule="auto"/>
        <w:ind w:left="121" w:right="107" w:firstLine="484"/>
        <w:rPr>
          <w:rFonts w:ascii="宋体" w:hAnsi="宋体" w:eastAsia="宋体" w:cs="宋体"/>
          <w:sz w:val="24"/>
          <w:szCs w:val="24"/>
        </w:rPr>
      </w:pPr>
      <w:r>
        <w:rPr>
          <w:rFonts w:ascii="宋体" w:hAnsi="宋体" w:eastAsia="宋体" w:cs="宋体"/>
          <w:spacing w:val="2"/>
          <w:sz w:val="24"/>
          <w:szCs w:val="24"/>
        </w:rPr>
        <w:t>综合所述，项目减少漏缝面积的畜舍结构、采用干清粪工艺清理粪便，通过加</w:t>
      </w:r>
      <w:r>
        <w:rPr>
          <w:rFonts w:ascii="宋体" w:hAnsi="宋体" w:eastAsia="宋体" w:cs="宋体"/>
          <w:spacing w:val="7"/>
          <w:sz w:val="24"/>
          <w:szCs w:val="24"/>
        </w:rPr>
        <w:t xml:space="preserve"> </w:t>
      </w:r>
      <w:r>
        <w:rPr>
          <w:rFonts w:ascii="宋体" w:hAnsi="宋体" w:eastAsia="宋体" w:cs="宋体"/>
          <w:spacing w:val="2"/>
          <w:sz w:val="24"/>
          <w:szCs w:val="24"/>
        </w:rPr>
        <w:t>强猪舍清洁卫生管理、及时清理粪便等方式，保持猪舍清洁；同时在猪舍内安装喷</w:t>
      </w:r>
      <w:r>
        <w:rPr>
          <w:rFonts w:ascii="宋体" w:hAnsi="宋体" w:eastAsia="宋体" w:cs="宋体"/>
          <w:spacing w:val="8"/>
          <w:sz w:val="24"/>
          <w:szCs w:val="24"/>
        </w:rPr>
        <w:t xml:space="preserve"> </w:t>
      </w:r>
      <w:r>
        <w:rPr>
          <w:rFonts w:ascii="宋体" w:hAnsi="宋体" w:eastAsia="宋体" w:cs="宋体"/>
          <w:spacing w:val="2"/>
          <w:sz w:val="24"/>
          <w:szCs w:val="24"/>
        </w:rPr>
        <w:t>雾装置，喷洒生物除臭剂对猪舍进行除臭；对猪舍采取空调、水帘等相结合的方式</w:t>
      </w:r>
      <w:r>
        <w:rPr>
          <w:rFonts w:ascii="宋体" w:hAnsi="宋体" w:eastAsia="宋体" w:cs="宋体"/>
          <w:spacing w:val="8"/>
          <w:sz w:val="24"/>
          <w:szCs w:val="24"/>
        </w:rPr>
        <w:t xml:space="preserve"> </w:t>
      </w:r>
      <w:r>
        <w:rPr>
          <w:rFonts w:ascii="宋体" w:hAnsi="宋体" w:eastAsia="宋体" w:cs="宋体"/>
          <w:spacing w:val="2"/>
          <w:sz w:val="24"/>
          <w:szCs w:val="24"/>
        </w:rPr>
        <w:t>进行猪舍降温；加强机械通风，加速粪便的干燥，减少臭气的排放；在畜舍周围种</w:t>
      </w:r>
      <w:r>
        <w:rPr>
          <w:rFonts w:ascii="宋体" w:hAnsi="宋体" w:eastAsia="宋体" w:cs="宋体"/>
          <w:spacing w:val="8"/>
          <w:sz w:val="24"/>
          <w:szCs w:val="24"/>
        </w:rPr>
        <w:t xml:space="preserve"> </w:t>
      </w:r>
      <w:r>
        <w:rPr>
          <w:rFonts w:ascii="宋体" w:hAnsi="宋体" w:eastAsia="宋体" w:cs="宋体"/>
          <w:spacing w:val="2"/>
          <w:sz w:val="24"/>
          <w:szCs w:val="24"/>
        </w:rPr>
        <w:t>植树木、草皮，植物可吸收恶臭气味，降低恶臭气味的浓度。采取以上措施，可去</w:t>
      </w:r>
      <w:r>
        <w:rPr>
          <w:rFonts w:ascii="宋体" w:hAnsi="宋体" w:eastAsia="宋体" w:cs="宋体"/>
          <w:spacing w:val="8"/>
          <w:sz w:val="24"/>
          <w:szCs w:val="24"/>
        </w:rPr>
        <w:t xml:space="preserve"> </w:t>
      </w:r>
      <w:r>
        <w:rPr>
          <w:rFonts w:ascii="宋体" w:hAnsi="宋体" w:eastAsia="宋体" w:cs="宋体"/>
          <w:spacing w:val="-1"/>
          <w:sz w:val="24"/>
          <w:szCs w:val="24"/>
        </w:rPr>
        <w:t>除</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50%</w:t>
      </w:r>
      <w:r>
        <w:rPr>
          <w:rFonts w:ascii="宋体" w:hAnsi="宋体" w:eastAsia="宋体" w:cs="宋体"/>
          <w:spacing w:val="-1"/>
          <w:sz w:val="24"/>
          <w:szCs w:val="24"/>
        </w:rPr>
        <w:t>的</w:t>
      </w:r>
      <w:r>
        <w:rPr>
          <w:rFonts w:ascii="宋体" w:hAnsi="宋体" w:eastAsia="宋体" w:cs="宋体"/>
          <w:spacing w:val="-62"/>
          <w:sz w:val="24"/>
          <w:szCs w:val="24"/>
        </w:rPr>
        <w:t xml:space="preserve"> </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1"/>
          <w:sz w:val="15"/>
          <w:szCs w:val="15"/>
        </w:rPr>
        <w:t xml:space="preserve">3   </w:t>
      </w:r>
      <w:r>
        <w:rPr>
          <w:rFonts w:ascii="宋体" w:hAnsi="宋体" w:eastAsia="宋体" w:cs="宋体"/>
          <w:spacing w:val="-1"/>
          <w:sz w:val="24"/>
          <w:szCs w:val="24"/>
        </w:rPr>
        <w:t>和</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。综合以上管理措施，本项</w:t>
      </w:r>
      <w:r>
        <w:rPr>
          <w:rFonts w:ascii="宋体" w:hAnsi="宋体" w:eastAsia="宋体" w:cs="宋体"/>
          <w:spacing w:val="-2"/>
          <w:sz w:val="24"/>
          <w:szCs w:val="24"/>
        </w:rPr>
        <w:t>目猪舍产生的恶臭通过优化饲料、</w:t>
      </w:r>
      <w:r>
        <w:rPr>
          <w:rFonts w:ascii="宋体" w:hAnsi="宋体" w:eastAsia="宋体" w:cs="宋体"/>
          <w:sz w:val="24"/>
          <w:szCs w:val="24"/>
        </w:rPr>
        <w:t xml:space="preserve"> </w:t>
      </w:r>
      <w:r>
        <w:rPr>
          <w:rFonts w:ascii="宋体" w:hAnsi="宋体" w:eastAsia="宋体" w:cs="宋体"/>
          <w:spacing w:val="2"/>
          <w:sz w:val="24"/>
          <w:szCs w:val="24"/>
        </w:rPr>
        <w:t>喷洒除臭剂、加强绿化、合理布局、加强通风、及时清粪等措施进行处理后无组织</w:t>
      </w:r>
      <w:r>
        <w:rPr>
          <w:rFonts w:ascii="宋体" w:hAnsi="宋体" w:eastAsia="宋体" w:cs="宋体"/>
          <w:spacing w:val="8"/>
          <w:sz w:val="24"/>
          <w:szCs w:val="24"/>
        </w:rPr>
        <w:t xml:space="preserve"> </w:t>
      </w:r>
      <w:r>
        <w:rPr>
          <w:rFonts w:ascii="宋体" w:hAnsi="宋体" w:eastAsia="宋体" w:cs="宋体"/>
          <w:spacing w:val="-5"/>
          <w:sz w:val="24"/>
          <w:szCs w:val="24"/>
        </w:rPr>
        <w:t>排放，以上措施对猪舍</w:t>
      </w:r>
      <w:r>
        <w:rPr>
          <w:rFonts w:ascii="宋体" w:hAnsi="宋体" w:eastAsia="宋体" w:cs="宋体"/>
          <w:spacing w:val="-60"/>
          <w:sz w:val="24"/>
          <w:szCs w:val="24"/>
        </w:rPr>
        <w:t xml:space="preserve"> </w:t>
      </w:r>
      <w:r>
        <w:rPr>
          <w:rFonts w:ascii="Times New Roman" w:hAnsi="Times New Roman" w:eastAsia="Times New Roman" w:cs="Times New Roman"/>
          <w:spacing w:val="-5"/>
          <w:sz w:val="24"/>
          <w:szCs w:val="24"/>
        </w:rPr>
        <w:t>NH</w:t>
      </w:r>
      <w:r>
        <w:rPr>
          <w:rFonts w:ascii="Times New Roman" w:hAnsi="Times New Roman" w:eastAsia="Times New Roman" w:cs="Times New Roman"/>
          <w:spacing w:val="-5"/>
          <w:position w:val="-1"/>
          <w:sz w:val="15"/>
          <w:szCs w:val="15"/>
        </w:rPr>
        <w:t>3</w:t>
      </w:r>
      <w:r>
        <w:rPr>
          <w:rFonts w:ascii="Times New Roman" w:hAnsi="Times New Roman" w:eastAsia="Times New Roman" w:cs="Times New Roman"/>
          <w:spacing w:val="31"/>
          <w:w w:val="101"/>
          <w:position w:val="-1"/>
          <w:sz w:val="15"/>
          <w:szCs w:val="15"/>
        </w:rPr>
        <w:t xml:space="preserve"> </w:t>
      </w:r>
      <w:r>
        <w:rPr>
          <w:rFonts w:ascii="宋体" w:hAnsi="宋体" w:eastAsia="宋体" w:cs="宋体"/>
          <w:spacing w:val="-5"/>
          <w:sz w:val="24"/>
          <w:szCs w:val="24"/>
        </w:rPr>
        <w:t>的综合处理效率按</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6"/>
          <w:sz w:val="24"/>
          <w:szCs w:val="24"/>
        </w:rPr>
        <w:t>6.3%</w:t>
      </w:r>
      <w:r>
        <w:rPr>
          <w:rFonts w:ascii="宋体" w:hAnsi="宋体" w:eastAsia="宋体" w:cs="宋体"/>
          <w:spacing w:val="-6"/>
          <w:sz w:val="24"/>
          <w:szCs w:val="24"/>
        </w:rPr>
        <w:t>计，对</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H</w:t>
      </w:r>
      <w:r>
        <w:rPr>
          <w:rFonts w:ascii="Times New Roman" w:hAnsi="Times New Roman" w:eastAsia="Times New Roman" w:cs="Times New Roman"/>
          <w:spacing w:val="-6"/>
          <w:position w:val="-1"/>
          <w:sz w:val="15"/>
          <w:szCs w:val="15"/>
        </w:rPr>
        <w:t>2</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6"/>
          <w:sz w:val="24"/>
          <w:szCs w:val="24"/>
        </w:rPr>
        <w:t>S</w:t>
      </w:r>
      <w:r>
        <w:rPr>
          <w:rFonts w:ascii="Times New Roman" w:hAnsi="Times New Roman" w:eastAsia="Times New Roman" w:cs="Times New Roman"/>
          <w:spacing w:val="28"/>
          <w:sz w:val="24"/>
          <w:szCs w:val="24"/>
        </w:rPr>
        <w:t xml:space="preserve"> </w:t>
      </w:r>
      <w:r>
        <w:rPr>
          <w:rFonts w:ascii="宋体" w:hAnsi="宋体" w:eastAsia="宋体" w:cs="宋体"/>
          <w:spacing w:val="-6"/>
          <w:sz w:val="24"/>
          <w:szCs w:val="24"/>
        </w:rPr>
        <w:t>的处理效率按</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94.5%</w:t>
      </w:r>
      <w:r>
        <w:rPr>
          <w:rFonts w:ascii="Times New Roman" w:hAnsi="Times New Roman" w:eastAsia="Times New Roman" w:cs="Times New Roman"/>
          <w:sz w:val="24"/>
          <w:szCs w:val="24"/>
        </w:rPr>
        <w:t xml:space="preserve"> </w:t>
      </w:r>
      <w:r>
        <w:rPr>
          <w:rFonts w:ascii="宋体" w:hAnsi="宋体" w:eastAsia="宋体" w:cs="宋体"/>
          <w:spacing w:val="-2"/>
          <w:sz w:val="24"/>
          <w:szCs w:val="24"/>
        </w:rPr>
        <w:t>计。则猪只养殖区域</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HN</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34"/>
          <w:position w:val="-1"/>
          <w:sz w:val="15"/>
          <w:szCs w:val="15"/>
        </w:rPr>
        <w:t xml:space="preserve"> </w:t>
      </w:r>
      <w:r>
        <w:rPr>
          <w:rFonts w:ascii="宋体" w:hAnsi="宋体" w:eastAsia="宋体" w:cs="宋体"/>
          <w:spacing w:val="-2"/>
          <w:sz w:val="24"/>
          <w:szCs w:val="24"/>
        </w:rPr>
        <w:t>的排放速率为</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0.002kg/h</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的排放速率为</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0.0002kg/h</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1"/>
          <w:sz w:val="24"/>
          <w:szCs w:val="24"/>
        </w:rPr>
        <w:t>项目恶臭废气产排情况如下表：</w:t>
      </w:r>
    </w:p>
    <w:p w14:paraId="7B551880">
      <w:pPr>
        <w:spacing w:before="214" w:line="228" w:lineRule="auto"/>
        <w:ind w:left="3060"/>
        <w:rPr>
          <w:rFonts w:ascii="宋体" w:hAnsi="宋体" w:eastAsia="宋体" w:cs="宋体"/>
          <w:sz w:val="20"/>
          <w:szCs w:val="20"/>
        </w:rPr>
      </w:pPr>
      <w:r>
        <w:rPr>
          <w:rFonts w:ascii="宋体" w:hAnsi="宋体" w:eastAsia="宋体" w:cs="宋体"/>
          <w:b/>
          <w:bCs/>
          <w:spacing w:val="4"/>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b/>
          <w:bCs/>
          <w:spacing w:val="4"/>
          <w:sz w:val="20"/>
          <w:szCs w:val="20"/>
        </w:rPr>
        <w:t xml:space="preserve">3.5-4 </w:t>
      </w:r>
      <w:r>
        <w:rPr>
          <w:rFonts w:ascii="宋体" w:hAnsi="宋体" w:eastAsia="宋体" w:cs="宋体"/>
          <w:b/>
          <w:bCs/>
          <w:spacing w:val="4"/>
          <w:sz w:val="20"/>
          <w:szCs w:val="20"/>
        </w:rPr>
        <w:t>猪舍</w:t>
      </w:r>
      <w:r>
        <w:rPr>
          <w:rFonts w:ascii="宋体" w:hAnsi="宋体" w:eastAsia="宋体" w:cs="宋体"/>
          <w:spacing w:val="-42"/>
          <w:sz w:val="20"/>
          <w:szCs w:val="20"/>
        </w:rPr>
        <w:t xml:space="preserve"> </w:t>
      </w:r>
      <w:r>
        <w:rPr>
          <w:rFonts w:ascii="Times New Roman" w:hAnsi="Times New Roman" w:eastAsia="Times New Roman" w:cs="Times New Roman"/>
          <w:b/>
          <w:bCs/>
          <w:sz w:val="20"/>
          <w:szCs w:val="20"/>
        </w:rPr>
        <w:t>NH</w:t>
      </w:r>
      <w:r>
        <w:rPr>
          <w:rFonts w:ascii="Times New Roman" w:hAnsi="Times New Roman" w:eastAsia="Times New Roman" w:cs="Times New Roman"/>
          <w:b/>
          <w:bCs/>
          <w:spacing w:val="4"/>
          <w:position w:val="-1"/>
          <w:sz w:val="13"/>
          <w:szCs w:val="13"/>
        </w:rPr>
        <w:t>3</w:t>
      </w:r>
      <w:r>
        <w:rPr>
          <w:rFonts w:ascii="Times New Roman" w:hAnsi="Times New Roman" w:eastAsia="Times New Roman" w:cs="Times New Roman"/>
          <w:b/>
          <w:bCs/>
          <w:spacing w:val="-11"/>
          <w:position w:val="-1"/>
          <w:sz w:val="13"/>
          <w:szCs w:val="13"/>
        </w:rPr>
        <w:t xml:space="preserve"> </w:t>
      </w:r>
      <w:r>
        <w:rPr>
          <w:rFonts w:ascii="宋体" w:hAnsi="宋体" w:eastAsia="宋体" w:cs="宋体"/>
          <w:b/>
          <w:bCs/>
          <w:spacing w:val="4"/>
          <w:sz w:val="20"/>
          <w:szCs w:val="20"/>
        </w:rPr>
        <w:t>、</w:t>
      </w:r>
      <w:r>
        <w:rPr>
          <w:rFonts w:ascii="Times New Roman" w:hAnsi="Times New Roman" w:eastAsia="Times New Roman" w:cs="Times New Roman"/>
          <w:b/>
          <w:bCs/>
          <w:spacing w:val="4"/>
          <w:sz w:val="20"/>
          <w:szCs w:val="20"/>
        </w:rPr>
        <w:t>H</w:t>
      </w:r>
      <w:r>
        <w:rPr>
          <w:rFonts w:ascii="Times New Roman" w:hAnsi="Times New Roman" w:eastAsia="Times New Roman" w:cs="Times New Roman"/>
          <w:b/>
          <w:bCs/>
          <w:spacing w:val="4"/>
          <w:position w:val="-1"/>
          <w:sz w:val="13"/>
          <w:szCs w:val="13"/>
        </w:rPr>
        <w:t>2</w:t>
      </w:r>
      <w:r>
        <w:rPr>
          <w:rFonts w:ascii="Times New Roman" w:hAnsi="Times New Roman" w:eastAsia="Times New Roman" w:cs="Times New Roman"/>
          <w:b/>
          <w:bCs/>
          <w:spacing w:val="4"/>
          <w:sz w:val="20"/>
          <w:szCs w:val="20"/>
        </w:rPr>
        <w:t xml:space="preserve">S </w:t>
      </w:r>
      <w:r>
        <w:rPr>
          <w:rFonts w:ascii="宋体" w:hAnsi="宋体" w:eastAsia="宋体" w:cs="宋体"/>
          <w:b/>
          <w:bCs/>
          <w:spacing w:val="4"/>
          <w:sz w:val="20"/>
          <w:szCs w:val="20"/>
        </w:rPr>
        <w:t>产排情况表</w:t>
      </w:r>
    </w:p>
    <w:p w14:paraId="42944FB0">
      <w:pPr>
        <w:spacing w:line="101"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8"/>
        <w:gridCol w:w="993"/>
        <w:gridCol w:w="993"/>
        <w:gridCol w:w="993"/>
        <w:gridCol w:w="994"/>
        <w:gridCol w:w="994"/>
        <w:gridCol w:w="993"/>
        <w:gridCol w:w="994"/>
        <w:gridCol w:w="998"/>
      </w:tblGrid>
      <w:tr w14:paraId="37139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98" w:type="dxa"/>
            <w:vMerge w:val="restart"/>
            <w:tcBorders>
              <w:bottom w:val="nil"/>
            </w:tcBorders>
            <w:vAlign w:val="top"/>
          </w:tcPr>
          <w:p w14:paraId="6309930D">
            <w:pPr>
              <w:pStyle w:val="6"/>
              <w:spacing w:before="178" w:line="229" w:lineRule="auto"/>
              <w:ind w:left="309"/>
            </w:pPr>
            <w:r>
              <w:rPr>
                <w:spacing w:val="-3"/>
              </w:rPr>
              <w:t>区域</w:t>
            </w:r>
          </w:p>
        </w:tc>
        <w:tc>
          <w:tcPr>
            <w:tcW w:w="1986" w:type="dxa"/>
            <w:gridSpan w:val="2"/>
            <w:vAlign w:val="top"/>
          </w:tcPr>
          <w:p w14:paraId="2E032DD1">
            <w:pPr>
              <w:pStyle w:val="6"/>
              <w:spacing w:before="37" w:line="273" w:lineRule="exact"/>
              <w:ind w:left="471"/>
            </w:pPr>
            <w:r>
              <w:rPr>
                <w:rFonts w:ascii="Times New Roman" w:hAnsi="Times New Roman" w:eastAsia="Times New Roman" w:cs="Times New Roman"/>
                <w:position w:val="1"/>
              </w:rPr>
              <w:t>NH</w:t>
            </w:r>
            <w:r>
              <w:rPr>
                <w:rFonts w:ascii="Times New Roman" w:hAnsi="Times New Roman" w:eastAsia="Times New Roman" w:cs="Times New Roman"/>
                <w:spacing w:val="9"/>
                <w:sz w:val="13"/>
                <w:szCs w:val="13"/>
              </w:rPr>
              <w:t xml:space="preserve">3 </w:t>
            </w:r>
            <w:r>
              <w:rPr>
                <w:spacing w:val="9"/>
                <w:position w:val="1"/>
              </w:rPr>
              <w:t>产生量</w:t>
            </w:r>
          </w:p>
        </w:tc>
        <w:tc>
          <w:tcPr>
            <w:tcW w:w="1987" w:type="dxa"/>
            <w:gridSpan w:val="2"/>
            <w:vAlign w:val="top"/>
          </w:tcPr>
          <w:p w14:paraId="002013F2">
            <w:pPr>
              <w:pStyle w:val="6"/>
              <w:spacing w:before="37" w:line="273" w:lineRule="exact"/>
              <w:ind w:left="485"/>
            </w:pPr>
            <w:r>
              <w:rPr>
                <w:rFonts w:ascii="Times New Roman" w:hAnsi="Times New Roman" w:eastAsia="Times New Roman" w:cs="Times New Roman"/>
                <w:spacing w:val="5"/>
                <w:position w:val="1"/>
              </w:rPr>
              <w:t>H</w:t>
            </w:r>
            <w:r>
              <w:rPr>
                <w:rFonts w:ascii="Times New Roman" w:hAnsi="Times New Roman" w:eastAsia="Times New Roman" w:cs="Times New Roman"/>
                <w:spacing w:val="5"/>
                <w:sz w:val="13"/>
                <w:szCs w:val="13"/>
              </w:rPr>
              <w:t>2</w:t>
            </w:r>
            <w:r>
              <w:rPr>
                <w:rFonts w:ascii="Times New Roman" w:hAnsi="Times New Roman" w:eastAsia="Times New Roman" w:cs="Times New Roman"/>
                <w:spacing w:val="5"/>
                <w:position w:val="1"/>
              </w:rPr>
              <w:t>S</w:t>
            </w:r>
            <w:r>
              <w:rPr>
                <w:rFonts w:ascii="Times New Roman" w:hAnsi="Times New Roman" w:eastAsia="Times New Roman" w:cs="Times New Roman"/>
                <w:spacing w:val="12"/>
                <w:w w:val="101"/>
                <w:position w:val="1"/>
              </w:rPr>
              <w:t xml:space="preserve"> </w:t>
            </w:r>
            <w:r>
              <w:rPr>
                <w:spacing w:val="5"/>
                <w:position w:val="1"/>
              </w:rPr>
              <w:t>产生量</w:t>
            </w:r>
          </w:p>
        </w:tc>
        <w:tc>
          <w:tcPr>
            <w:tcW w:w="1987" w:type="dxa"/>
            <w:gridSpan w:val="2"/>
            <w:vAlign w:val="top"/>
          </w:tcPr>
          <w:p w14:paraId="29D0078B">
            <w:pPr>
              <w:pStyle w:val="6"/>
              <w:spacing w:before="37" w:line="273" w:lineRule="exact"/>
              <w:ind w:left="472"/>
            </w:pPr>
            <w:r>
              <w:rPr>
                <w:rFonts w:ascii="Times New Roman" w:hAnsi="Times New Roman" w:eastAsia="Times New Roman" w:cs="Times New Roman"/>
                <w:position w:val="1"/>
              </w:rPr>
              <w:t>NH</w:t>
            </w:r>
            <w:r>
              <w:rPr>
                <w:rFonts w:ascii="Times New Roman" w:hAnsi="Times New Roman" w:eastAsia="Times New Roman" w:cs="Times New Roman"/>
                <w:spacing w:val="10"/>
                <w:sz w:val="13"/>
                <w:szCs w:val="13"/>
              </w:rPr>
              <w:t>3</w:t>
            </w:r>
            <w:r>
              <w:rPr>
                <w:rFonts w:ascii="Times New Roman" w:hAnsi="Times New Roman" w:eastAsia="Times New Roman" w:cs="Times New Roman"/>
                <w:spacing w:val="10"/>
                <w:w w:val="101"/>
                <w:sz w:val="13"/>
                <w:szCs w:val="13"/>
              </w:rPr>
              <w:t xml:space="preserve"> </w:t>
            </w:r>
            <w:r>
              <w:rPr>
                <w:spacing w:val="10"/>
                <w:position w:val="1"/>
              </w:rPr>
              <w:t>排放量</w:t>
            </w:r>
          </w:p>
        </w:tc>
        <w:tc>
          <w:tcPr>
            <w:tcW w:w="1992" w:type="dxa"/>
            <w:gridSpan w:val="2"/>
            <w:vAlign w:val="top"/>
          </w:tcPr>
          <w:p w14:paraId="14F5C89B">
            <w:pPr>
              <w:pStyle w:val="6"/>
              <w:spacing w:before="37" w:line="273" w:lineRule="exact"/>
              <w:ind w:left="488"/>
            </w:pPr>
            <w:r>
              <w:rPr>
                <w:rFonts w:ascii="Times New Roman" w:hAnsi="Times New Roman" w:eastAsia="Times New Roman" w:cs="Times New Roman"/>
                <w:spacing w:val="5"/>
                <w:position w:val="1"/>
              </w:rPr>
              <w:t>H</w:t>
            </w:r>
            <w:r>
              <w:rPr>
                <w:rFonts w:ascii="Times New Roman" w:hAnsi="Times New Roman" w:eastAsia="Times New Roman" w:cs="Times New Roman"/>
                <w:spacing w:val="5"/>
                <w:sz w:val="13"/>
                <w:szCs w:val="13"/>
              </w:rPr>
              <w:t>2</w:t>
            </w:r>
            <w:r>
              <w:rPr>
                <w:rFonts w:ascii="Times New Roman" w:hAnsi="Times New Roman" w:eastAsia="Times New Roman" w:cs="Times New Roman"/>
                <w:spacing w:val="5"/>
                <w:position w:val="1"/>
              </w:rPr>
              <w:t>S</w:t>
            </w:r>
            <w:r>
              <w:rPr>
                <w:rFonts w:ascii="Times New Roman" w:hAnsi="Times New Roman" w:eastAsia="Times New Roman" w:cs="Times New Roman"/>
                <w:spacing w:val="12"/>
                <w:w w:val="101"/>
                <w:position w:val="1"/>
              </w:rPr>
              <w:t xml:space="preserve"> </w:t>
            </w:r>
            <w:r>
              <w:rPr>
                <w:spacing w:val="5"/>
                <w:position w:val="1"/>
              </w:rPr>
              <w:t>排放量</w:t>
            </w:r>
          </w:p>
        </w:tc>
      </w:tr>
      <w:tr w14:paraId="2415F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98" w:type="dxa"/>
            <w:vMerge w:val="continue"/>
            <w:tcBorders>
              <w:top w:val="nil"/>
            </w:tcBorders>
            <w:vAlign w:val="top"/>
          </w:tcPr>
          <w:p w14:paraId="6B005557">
            <w:pPr>
              <w:rPr>
                <w:rFonts w:ascii="Arial"/>
                <w:sz w:val="21"/>
              </w:rPr>
            </w:pPr>
          </w:p>
        </w:tc>
        <w:tc>
          <w:tcPr>
            <w:tcW w:w="993" w:type="dxa"/>
            <w:vAlign w:val="top"/>
          </w:tcPr>
          <w:p w14:paraId="07C73D12">
            <w:pPr>
              <w:spacing w:line="261"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93" w:type="dxa"/>
            <w:vAlign w:val="top"/>
          </w:tcPr>
          <w:p w14:paraId="11AA9B74">
            <w:pPr>
              <w:spacing w:line="261" w:lineRule="exact"/>
              <w:ind w:left="30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/h</w:t>
            </w:r>
          </w:p>
        </w:tc>
        <w:tc>
          <w:tcPr>
            <w:tcW w:w="993" w:type="dxa"/>
            <w:vAlign w:val="top"/>
          </w:tcPr>
          <w:p w14:paraId="22AB2EB4">
            <w:pPr>
              <w:spacing w:line="261" w:lineRule="exact"/>
              <w:ind w:left="39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94" w:type="dxa"/>
            <w:vAlign w:val="top"/>
          </w:tcPr>
          <w:p w14:paraId="4C9055C2">
            <w:pPr>
              <w:spacing w:line="261" w:lineRule="exact"/>
              <w:ind w:left="309"/>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/h</w:t>
            </w:r>
          </w:p>
        </w:tc>
        <w:tc>
          <w:tcPr>
            <w:tcW w:w="994" w:type="dxa"/>
            <w:vAlign w:val="top"/>
          </w:tcPr>
          <w:p w14:paraId="03C66C16">
            <w:pPr>
              <w:spacing w:line="261" w:lineRule="exact"/>
              <w:ind w:left="39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93" w:type="dxa"/>
            <w:vAlign w:val="top"/>
          </w:tcPr>
          <w:p w14:paraId="4E26EDE5">
            <w:pPr>
              <w:spacing w:line="261" w:lineRule="exact"/>
              <w:ind w:left="310"/>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/h</w:t>
            </w:r>
          </w:p>
        </w:tc>
        <w:tc>
          <w:tcPr>
            <w:tcW w:w="994" w:type="dxa"/>
            <w:vAlign w:val="top"/>
          </w:tcPr>
          <w:p w14:paraId="1ECD8805">
            <w:pPr>
              <w:spacing w:line="261" w:lineRule="exact"/>
              <w:ind w:left="39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98" w:type="dxa"/>
            <w:vAlign w:val="top"/>
          </w:tcPr>
          <w:p w14:paraId="5A2A4B70">
            <w:pPr>
              <w:spacing w:line="261" w:lineRule="exact"/>
              <w:ind w:left="311"/>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/h</w:t>
            </w:r>
          </w:p>
        </w:tc>
      </w:tr>
      <w:tr w14:paraId="0FBA7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98" w:type="dxa"/>
            <w:vAlign w:val="top"/>
          </w:tcPr>
          <w:p w14:paraId="329068B3">
            <w:pPr>
              <w:pStyle w:val="6"/>
              <w:spacing w:before="34" w:line="229" w:lineRule="auto"/>
              <w:ind w:left="294"/>
            </w:pPr>
            <w:r>
              <w:rPr>
                <w:spacing w:val="4"/>
              </w:rPr>
              <w:t>猪舍</w:t>
            </w:r>
          </w:p>
        </w:tc>
        <w:tc>
          <w:tcPr>
            <w:tcW w:w="993" w:type="dxa"/>
            <w:vAlign w:val="top"/>
          </w:tcPr>
          <w:p w14:paraId="10FF31F9">
            <w:pPr>
              <w:spacing w:before="6" w:line="274" w:lineRule="exact"/>
              <w:ind w:left="3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0.51</w:t>
            </w:r>
          </w:p>
        </w:tc>
        <w:tc>
          <w:tcPr>
            <w:tcW w:w="993" w:type="dxa"/>
            <w:vAlign w:val="top"/>
          </w:tcPr>
          <w:p w14:paraId="1AF3C4A8">
            <w:pPr>
              <w:spacing w:before="6" w:line="274" w:lineRule="exact"/>
              <w:ind w:left="2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0.058</w:t>
            </w:r>
          </w:p>
        </w:tc>
        <w:tc>
          <w:tcPr>
            <w:tcW w:w="993" w:type="dxa"/>
            <w:vAlign w:val="top"/>
          </w:tcPr>
          <w:p w14:paraId="4446210F">
            <w:pPr>
              <w:spacing w:before="6"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994" w:type="dxa"/>
            <w:vAlign w:val="top"/>
          </w:tcPr>
          <w:p w14:paraId="4D9384E9">
            <w:pPr>
              <w:spacing w:before="6"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0.0035</w:t>
            </w:r>
          </w:p>
        </w:tc>
        <w:tc>
          <w:tcPr>
            <w:tcW w:w="994" w:type="dxa"/>
            <w:vAlign w:val="top"/>
          </w:tcPr>
          <w:p w14:paraId="21D238FD">
            <w:pPr>
              <w:spacing w:before="6"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993" w:type="dxa"/>
            <w:vAlign w:val="top"/>
          </w:tcPr>
          <w:p w14:paraId="14ADE638">
            <w:pPr>
              <w:spacing w:before="6" w:line="274" w:lineRule="exact"/>
              <w:ind w:left="26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994" w:type="dxa"/>
            <w:vAlign w:val="top"/>
          </w:tcPr>
          <w:p w14:paraId="7D320061">
            <w:pPr>
              <w:spacing w:before="6" w:line="274" w:lineRule="exact"/>
              <w:ind w:left="26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0.002</w:t>
            </w:r>
          </w:p>
        </w:tc>
        <w:tc>
          <w:tcPr>
            <w:tcW w:w="998" w:type="dxa"/>
            <w:vAlign w:val="top"/>
          </w:tcPr>
          <w:p w14:paraId="365A1B44">
            <w:pPr>
              <w:spacing w:before="6" w:line="274" w:lineRule="exact"/>
              <w:ind w:left="21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w:t>
            </w:r>
          </w:p>
        </w:tc>
      </w:tr>
    </w:tbl>
    <w:p w14:paraId="59817D46">
      <w:pPr>
        <w:pStyle w:val="2"/>
        <w:spacing w:line="246" w:lineRule="auto"/>
      </w:pPr>
    </w:p>
    <w:p w14:paraId="659F5762">
      <w:pPr>
        <w:spacing w:before="78"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）有机肥发酵车间</w:t>
      </w:r>
    </w:p>
    <w:p w14:paraId="60B30ACC">
      <w:pPr>
        <w:spacing w:before="143" w:line="346" w:lineRule="auto"/>
        <w:ind w:left="122" w:right="108" w:firstLine="481"/>
        <w:rPr>
          <w:rFonts w:ascii="宋体" w:hAnsi="宋体" w:eastAsia="宋体" w:cs="宋体"/>
          <w:sz w:val="24"/>
          <w:szCs w:val="24"/>
        </w:rPr>
      </w:pPr>
      <w:r>
        <w:rPr>
          <w:rFonts w:ascii="宋体" w:hAnsi="宋体" w:eastAsia="宋体" w:cs="宋体"/>
          <w:spacing w:val="2"/>
          <w:sz w:val="24"/>
          <w:szCs w:val="24"/>
        </w:rPr>
        <w:t>本项目设有有机肥发酵车间处理猪只产生的粪污，有机肥发酵车间位于猪舍东</w:t>
      </w:r>
      <w:r>
        <w:rPr>
          <w:rFonts w:ascii="宋体" w:hAnsi="宋体" w:eastAsia="宋体" w:cs="宋体"/>
          <w:spacing w:val="9"/>
          <w:sz w:val="24"/>
          <w:szCs w:val="24"/>
        </w:rPr>
        <w:t xml:space="preserve"> </w:t>
      </w:r>
      <w:r>
        <w:rPr>
          <w:rFonts w:ascii="宋体" w:hAnsi="宋体" w:eastAsia="宋体" w:cs="宋体"/>
          <w:spacing w:val="-4"/>
          <w:sz w:val="24"/>
          <w:szCs w:val="24"/>
        </w:rPr>
        <w:t>北面，面积为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1650m</w:t>
      </w:r>
      <w:r>
        <w:rPr>
          <w:rFonts w:ascii="Times New Roman" w:hAnsi="Times New Roman" w:eastAsia="Times New Roman" w:cs="Times New Roman"/>
          <w:spacing w:val="-4"/>
          <w:position w:val="7"/>
          <w:sz w:val="15"/>
          <w:szCs w:val="15"/>
        </w:rPr>
        <w:t>2</w:t>
      </w:r>
      <w:r>
        <w:rPr>
          <w:rFonts w:ascii="宋体" w:hAnsi="宋体" w:eastAsia="宋体" w:cs="宋体"/>
          <w:spacing w:val="-4"/>
          <w:sz w:val="24"/>
          <w:szCs w:val="24"/>
        </w:rPr>
        <w:t>，项目有机肥发酵车间每天工作</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24</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小时。</w:t>
      </w:r>
      <w:r>
        <w:rPr>
          <w:rFonts w:ascii="宋体" w:hAnsi="宋体" w:eastAsia="宋体" w:cs="宋体"/>
          <w:spacing w:val="-5"/>
          <w:sz w:val="24"/>
          <w:szCs w:val="24"/>
        </w:rPr>
        <w:t>本项目有机肥车间发</w:t>
      </w:r>
      <w:r>
        <w:rPr>
          <w:rFonts w:ascii="宋体" w:hAnsi="宋体" w:eastAsia="宋体" w:cs="宋体"/>
          <w:sz w:val="24"/>
          <w:szCs w:val="24"/>
        </w:rPr>
        <w:t xml:space="preserve"> </w:t>
      </w:r>
      <w:r>
        <w:rPr>
          <w:rFonts w:ascii="宋体" w:hAnsi="宋体" w:eastAsia="宋体" w:cs="宋体"/>
          <w:spacing w:val="2"/>
          <w:sz w:val="24"/>
          <w:szCs w:val="24"/>
        </w:rPr>
        <w:t>酵过程中主要在一定条件下通过微生物的作用，使有机物不断被降解和稳定，有机</w:t>
      </w:r>
      <w:r>
        <w:rPr>
          <w:rFonts w:ascii="宋体" w:hAnsi="宋体" w:eastAsia="宋体" w:cs="宋体"/>
          <w:spacing w:val="7"/>
          <w:sz w:val="24"/>
          <w:szCs w:val="24"/>
        </w:rPr>
        <w:t xml:space="preserve"> </w:t>
      </w:r>
      <w:r>
        <w:rPr>
          <w:rFonts w:ascii="宋体" w:hAnsi="宋体" w:eastAsia="宋体" w:cs="宋体"/>
          <w:spacing w:val="-2"/>
          <w:sz w:val="24"/>
          <w:szCs w:val="24"/>
        </w:rPr>
        <w:t>物降解过程中会产生恶臭，恶臭的主要成分是</w:t>
      </w:r>
      <w:r>
        <w:rPr>
          <w:rFonts w:ascii="宋体" w:hAnsi="宋体" w:eastAsia="宋体" w:cs="宋体"/>
          <w:spacing w:val="-63"/>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1"/>
          <w:sz w:val="15"/>
          <w:szCs w:val="15"/>
        </w:rPr>
        <w:t>3</w:t>
      </w:r>
      <w:r>
        <w:rPr>
          <w:rFonts w:ascii="宋体" w:hAnsi="宋体" w:eastAsia="宋体" w:cs="宋体"/>
          <w:spacing w:val="-2"/>
          <w:sz w:val="24"/>
          <w:szCs w:val="24"/>
        </w:rPr>
        <w:t>、</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，恶臭气</w:t>
      </w:r>
      <w:r>
        <w:rPr>
          <w:rFonts w:ascii="宋体" w:hAnsi="宋体" w:eastAsia="宋体" w:cs="宋体"/>
          <w:spacing w:val="-3"/>
          <w:sz w:val="24"/>
          <w:szCs w:val="24"/>
        </w:rPr>
        <w:t>体的产生量与发酵</w:t>
      </w:r>
      <w:r>
        <w:rPr>
          <w:rFonts w:ascii="宋体" w:hAnsi="宋体" w:eastAsia="宋体" w:cs="宋体"/>
          <w:sz w:val="24"/>
          <w:szCs w:val="24"/>
        </w:rPr>
        <w:t xml:space="preserve"> </w:t>
      </w:r>
      <w:r>
        <w:rPr>
          <w:rFonts w:ascii="宋体" w:hAnsi="宋体" w:eastAsia="宋体" w:cs="宋体"/>
          <w:spacing w:val="-6"/>
          <w:sz w:val="24"/>
          <w:szCs w:val="24"/>
        </w:rPr>
        <w:t>温度、发酵量有关。参考文献《除臭菌株对</w:t>
      </w:r>
      <w:r>
        <w:rPr>
          <w:rFonts w:ascii="宋体" w:hAnsi="宋体" w:eastAsia="宋体" w:cs="宋体"/>
          <w:spacing w:val="-63"/>
          <w:sz w:val="24"/>
          <w:szCs w:val="24"/>
        </w:rPr>
        <w:t xml:space="preserve"> </w:t>
      </w:r>
      <w:r>
        <w:rPr>
          <w:rFonts w:ascii="Times New Roman" w:hAnsi="Times New Roman" w:eastAsia="Times New Roman" w:cs="Times New Roman"/>
          <w:spacing w:val="-6"/>
          <w:sz w:val="24"/>
          <w:szCs w:val="24"/>
        </w:rPr>
        <w:t>NH</w:t>
      </w:r>
      <w:r>
        <w:rPr>
          <w:rFonts w:ascii="Times New Roman" w:hAnsi="Times New Roman" w:eastAsia="Times New Roman" w:cs="Times New Roman"/>
          <w:spacing w:val="-6"/>
          <w:position w:val="-1"/>
          <w:sz w:val="15"/>
          <w:szCs w:val="15"/>
        </w:rPr>
        <w:t>3</w:t>
      </w:r>
      <w:r>
        <w:rPr>
          <w:rFonts w:ascii="Times New Roman" w:hAnsi="Times New Roman" w:eastAsia="Times New Roman" w:cs="Times New Roman"/>
          <w:spacing w:val="10"/>
          <w:w w:val="102"/>
          <w:position w:val="-1"/>
          <w:sz w:val="15"/>
          <w:szCs w:val="15"/>
        </w:rPr>
        <w:t xml:space="preserve"> </w:t>
      </w:r>
      <w:r>
        <w:rPr>
          <w:rFonts w:ascii="宋体" w:hAnsi="宋体" w:eastAsia="宋体" w:cs="宋体"/>
          <w:spacing w:val="-6"/>
          <w:sz w:val="24"/>
          <w:szCs w:val="24"/>
        </w:rPr>
        <w:t>和</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H</w:t>
      </w:r>
      <w:r>
        <w:rPr>
          <w:rFonts w:ascii="Times New Roman" w:hAnsi="Times New Roman" w:eastAsia="Times New Roman" w:cs="Times New Roman"/>
          <w:spacing w:val="-6"/>
          <w:position w:val="-1"/>
          <w:sz w:val="15"/>
          <w:szCs w:val="15"/>
        </w:rPr>
        <w:t>2</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6"/>
          <w:sz w:val="24"/>
          <w:szCs w:val="24"/>
        </w:rPr>
        <w:t xml:space="preserve">S </w:t>
      </w:r>
      <w:r>
        <w:rPr>
          <w:rFonts w:ascii="宋体" w:hAnsi="宋体" w:eastAsia="宋体" w:cs="宋体"/>
          <w:spacing w:val="-6"/>
          <w:sz w:val="24"/>
          <w:szCs w:val="24"/>
        </w:rPr>
        <w:t>释放及物质转化的</w:t>
      </w:r>
      <w:r>
        <w:rPr>
          <w:rFonts w:ascii="宋体" w:hAnsi="宋体" w:eastAsia="宋体" w:cs="宋体"/>
          <w:spacing w:val="-7"/>
          <w:sz w:val="24"/>
          <w:szCs w:val="24"/>
        </w:rPr>
        <w:t>影响》（农</w:t>
      </w:r>
      <w:r>
        <w:rPr>
          <w:rFonts w:ascii="宋体" w:hAnsi="宋体" w:eastAsia="宋体" w:cs="宋体"/>
          <w:sz w:val="24"/>
          <w:szCs w:val="24"/>
        </w:rPr>
        <w:t xml:space="preserve"> </w:t>
      </w:r>
      <w:r>
        <w:rPr>
          <w:rFonts w:ascii="宋体" w:hAnsi="宋体" w:eastAsia="宋体" w:cs="宋体"/>
          <w:spacing w:val="-2"/>
          <w:sz w:val="24"/>
          <w:szCs w:val="24"/>
        </w:rPr>
        <w:t>业环境科学学报，</w:t>
      </w:r>
      <w:r>
        <w:rPr>
          <w:rFonts w:ascii="Times New Roman" w:hAnsi="Times New Roman" w:eastAsia="Times New Roman" w:cs="Times New Roman"/>
          <w:spacing w:val="-2"/>
          <w:sz w:val="24"/>
          <w:szCs w:val="24"/>
        </w:rPr>
        <w:t xml:space="preserve">2011 </w:t>
      </w:r>
      <w:r>
        <w:rPr>
          <w:rFonts w:ascii="宋体" w:hAnsi="宋体" w:eastAsia="宋体" w:cs="宋体"/>
          <w:spacing w:val="-2"/>
          <w:sz w:val="24"/>
          <w:szCs w:val="24"/>
        </w:rPr>
        <w:t>年第</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期</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30 </w:t>
      </w:r>
      <w:r>
        <w:rPr>
          <w:rFonts w:ascii="宋体" w:hAnsi="宋体" w:eastAsia="宋体" w:cs="宋体"/>
          <w:spacing w:val="-2"/>
          <w:sz w:val="24"/>
          <w:szCs w:val="24"/>
        </w:rPr>
        <w:t>卷，</w:t>
      </w:r>
      <w:r>
        <w:rPr>
          <w:rFonts w:ascii="Times New Roman" w:hAnsi="Times New Roman" w:eastAsia="Times New Roman" w:cs="Times New Roman"/>
          <w:spacing w:val="-2"/>
          <w:sz w:val="24"/>
          <w:szCs w:val="24"/>
        </w:rPr>
        <w:t>P585-590</w:t>
      </w:r>
      <w:r>
        <w:rPr>
          <w:rFonts w:ascii="宋体" w:hAnsi="宋体" w:eastAsia="宋体" w:cs="宋体"/>
          <w:spacing w:val="-2"/>
          <w:sz w:val="24"/>
          <w:szCs w:val="24"/>
        </w:rPr>
        <w:t>）中实验数据进行计算，不投加除</w:t>
      </w:r>
    </w:p>
    <w:p w14:paraId="55847603">
      <w:pPr>
        <w:spacing w:line="346" w:lineRule="auto"/>
        <w:rPr>
          <w:rFonts w:ascii="宋体" w:hAnsi="宋体" w:eastAsia="宋体" w:cs="宋体"/>
          <w:sz w:val="24"/>
          <w:szCs w:val="24"/>
        </w:rPr>
        <w:sectPr>
          <w:footerReference r:id="rId79" w:type="default"/>
          <w:pgSz w:w="11906" w:h="16839"/>
          <w:pgMar w:top="400" w:right="1475" w:bottom="1485" w:left="1475" w:header="0" w:footer="1249" w:gutter="0"/>
          <w:cols w:space="720" w:num="1"/>
        </w:sectPr>
      </w:pPr>
    </w:p>
    <w:p w14:paraId="2E215099">
      <w:pPr>
        <w:pStyle w:val="2"/>
        <w:spacing w:line="310" w:lineRule="auto"/>
      </w:pPr>
    </w:p>
    <w:p w14:paraId="4F38B7FB">
      <w:pPr>
        <w:pStyle w:val="2"/>
        <w:spacing w:line="310" w:lineRule="auto"/>
      </w:pPr>
    </w:p>
    <w:p w14:paraId="72F89160">
      <w:pPr>
        <w:pStyle w:val="2"/>
        <w:spacing w:line="310" w:lineRule="auto"/>
      </w:pPr>
    </w:p>
    <w:p w14:paraId="292651F7">
      <w:pPr>
        <w:spacing w:before="78" w:line="357" w:lineRule="auto"/>
        <w:ind w:left="121" w:right="24" w:firstLine="1"/>
        <w:jc w:val="both"/>
        <w:rPr>
          <w:rFonts w:ascii="宋体" w:hAnsi="宋体" w:eastAsia="宋体" w:cs="宋体"/>
          <w:sz w:val="24"/>
          <w:szCs w:val="24"/>
        </w:rPr>
      </w:pPr>
      <w:r>
        <w:rPr>
          <w:rFonts w:ascii="宋体" w:hAnsi="宋体" w:eastAsia="宋体" w:cs="宋体"/>
          <w:sz w:val="24"/>
          <w:szCs w:val="24"/>
        </w:rPr>
        <w:t>臭菌剂的有机肥发酵过程日最大排放系数为</w:t>
      </w:r>
      <w:r>
        <w:rPr>
          <w:rFonts w:ascii="宋体" w:hAnsi="宋体" w:eastAsia="宋体" w:cs="宋体"/>
          <w:spacing w:val="-65"/>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3</w:t>
      </w:r>
      <w:r>
        <w:rPr>
          <w:rFonts w:ascii="Times New Roman" w:hAnsi="Times New Roman" w:eastAsia="Times New Roman" w:cs="Times New Roman"/>
          <w:spacing w:val="-9"/>
          <w:position w:val="-1"/>
          <w:sz w:val="15"/>
          <w:szCs w:val="15"/>
        </w:rPr>
        <w:t xml:space="preserve"> </w:t>
      </w:r>
      <w:r>
        <w:rPr>
          <w:rFonts w:ascii="宋体" w:hAnsi="宋体" w:eastAsia="宋体" w:cs="宋体"/>
          <w:sz w:val="24"/>
          <w:szCs w:val="24"/>
        </w:rPr>
        <w:t>：</w:t>
      </w:r>
      <w:r>
        <w:rPr>
          <w:rFonts w:ascii="Times New Roman" w:hAnsi="Times New Roman" w:eastAsia="Times New Roman" w:cs="Times New Roman"/>
          <w:sz w:val="24"/>
          <w:szCs w:val="24"/>
        </w:rPr>
        <w:t>0.30g/k</w:t>
      </w:r>
      <w:r>
        <w:rPr>
          <w:rFonts w:ascii="Times New Roman" w:hAnsi="Times New Roman" w:eastAsia="Times New Roman" w:cs="Times New Roman"/>
          <w:spacing w:val="-1"/>
          <w:sz w:val="24"/>
          <w:szCs w:val="24"/>
        </w:rPr>
        <w:t>g-</w:t>
      </w:r>
      <w:r>
        <w:rPr>
          <w:rFonts w:ascii="宋体" w:hAnsi="宋体" w:eastAsia="宋体" w:cs="宋体"/>
          <w:spacing w:val="-1"/>
          <w:sz w:val="24"/>
          <w:szCs w:val="24"/>
        </w:rPr>
        <w:t>干产品、</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r>
        <w:rPr>
          <w:rFonts w:ascii="Times New Roman" w:hAnsi="Times New Roman" w:eastAsia="Times New Roman" w:cs="Times New Roman"/>
          <w:spacing w:val="-1"/>
          <w:sz w:val="24"/>
          <w:szCs w:val="24"/>
        </w:rPr>
        <w:t>0.06g/kg-</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干产品。根据后文</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3.5.4 </w:t>
      </w:r>
      <w:r>
        <w:rPr>
          <w:rFonts w:ascii="宋体" w:hAnsi="宋体" w:eastAsia="宋体" w:cs="宋体"/>
          <w:spacing w:val="-3"/>
          <w:sz w:val="24"/>
          <w:szCs w:val="24"/>
        </w:rPr>
        <w:t>分析，项目新鲜粪便量为</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14t/d</w:t>
      </w:r>
      <w:r>
        <w:rPr>
          <w:rFonts w:ascii="宋体" w:hAnsi="宋体" w:eastAsia="宋体" w:cs="宋体"/>
          <w:spacing w:val="-3"/>
          <w:sz w:val="24"/>
          <w:szCs w:val="24"/>
        </w:rPr>
        <w:t>（</w:t>
      </w:r>
      <w:r>
        <w:rPr>
          <w:rFonts w:ascii="Times New Roman" w:hAnsi="Times New Roman" w:eastAsia="Times New Roman" w:cs="Times New Roman"/>
          <w:spacing w:val="-3"/>
          <w:sz w:val="24"/>
          <w:szCs w:val="24"/>
        </w:rPr>
        <w:t>5110t/a</w:t>
      </w:r>
      <w:r>
        <w:rPr>
          <w:rFonts w:ascii="宋体" w:hAnsi="宋体" w:eastAsia="宋体" w:cs="宋体"/>
          <w:spacing w:val="-8"/>
          <w:sz w:val="24"/>
          <w:szCs w:val="24"/>
        </w:rPr>
        <w:t>），</w:t>
      </w:r>
      <w:r>
        <w:rPr>
          <w:rFonts w:ascii="宋体" w:hAnsi="宋体" w:eastAsia="宋体" w:cs="宋体"/>
          <w:spacing w:val="-3"/>
          <w:sz w:val="24"/>
          <w:szCs w:val="24"/>
        </w:rPr>
        <w:t>新鲜粪便含水率</w:t>
      </w:r>
      <w:r>
        <w:rPr>
          <w:rFonts w:ascii="宋体" w:hAnsi="宋体" w:eastAsia="宋体" w:cs="宋体"/>
          <w:sz w:val="24"/>
          <w:szCs w:val="24"/>
        </w:rPr>
        <w:t xml:space="preserve"> </w:t>
      </w:r>
      <w:r>
        <w:rPr>
          <w:rFonts w:ascii="宋体" w:hAnsi="宋体" w:eastAsia="宋体" w:cs="宋体"/>
          <w:spacing w:val="-3"/>
          <w:sz w:val="24"/>
          <w:szCs w:val="24"/>
        </w:rPr>
        <w:t>约为</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60%</w:t>
      </w:r>
      <w:r>
        <w:rPr>
          <w:rFonts w:ascii="宋体" w:hAnsi="宋体" w:eastAsia="宋体" w:cs="宋体"/>
          <w:spacing w:val="-3"/>
          <w:sz w:val="24"/>
          <w:szCs w:val="24"/>
        </w:rPr>
        <w:t>，则项目干粪便量为</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5.6t/d</w:t>
      </w:r>
      <w:r>
        <w:rPr>
          <w:rFonts w:ascii="宋体" w:hAnsi="宋体" w:eastAsia="宋体" w:cs="宋体"/>
          <w:spacing w:val="-3"/>
          <w:sz w:val="24"/>
          <w:szCs w:val="24"/>
        </w:rPr>
        <w:t>（</w:t>
      </w:r>
      <w:r>
        <w:rPr>
          <w:rFonts w:ascii="Times New Roman" w:hAnsi="Times New Roman" w:eastAsia="Times New Roman" w:cs="Times New Roman"/>
          <w:spacing w:val="-3"/>
          <w:sz w:val="24"/>
          <w:szCs w:val="24"/>
        </w:rPr>
        <w:t>2044t/a</w:t>
      </w:r>
      <w:r>
        <w:rPr>
          <w:rFonts w:ascii="宋体" w:hAnsi="宋体" w:eastAsia="宋体" w:cs="宋体"/>
          <w:spacing w:val="-3"/>
          <w:sz w:val="24"/>
          <w:szCs w:val="24"/>
        </w:rPr>
        <w:t>）。则项目有机肥发酵车间的</w:t>
      </w:r>
      <w:r>
        <w:rPr>
          <w:rFonts w:ascii="宋体" w:hAnsi="宋体" w:eastAsia="宋体" w:cs="宋体"/>
          <w:spacing w:val="-63"/>
          <w:sz w:val="24"/>
          <w:szCs w:val="24"/>
        </w:rPr>
        <w:t xml:space="preserve"> </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12"/>
          <w:position w:val="-1"/>
          <w:sz w:val="15"/>
          <w:szCs w:val="15"/>
        </w:rPr>
        <w:t xml:space="preserve"> </w:t>
      </w:r>
      <w:r>
        <w:rPr>
          <w:rFonts w:ascii="宋体" w:hAnsi="宋体" w:eastAsia="宋体" w:cs="宋体"/>
          <w:spacing w:val="-3"/>
          <w:sz w:val="24"/>
          <w:szCs w:val="24"/>
        </w:rPr>
        <w:t>产生</w:t>
      </w:r>
      <w:r>
        <w:rPr>
          <w:rFonts w:ascii="宋体" w:hAnsi="宋体" w:eastAsia="宋体" w:cs="宋体"/>
          <w:sz w:val="24"/>
          <w:szCs w:val="24"/>
        </w:rPr>
        <w:t xml:space="preserve"> </w:t>
      </w:r>
      <w:r>
        <w:rPr>
          <w:rFonts w:ascii="宋体" w:hAnsi="宋体" w:eastAsia="宋体" w:cs="宋体"/>
          <w:spacing w:val="-6"/>
          <w:sz w:val="24"/>
          <w:szCs w:val="24"/>
        </w:rPr>
        <w:t>量为</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0.613t/a</w:t>
      </w:r>
      <w:r>
        <w:rPr>
          <w:rFonts w:ascii="宋体" w:hAnsi="宋体" w:eastAsia="宋体" w:cs="宋体"/>
          <w:spacing w:val="-6"/>
          <w:sz w:val="24"/>
          <w:szCs w:val="24"/>
        </w:rPr>
        <w:t>，产生速率为</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0.07kg/h</w:t>
      </w:r>
      <w:r>
        <w:rPr>
          <w:rFonts w:ascii="宋体" w:hAnsi="宋体" w:eastAsia="宋体" w:cs="宋体"/>
          <w:spacing w:val="-6"/>
          <w:sz w:val="24"/>
          <w:szCs w:val="24"/>
        </w:rPr>
        <w:t>；</w:t>
      </w:r>
      <w:r>
        <w:rPr>
          <w:rFonts w:ascii="Times New Roman" w:hAnsi="Times New Roman" w:eastAsia="Times New Roman" w:cs="Times New Roman"/>
          <w:spacing w:val="-6"/>
          <w:sz w:val="24"/>
          <w:szCs w:val="24"/>
        </w:rPr>
        <w:t>H</w:t>
      </w:r>
      <w:r>
        <w:rPr>
          <w:rFonts w:ascii="Times New Roman" w:hAnsi="Times New Roman" w:eastAsia="Times New Roman" w:cs="Times New Roman"/>
          <w:spacing w:val="-6"/>
          <w:position w:val="-1"/>
          <w:sz w:val="15"/>
          <w:szCs w:val="15"/>
        </w:rPr>
        <w:t>2</w:t>
      </w:r>
      <w:r>
        <w:rPr>
          <w:rFonts w:ascii="Times New Roman" w:hAnsi="Times New Roman" w:eastAsia="Times New Roman" w:cs="Times New Roman"/>
          <w:spacing w:val="-6"/>
          <w:sz w:val="24"/>
          <w:szCs w:val="24"/>
        </w:rPr>
        <w:t>S</w:t>
      </w:r>
      <w:r>
        <w:rPr>
          <w:rFonts w:ascii="Times New Roman" w:hAnsi="Times New Roman" w:eastAsia="Times New Roman" w:cs="Times New Roman"/>
          <w:spacing w:val="30"/>
          <w:sz w:val="24"/>
          <w:szCs w:val="24"/>
        </w:rPr>
        <w:t xml:space="preserve"> </w:t>
      </w:r>
      <w:r>
        <w:rPr>
          <w:rFonts w:ascii="宋体" w:hAnsi="宋体" w:eastAsia="宋体" w:cs="宋体"/>
          <w:spacing w:val="-6"/>
          <w:sz w:val="24"/>
          <w:szCs w:val="24"/>
        </w:rPr>
        <w:t>的产生量为</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0.123t/a</w:t>
      </w:r>
      <w:r>
        <w:rPr>
          <w:rFonts w:ascii="宋体" w:hAnsi="宋体" w:eastAsia="宋体" w:cs="宋体"/>
          <w:spacing w:val="-6"/>
          <w:sz w:val="24"/>
          <w:szCs w:val="24"/>
        </w:rPr>
        <w:t>，产生速率为</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0</w:t>
      </w:r>
      <w:r>
        <w:rPr>
          <w:rFonts w:ascii="Times New Roman" w:hAnsi="Times New Roman" w:eastAsia="Times New Roman" w:cs="Times New Roman"/>
          <w:spacing w:val="-7"/>
          <w:sz w:val="24"/>
          <w:szCs w:val="24"/>
        </w:rPr>
        <w:t>.014kg/h</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
          <w:sz w:val="24"/>
          <w:szCs w:val="24"/>
        </w:rPr>
        <w:t>根据《自然科学》现代化农业，</w:t>
      </w:r>
      <w:r>
        <w:rPr>
          <w:rFonts w:ascii="Times New Roman" w:hAnsi="Times New Roman" w:eastAsia="Times New Roman" w:cs="Times New Roman"/>
          <w:spacing w:val="1"/>
          <w:sz w:val="24"/>
          <w:szCs w:val="24"/>
        </w:rPr>
        <w:t>2011</w:t>
      </w:r>
      <w:r>
        <w:rPr>
          <w:rFonts w:ascii="宋体" w:hAnsi="宋体" w:eastAsia="宋体" w:cs="宋体"/>
          <w:spacing w:val="1"/>
          <w:sz w:val="24"/>
          <w:szCs w:val="24"/>
        </w:rPr>
        <w:t>年第</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 xml:space="preserve">6 </w:t>
      </w:r>
      <w:r>
        <w:rPr>
          <w:rFonts w:ascii="宋体" w:hAnsi="宋体" w:eastAsia="宋体" w:cs="宋体"/>
          <w:spacing w:val="1"/>
          <w:sz w:val="24"/>
          <w:szCs w:val="24"/>
        </w:rPr>
        <w:t>期（总第</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383 </w:t>
      </w:r>
      <w:r>
        <w:rPr>
          <w:rFonts w:ascii="宋体" w:hAnsi="宋体" w:eastAsia="宋体" w:cs="宋体"/>
          <w:spacing w:val="1"/>
          <w:sz w:val="24"/>
          <w:szCs w:val="24"/>
        </w:rPr>
        <w:t>期）《微生物除臭剂研究</w:t>
      </w:r>
      <w:r>
        <w:rPr>
          <w:rFonts w:ascii="宋体" w:hAnsi="宋体" w:eastAsia="宋体" w:cs="宋体"/>
          <w:sz w:val="24"/>
          <w:szCs w:val="24"/>
        </w:rPr>
        <w:t xml:space="preserve"> </w:t>
      </w:r>
      <w:r>
        <w:rPr>
          <w:rFonts w:ascii="宋体" w:hAnsi="宋体" w:eastAsia="宋体" w:cs="宋体"/>
          <w:spacing w:val="2"/>
          <w:sz w:val="24"/>
          <w:szCs w:val="24"/>
        </w:rPr>
        <w:t>进展》（赵晓锋，隋文志）的资料，经国家环境分析测试中心和陕西环境监测中心</w:t>
      </w:r>
      <w:r>
        <w:rPr>
          <w:rFonts w:ascii="宋体" w:hAnsi="宋体" w:eastAsia="宋体" w:cs="宋体"/>
          <w:spacing w:val="8"/>
          <w:sz w:val="24"/>
          <w:szCs w:val="24"/>
        </w:rPr>
        <w:t xml:space="preserve"> </w:t>
      </w:r>
      <w:r>
        <w:rPr>
          <w:rFonts w:ascii="宋体" w:hAnsi="宋体" w:eastAsia="宋体" w:cs="宋体"/>
          <w:spacing w:val="2"/>
          <w:sz w:val="24"/>
          <w:szCs w:val="24"/>
        </w:rPr>
        <w:t>测试养殖场生物除臭剂（大力克、万洁芬等）对</w:t>
      </w:r>
      <w:r>
        <w:rPr>
          <w:rFonts w:ascii="宋体" w:hAnsi="宋体" w:eastAsia="宋体" w:cs="宋体"/>
          <w:spacing w:val="-63"/>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13"/>
          <w:position w:val="-1"/>
          <w:sz w:val="15"/>
          <w:szCs w:val="15"/>
        </w:rPr>
        <w:t xml:space="preserve"> </w:t>
      </w:r>
      <w:r>
        <w:rPr>
          <w:rFonts w:ascii="宋体" w:hAnsi="宋体" w:eastAsia="宋体" w:cs="宋体"/>
          <w:spacing w:val="2"/>
          <w:sz w:val="24"/>
          <w:szCs w:val="24"/>
        </w:rPr>
        <w:t>和</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32"/>
          <w:w w:val="101"/>
          <w:sz w:val="24"/>
          <w:szCs w:val="24"/>
        </w:rPr>
        <w:t xml:space="preserve"> </w:t>
      </w:r>
      <w:r>
        <w:rPr>
          <w:rFonts w:ascii="宋体" w:hAnsi="宋体" w:eastAsia="宋体" w:cs="宋体"/>
          <w:spacing w:val="2"/>
          <w:sz w:val="24"/>
          <w:szCs w:val="24"/>
        </w:rPr>
        <w:t>的去除效率按</w:t>
      </w:r>
      <w:r>
        <w:rPr>
          <w:rFonts w:ascii="Times New Roman" w:hAnsi="Times New Roman" w:eastAsia="Times New Roman" w:cs="Times New Roman"/>
          <w:spacing w:val="2"/>
          <w:sz w:val="24"/>
          <w:szCs w:val="24"/>
        </w:rPr>
        <w:t>92.</w:t>
      </w:r>
      <w:r>
        <w:rPr>
          <w:rFonts w:ascii="Times New Roman" w:hAnsi="Times New Roman" w:eastAsia="Times New Roman" w:cs="Times New Roman"/>
          <w:spacing w:val="1"/>
          <w:sz w:val="24"/>
          <w:szCs w:val="24"/>
        </w:rPr>
        <w:t>6%</w:t>
      </w:r>
      <w:r>
        <w:rPr>
          <w:rFonts w:ascii="宋体" w:hAnsi="宋体" w:eastAsia="宋体" w:cs="宋体"/>
          <w:spacing w:val="1"/>
          <w:sz w:val="24"/>
          <w:szCs w:val="24"/>
        </w:rPr>
        <w:t>和</w:t>
      </w:r>
      <w:r>
        <w:rPr>
          <w:rFonts w:ascii="宋体" w:hAnsi="宋体" w:eastAsia="宋体" w:cs="宋体"/>
          <w:sz w:val="24"/>
          <w:szCs w:val="24"/>
        </w:rPr>
        <w:t xml:space="preserve"> </w:t>
      </w:r>
      <w:r>
        <w:rPr>
          <w:rFonts w:ascii="Times New Roman" w:hAnsi="Times New Roman" w:eastAsia="Times New Roman" w:cs="Times New Roman"/>
          <w:spacing w:val="-3"/>
          <w:sz w:val="24"/>
          <w:szCs w:val="24"/>
        </w:rPr>
        <w:t>89%</w:t>
      </w:r>
      <w:r>
        <w:rPr>
          <w:rFonts w:ascii="宋体" w:hAnsi="宋体" w:eastAsia="宋体" w:cs="宋体"/>
          <w:spacing w:val="-3"/>
          <w:sz w:val="24"/>
          <w:szCs w:val="24"/>
        </w:rPr>
        <w:t>。项目有机肥发酵车间加生物除臭剂到集污切粪池内进行除臭，延</w:t>
      </w:r>
      <w:r>
        <w:rPr>
          <w:rFonts w:ascii="宋体" w:hAnsi="宋体" w:eastAsia="宋体" w:cs="宋体"/>
          <w:spacing w:val="-4"/>
          <w:sz w:val="24"/>
          <w:szCs w:val="24"/>
        </w:rPr>
        <w:t>长了除臭剂与</w:t>
      </w:r>
      <w:r>
        <w:rPr>
          <w:rFonts w:ascii="宋体" w:hAnsi="宋体" w:eastAsia="宋体" w:cs="宋体"/>
          <w:sz w:val="24"/>
          <w:szCs w:val="24"/>
        </w:rPr>
        <w:t xml:space="preserve"> </w:t>
      </w:r>
      <w:r>
        <w:rPr>
          <w:rFonts w:ascii="宋体" w:hAnsi="宋体" w:eastAsia="宋体" w:cs="宋体"/>
          <w:spacing w:val="2"/>
          <w:sz w:val="24"/>
          <w:szCs w:val="24"/>
        </w:rPr>
        <w:t>粪污的接触时间，并在有机肥发酵车间出风口处喷洒除臭剂，因此有机肥发酵车间</w:t>
      </w:r>
      <w:r>
        <w:rPr>
          <w:rFonts w:ascii="宋体" w:hAnsi="宋体" w:eastAsia="宋体" w:cs="宋体"/>
          <w:spacing w:val="8"/>
          <w:sz w:val="24"/>
          <w:szCs w:val="24"/>
        </w:rPr>
        <w:t xml:space="preserve"> </w:t>
      </w:r>
      <w:r>
        <w:rPr>
          <w:rFonts w:ascii="宋体" w:hAnsi="宋体" w:eastAsia="宋体" w:cs="宋体"/>
          <w:spacing w:val="-1"/>
          <w:sz w:val="24"/>
          <w:szCs w:val="24"/>
        </w:rPr>
        <w:t>除臭效率会更高，对</w:t>
      </w:r>
      <w:r>
        <w:rPr>
          <w:rFonts w:ascii="宋体" w:hAnsi="宋体" w:eastAsia="宋体" w:cs="宋体"/>
          <w:spacing w:val="-60"/>
          <w:sz w:val="24"/>
          <w:szCs w:val="24"/>
        </w:rPr>
        <w:t xml:space="preserve"> </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0"/>
          <w:w w:val="101"/>
          <w:position w:val="-1"/>
          <w:sz w:val="15"/>
          <w:szCs w:val="15"/>
        </w:rPr>
        <w:t xml:space="preserve"> </w:t>
      </w:r>
      <w:r>
        <w:rPr>
          <w:rFonts w:ascii="宋体" w:hAnsi="宋体" w:eastAsia="宋体" w:cs="宋体"/>
          <w:spacing w:val="-1"/>
          <w:sz w:val="24"/>
          <w:szCs w:val="24"/>
        </w:rPr>
        <w:t>和</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的去除效率按</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98%</w:t>
      </w:r>
      <w:r>
        <w:rPr>
          <w:rFonts w:ascii="宋体" w:hAnsi="宋体" w:eastAsia="宋体" w:cs="宋体"/>
          <w:spacing w:val="-1"/>
          <w:sz w:val="24"/>
          <w:szCs w:val="24"/>
        </w:rPr>
        <w:t>和</w:t>
      </w:r>
      <w:r>
        <w:rPr>
          <w:rFonts w:ascii="Times New Roman" w:hAnsi="Times New Roman" w:eastAsia="Times New Roman" w:cs="Times New Roman"/>
          <w:spacing w:val="-1"/>
          <w:sz w:val="24"/>
          <w:szCs w:val="24"/>
        </w:rPr>
        <w:t>96%</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，则项目有机肥发酵车间</w:t>
      </w:r>
      <w:r>
        <w:rPr>
          <w:rFonts w:ascii="宋体" w:hAnsi="宋体" w:eastAsia="宋体" w:cs="宋体"/>
          <w:sz w:val="24"/>
          <w:szCs w:val="24"/>
        </w:rPr>
        <w:t xml:space="preserve"> </w:t>
      </w:r>
      <w:r>
        <w:rPr>
          <w:rFonts w:ascii="宋体" w:hAnsi="宋体" w:eastAsia="宋体" w:cs="宋体"/>
          <w:spacing w:val="-1"/>
          <w:sz w:val="24"/>
          <w:szCs w:val="24"/>
        </w:rPr>
        <w:t>的恶臭产排情况如下表。</w:t>
      </w:r>
    </w:p>
    <w:p w14:paraId="475C39F0">
      <w:pPr>
        <w:spacing w:before="65" w:line="228" w:lineRule="auto"/>
        <w:ind w:left="2566"/>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9"/>
          <w:sz w:val="20"/>
          <w:szCs w:val="20"/>
        </w:rPr>
        <w:t xml:space="preserve"> </w:t>
      </w:r>
      <w:r>
        <w:rPr>
          <w:rFonts w:ascii="Times New Roman" w:hAnsi="Times New Roman" w:eastAsia="Times New Roman" w:cs="Times New Roman"/>
          <w:b/>
          <w:bCs/>
          <w:spacing w:val="5"/>
          <w:sz w:val="20"/>
          <w:szCs w:val="20"/>
        </w:rPr>
        <w:t xml:space="preserve">3.5-5 </w:t>
      </w:r>
      <w:r>
        <w:rPr>
          <w:rFonts w:ascii="宋体" w:hAnsi="宋体" w:eastAsia="宋体" w:cs="宋体"/>
          <w:b/>
          <w:bCs/>
          <w:spacing w:val="5"/>
          <w:sz w:val="20"/>
          <w:szCs w:val="20"/>
        </w:rPr>
        <w:t>有机肥生产车间</w:t>
      </w:r>
      <w:r>
        <w:rPr>
          <w:rFonts w:ascii="宋体" w:hAnsi="宋体" w:eastAsia="宋体" w:cs="宋体"/>
          <w:spacing w:val="-42"/>
          <w:sz w:val="20"/>
          <w:szCs w:val="20"/>
        </w:rPr>
        <w:t xml:space="preserve"> </w:t>
      </w:r>
      <w:r>
        <w:rPr>
          <w:rFonts w:ascii="Times New Roman" w:hAnsi="Times New Roman" w:eastAsia="Times New Roman" w:cs="Times New Roman"/>
          <w:b/>
          <w:bCs/>
          <w:sz w:val="20"/>
          <w:szCs w:val="20"/>
        </w:rPr>
        <w:t>NH</w:t>
      </w:r>
      <w:r>
        <w:rPr>
          <w:rFonts w:ascii="Times New Roman" w:hAnsi="Times New Roman" w:eastAsia="Times New Roman" w:cs="Times New Roman"/>
          <w:b/>
          <w:bCs/>
          <w:spacing w:val="5"/>
          <w:position w:val="-1"/>
          <w:sz w:val="13"/>
          <w:szCs w:val="13"/>
        </w:rPr>
        <w:t>3</w:t>
      </w:r>
      <w:r>
        <w:rPr>
          <w:rFonts w:ascii="Times New Roman" w:hAnsi="Times New Roman" w:eastAsia="Times New Roman" w:cs="Times New Roman"/>
          <w:b/>
          <w:bCs/>
          <w:spacing w:val="-11"/>
          <w:position w:val="-1"/>
          <w:sz w:val="13"/>
          <w:szCs w:val="13"/>
        </w:rPr>
        <w:t xml:space="preserve"> </w:t>
      </w:r>
      <w:r>
        <w:rPr>
          <w:rFonts w:ascii="宋体" w:hAnsi="宋体" w:eastAsia="宋体" w:cs="宋体"/>
          <w:b/>
          <w:bCs/>
          <w:spacing w:val="5"/>
          <w:sz w:val="20"/>
          <w:szCs w:val="20"/>
        </w:rPr>
        <w:t>、</w:t>
      </w:r>
      <w:r>
        <w:rPr>
          <w:rFonts w:ascii="Times New Roman" w:hAnsi="Times New Roman" w:eastAsia="Times New Roman" w:cs="Times New Roman"/>
          <w:b/>
          <w:bCs/>
          <w:spacing w:val="5"/>
          <w:sz w:val="20"/>
          <w:szCs w:val="20"/>
        </w:rPr>
        <w:t>H</w:t>
      </w:r>
      <w:r>
        <w:rPr>
          <w:rFonts w:ascii="Times New Roman" w:hAnsi="Times New Roman" w:eastAsia="Times New Roman" w:cs="Times New Roman"/>
          <w:b/>
          <w:bCs/>
          <w:spacing w:val="5"/>
          <w:position w:val="-1"/>
          <w:sz w:val="13"/>
          <w:szCs w:val="13"/>
        </w:rPr>
        <w:t>2</w:t>
      </w:r>
      <w:r>
        <w:rPr>
          <w:rFonts w:ascii="Times New Roman" w:hAnsi="Times New Roman" w:eastAsia="Times New Roman" w:cs="Times New Roman"/>
          <w:b/>
          <w:bCs/>
          <w:spacing w:val="5"/>
          <w:sz w:val="20"/>
          <w:szCs w:val="20"/>
        </w:rPr>
        <w:t xml:space="preserve">S </w:t>
      </w:r>
      <w:r>
        <w:rPr>
          <w:rFonts w:ascii="宋体" w:hAnsi="宋体" w:eastAsia="宋体" w:cs="宋体"/>
          <w:b/>
          <w:bCs/>
          <w:spacing w:val="5"/>
          <w:sz w:val="20"/>
          <w:szCs w:val="20"/>
        </w:rPr>
        <w:t>产排情况表</w:t>
      </w:r>
    </w:p>
    <w:p w14:paraId="78DB891C">
      <w:pPr>
        <w:spacing w:line="130"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8"/>
        <w:gridCol w:w="1785"/>
        <w:gridCol w:w="1819"/>
        <w:gridCol w:w="1785"/>
        <w:gridCol w:w="1823"/>
      </w:tblGrid>
      <w:tr w14:paraId="57E0F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738" w:type="dxa"/>
            <w:vAlign w:val="top"/>
          </w:tcPr>
          <w:p w14:paraId="76DA2466">
            <w:pPr>
              <w:pStyle w:val="6"/>
              <w:spacing w:before="191" w:line="229" w:lineRule="auto"/>
              <w:ind w:left="562"/>
            </w:pPr>
            <w:r>
              <w:rPr>
                <w:spacing w:val="6"/>
              </w:rPr>
              <w:t>污染物</w:t>
            </w:r>
          </w:p>
        </w:tc>
        <w:tc>
          <w:tcPr>
            <w:tcW w:w="1785" w:type="dxa"/>
            <w:vAlign w:val="top"/>
          </w:tcPr>
          <w:p w14:paraId="27F5868A">
            <w:pPr>
              <w:pStyle w:val="6"/>
              <w:spacing w:before="35" w:line="228" w:lineRule="auto"/>
              <w:ind w:left="581"/>
            </w:pPr>
            <w:r>
              <w:rPr>
                <w:spacing w:val="6"/>
              </w:rPr>
              <w:t>产生量</w:t>
            </w:r>
          </w:p>
          <w:p w14:paraId="4A3B3F8B">
            <w:pPr>
              <w:pStyle w:val="6"/>
              <w:spacing w:before="36" w:line="274" w:lineRule="exact"/>
              <w:ind w:left="592"/>
            </w:pPr>
            <w:r>
              <w:rPr>
                <w:spacing w:val="-1"/>
                <w:position w:val="1"/>
              </w:rPr>
              <w:t>（</w:t>
            </w:r>
            <w:r>
              <w:rPr>
                <w:rFonts w:ascii="Times New Roman" w:hAnsi="Times New Roman" w:eastAsia="Times New Roman" w:cs="Times New Roman"/>
                <w:spacing w:val="-1"/>
                <w:position w:val="1"/>
              </w:rPr>
              <w:t>t/a</w:t>
            </w:r>
            <w:r>
              <w:rPr>
                <w:spacing w:val="-1"/>
                <w:position w:val="1"/>
              </w:rPr>
              <w:t>）</w:t>
            </w:r>
          </w:p>
        </w:tc>
        <w:tc>
          <w:tcPr>
            <w:tcW w:w="1819" w:type="dxa"/>
            <w:vAlign w:val="top"/>
          </w:tcPr>
          <w:p w14:paraId="5E885BCA">
            <w:pPr>
              <w:pStyle w:val="6"/>
              <w:spacing w:before="35" w:line="228" w:lineRule="auto"/>
              <w:ind w:left="493"/>
            </w:pPr>
            <w:r>
              <w:rPr>
                <w:spacing w:val="7"/>
              </w:rPr>
              <w:t>产生速率</w:t>
            </w:r>
          </w:p>
          <w:p w14:paraId="5618E2EA">
            <w:pPr>
              <w:pStyle w:val="6"/>
              <w:spacing w:before="36" w:line="274" w:lineRule="exact"/>
              <w:ind w:left="527"/>
            </w:pPr>
            <w:r>
              <w:rPr>
                <w:spacing w:val="2"/>
                <w:position w:val="3"/>
              </w:rPr>
              <w:t>（</w:t>
            </w:r>
            <w:r>
              <w:rPr>
                <w:rFonts w:ascii="Times New Roman" w:hAnsi="Times New Roman" w:eastAsia="Times New Roman" w:cs="Times New Roman"/>
                <w:position w:val="3"/>
              </w:rPr>
              <w:t>kg</w:t>
            </w:r>
            <w:r>
              <w:rPr>
                <w:rFonts w:ascii="Times New Roman" w:hAnsi="Times New Roman" w:eastAsia="Times New Roman" w:cs="Times New Roman"/>
                <w:spacing w:val="2"/>
                <w:position w:val="3"/>
              </w:rPr>
              <w:t>/h</w:t>
            </w:r>
            <w:r>
              <w:rPr>
                <w:spacing w:val="2"/>
                <w:position w:val="3"/>
              </w:rPr>
              <w:t>）</w:t>
            </w:r>
          </w:p>
        </w:tc>
        <w:tc>
          <w:tcPr>
            <w:tcW w:w="1785" w:type="dxa"/>
            <w:vAlign w:val="top"/>
          </w:tcPr>
          <w:p w14:paraId="6B85CFFE">
            <w:pPr>
              <w:pStyle w:val="6"/>
              <w:spacing w:before="35" w:line="230" w:lineRule="auto"/>
              <w:ind w:left="582"/>
            </w:pPr>
            <w:r>
              <w:rPr>
                <w:spacing w:val="6"/>
              </w:rPr>
              <w:t>排放量</w:t>
            </w:r>
          </w:p>
          <w:p w14:paraId="54258614">
            <w:pPr>
              <w:pStyle w:val="6"/>
              <w:spacing w:before="34" w:line="274" w:lineRule="exact"/>
              <w:ind w:left="592"/>
            </w:pPr>
            <w:r>
              <w:rPr>
                <w:position w:val="1"/>
              </w:rPr>
              <w:t>（</w:t>
            </w:r>
            <w:r>
              <w:rPr>
                <w:rFonts w:ascii="Times New Roman" w:hAnsi="Times New Roman" w:eastAsia="Times New Roman" w:cs="Times New Roman"/>
                <w:position w:val="1"/>
              </w:rPr>
              <w:t>t/a</w:t>
            </w:r>
            <w:r>
              <w:rPr>
                <w:position w:val="1"/>
              </w:rPr>
              <w:t>）</w:t>
            </w:r>
          </w:p>
        </w:tc>
        <w:tc>
          <w:tcPr>
            <w:tcW w:w="1823" w:type="dxa"/>
            <w:vAlign w:val="top"/>
          </w:tcPr>
          <w:p w14:paraId="064CFBF3">
            <w:pPr>
              <w:pStyle w:val="6"/>
              <w:spacing w:before="35" w:line="228" w:lineRule="auto"/>
              <w:ind w:left="496"/>
            </w:pPr>
            <w:r>
              <w:rPr>
                <w:spacing w:val="7"/>
              </w:rPr>
              <w:t>排放速率</w:t>
            </w:r>
          </w:p>
          <w:p w14:paraId="2A04E3DA">
            <w:pPr>
              <w:pStyle w:val="6"/>
              <w:spacing w:before="36" w:line="274" w:lineRule="exact"/>
              <w:ind w:left="531"/>
            </w:pPr>
            <w:r>
              <w:rPr>
                <w:spacing w:val="1"/>
                <w:position w:val="3"/>
              </w:rPr>
              <w:t>（</w:t>
            </w:r>
            <w:r>
              <w:rPr>
                <w:rFonts w:ascii="Times New Roman" w:hAnsi="Times New Roman" w:eastAsia="Times New Roman" w:cs="Times New Roman"/>
                <w:position w:val="3"/>
              </w:rPr>
              <w:t>kg</w:t>
            </w:r>
            <w:r>
              <w:rPr>
                <w:rFonts w:ascii="Times New Roman" w:hAnsi="Times New Roman" w:eastAsia="Times New Roman" w:cs="Times New Roman"/>
                <w:spacing w:val="1"/>
                <w:position w:val="3"/>
              </w:rPr>
              <w:t>/h</w:t>
            </w:r>
            <w:r>
              <w:rPr>
                <w:spacing w:val="1"/>
                <w:position w:val="3"/>
              </w:rPr>
              <w:t>）</w:t>
            </w:r>
          </w:p>
        </w:tc>
      </w:tr>
      <w:tr w14:paraId="22EE5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738" w:type="dxa"/>
            <w:vAlign w:val="top"/>
          </w:tcPr>
          <w:p w14:paraId="00FA570E">
            <w:pPr>
              <w:spacing w:before="57" w:line="223" w:lineRule="auto"/>
              <w:ind w:left="679"/>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785" w:type="dxa"/>
            <w:vAlign w:val="top"/>
          </w:tcPr>
          <w:p w14:paraId="11D7E866">
            <w:pPr>
              <w:spacing w:line="261" w:lineRule="exact"/>
              <w:ind w:left="66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0.613</w:t>
            </w:r>
          </w:p>
        </w:tc>
        <w:tc>
          <w:tcPr>
            <w:tcW w:w="1819" w:type="dxa"/>
            <w:vAlign w:val="top"/>
          </w:tcPr>
          <w:p w14:paraId="5D7D3AA2">
            <w:pPr>
              <w:spacing w:line="261" w:lineRule="exact"/>
              <w:ind w:left="7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0.07</w:t>
            </w:r>
          </w:p>
        </w:tc>
        <w:tc>
          <w:tcPr>
            <w:tcW w:w="1785" w:type="dxa"/>
            <w:vAlign w:val="top"/>
          </w:tcPr>
          <w:p w14:paraId="295EB1FD">
            <w:pPr>
              <w:spacing w:line="261" w:lineRule="exact"/>
              <w:ind w:left="66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0.012</w:t>
            </w:r>
          </w:p>
        </w:tc>
        <w:tc>
          <w:tcPr>
            <w:tcW w:w="1823" w:type="dxa"/>
            <w:vAlign w:val="top"/>
          </w:tcPr>
          <w:p w14:paraId="7810BE11">
            <w:pPr>
              <w:spacing w:line="261" w:lineRule="exact"/>
              <w:ind w:left="62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0.0014</w:t>
            </w:r>
          </w:p>
        </w:tc>
      </w:tr>
      <w:tr w14:paraId="0323C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738" w:type="dxa"/>
            <w:vAlign w:val="top"/>
          </w:tcPr>
          <w:p w14:paraId="0F505AE1">
            <w:pPr>
              <w:spacing w:before="55" w:line="230" w:lineRule="auto"/>
              <w:ind w:left="7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c>
          <w:tcPr>
            <w:tcW w:w="1785" w:type="dxa"/>
            <w:vAlign w:val="top"/>
          </w:tcPr>
          <w:p w14:paraId="77C740B1">
            <w:pPr>
              <w:spacing w:line="263" w:lineRule="exact"/>
              <w:ind w:left="66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0.123</w:t>
            </w:r>
          </w:p>
        </w:tc>
        <w:tc>
          <w:tcPr>
            <w:tcW w:w="1819" w:type="dxa"/>
            <w:vAlign w:val="top"/>
          </w:tcPr>
          <w:p w14:paraId="03AAC4AB">
            <w:pPr>
              <w:spacing w:line="263" w:lineRule="exact"/>
              <w:ind w:left="67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0.014</w:t>
            </w:r>
          </w:p>
        </w:tc>
        <w:tc>
          <w:tcPr>
            <w:tcW w:w="1785" w:type="dxa"/>
            <w:vAlign w:val="top"/>
          </w:tcPr>
          <w:p w14:paraId="60279517">
            <w:pPr>
              <w:spacing w:line="263" w:lineRule="exact"/>
              <w:ind w:left="66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0.005</w:t>
            </w:r>
          </w:p>
        </w:tc>
        <w:tc>
          <w:tcPr>
            <w:tcW w:w="1823" w:type="dxa"/>
            <w:vAlign w:val="top"/>
          </w:tcPr>
          <w:p w14:paraId="27647145">
            <w:pPr>
              <w:spacing w:line="263" w:lineRule="exact"/>
              <w:ind w:left="62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0.0006</w:t>
            </w:r>
          </w:p>
        </w:tc>
      </w:tr>
    </w:tbl>
    <w:p w14:paraId="06A85C3C">
      <w:pPr>
        <w:pStyle w:val="2"/>
        <w:spacing w:line="457" w:lineRule="auto"/>
      </w:pPr>
    </w:p>
    <w:p w14:paraId="7622AA61">
      <w:pPr>
        <w:spacing w:before="78" w:line="367" w:lineRule="auto"/>
        <w:ind w:left="126" w:right="32" w:firstLine="479"/>
        <w:rPr>
          <w:rFonts w:ascii="宋体" w:hAnsi="宋体" w:eastAsia="宋体" w:cs="宋体"/>
          <w:sz w:val="24"/>
          <w:szCs w:val="24"/>
        </w:rPr>
      </w:pPr>
      <w:r>
        <w:rPr>
          <w:rFonts w:ascii="宋体" w:hAnsi="宋体" w:eastAsia="宋体" w:cs="宋体"/>
          <w:spacing w:val="-3"/>
          <w:sz w:val="24"/>
          <w:szCs w:val="24"/>
        </w:rPr>
        <w:t>综上所述，本项目</w:t>
      </w:r>
      <w:r>
        <w:rPr>
          <w:rFonts w:ascii="宋体" w:hAnsi="宋体" w:eastAsia="宋体" w:cs="宋体"/>
          <w:spacing w:val="-63"/>
          <w:sz w:val="24"/>
          <w:szCs w:val="24"/>
        </w:rPr>
        <w:t xml:space="preserve"> </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1"/>
          <w:sz w:val="15"/>
          <w:szCs w:val="15"/>
        </w:rPr>
        <w:t>3</w:t>
      </w:r>
      <w:r>
        <w:rPr>
          <w:rFonts w:ascii="宋体" w:hAnsi="宋体" w:eastAsia="宋体" w:cs="宋体"/>
          <w:spacing w:val="-3"/>
          <w:sz w:val="24"/>
          <w:szCs w:val="24"/>
        </w:rPr>
        <w:t>、</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3"/>
          <w:sz w:val="24"/>
          <w:szCs w:val="24"/>
        </w:rPr>
        <w:t xml:space="preserve">S </w:t>
      </w:r>
      <w:r>
        <w:rPr>
          <w:rFonts w:ascii="宋体" w:hAnsi="宋体" w:eastAsia="宋体" w:cs="宋体"/>
          <w:spacing w:val="-3"/>
          <w:sz w:val="24"/>
          <w:szCs w:val="24"/>
        </w:rPr>
        <w:t>气体的排放主要来自猪舍、有</w:t>
      </w:r>
      <w:r>
        <w:rPr>
          <w:rFonts w:ascii="宋体" w:hAnsi="宋体" w:eastAsia="宋体" w:cs="宋体"/>
          <w:spacing w:val="-4"/>
          <w:sz w:val="24"/>
          <w:szCs w:val="24"/>
        </w:rPr>
        <w:t>机肥发酵车间，均属</w:t>
      </w:r>
      <w:r>
        <w:rPr>
          <w:rFonts w:ascii="宋体" w:hAnsi="宋体" w:eastAsia="宋体" w:cs="宋体"/>
          <w:sz w:val="24"/>
          <w:szCs w:val="24"/>
        </w:rPr>
        <w:t xml:space="preserve"> </w:t>
      </w:r>
      <w:r>
        <w:rPr>
          <w:rFonts w:ascii="宋体" w:hAnsi="宋体" w:eastAsia="宋体" w:cs="宋体"/>
          <w:spacing w:val="-3"/>
          <w:sz w:val="24"/>
          <w:szCs w:val="24"/>
        </w:rPr>
        <w:t>于无组织排放。本项目养殖区、有机肥发酵车间恶臭的排放速率及排放量见表</w:t>
      </w:r>
      <w:r>
        <w:rPr>
          <w:rFonts w:ascii="Times New Roman" w:hAnsi="Times New Roman" w:eastAsia="Times New Roman" w:cs="Times New Roman"/>
          <w:spacing w:val="-3"/>
          <w:sz w:val="24"/>
          <w:szCs w:val="24"/>
        </w:rPr>
        <w:t>3.5-6</w:t>
      </w:r>
      <w:r>
        <w:rPr>
          <w:rFonts w:ascii="宋体" w:hAnsi="宋体" w:eastAsia="宋体" w:cs="宋体"/>
          <w:spacing w:val="-3"/>
          <w:sz w:val="24"/>
          <w:szCs w:val="24"/>
        </w:rPr>
        <w:t>。</w:t>
      </w:r>
    </w:p>
    <w:p w14:paraId="3EA50932">
      <w:pPr>
        <w:spacing w:before="37" w:line="228" w:lineRule="auto"/>
        <w:ind w:left="308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6"/>
          <w:sz w:val="20"/>
          <w:szCs w:val="20"/>
        </w:rPr>
        <w:t xml:space="preserve">3.5-6 </w:t>
      </w:r>
      <w:r>
        <w:rPr>
          <w:rFonts w:ascii="宋体" w:hAnsi="宋体" w:eastAsia="宋体" w:cs="宋体"/>
          <w:b/>
          <w:bCs/>
          <w:spacing w:val="6"/>
          <w:sz w:val="20"/>
          <w:szCs w:val="20"/>
        </w:rPr>
        <w:t>本项目恶臭排放情况一览表</w:t>
      </w:r>
    </w:p>
    <w:p w14:paraId="71A80031">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9"/>
        <w:gridCol w:w="1558"/>
        <w:gridCol w:w="2125"/>
        <w:gridCol w:w="1558"/>
        <w:gridCol w:w="2150"/>
      </w:tblGrid>
      <w:tr w14:paraId="0D989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559" w:type="dxa"/>
            <w:vMerge w:val="restart"/>
            <w:tcBorders>
              <w:bottom w:val="nil"/>
            </w:tcBorders>
            <w:vAlign w:val="top"/>
          </w:tcPr>
          <w:p w14:paraId="177A7CAA">
            <w:pPr>
              <w:pStyle w:val="6"/>
              <w:spacing w:before="179" w:line="228" w:lineRule="auto"/>
              <w:ind w:left="575"/>
            </w:pPr>
            <w:r>
              <w:rPr>
                <w:spacing w:val="4"/>
              </w:rPr>
              <w:t>来源</w:t>
            </w:r>
          </w:p>
        </w:tc>
        <w:tc>
          <w:tcPr>
            <w:tcW w:w="3683" w:type="dxa"/>
            <w:gridSpan w:val="2"/>
            <w:vAlign w:val="top"/>
          </w:tcPr>
          <w:p w14:paraId="566FAD9C">
            <w:pPr>
              <w:spacing w:before="60" w:line="225" w:lineRule="auto"/>
              <w:ind w:left="1650"/>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3708" w:type="dxa"/>
            <w:gridSpan w:val="2"/>
            <w:vAlign w:val="top"/>
          </w:tcPr>
          <w:p w14:paraId="17D6F081">
            <w:pPr>
              <w:spacing w:before="56" w:line="229" w:lineRule="auto"/>
              <w:ind w:left="16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r>
      <w:tr w14:paraId="53C1B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59" w:type="dxa"/>
            <w:vMerge w:val="continue"/>
            <w:tcBorders>
              <w:top w:val="nil"/>
            </w:tcBorders>
            <w:vAlign w:val="top"/>
          </w:tcPr>
          <w:p w14:paraId="2C5D90E6">
            <w:pPr>
              <w:rPr>
                <w:rFonts w:ascii="Arial"/>
                <w:sz w:val="21"/>
              </w:rPr>
            </w:pPr>
          </w:p>
        </w:tc>
        <w:tc>
          <w:tcPr>
            <w:tcW w:w="1558" w:type="dxa"/>
            <w:vAlign w:val="top"/>
          </w:tcPr>
          <w:p w14:paraId="52089BFD">
            <w:pPr>
              <w:pStyle w:val="6"/>
              <w:spacing w:before="1" w:line="274" w:lineRule="exact"/>
              <w:ind w:left="153"/>
            </w:pPr>
            <w:r>
              <w:rPr>
                <w:spacing w:val="4"/>
                <w:position w:val="1"/>
              </w:rPr>
              <w:t>排放量（</w:t>
            </w:r>
            <w:r>
              <w:rPr>
                <w:rFonts w:ascii="Times New Roman" w:hAnsi="Times New Roman" w:eastAsia="Times New Roman" w:cs="Times New Roman"/>
                <w:spacing w:val="4"/>
                <w:position w:val="1"/>
              </w:rPr>
              <w:t>t/a</w:t>
            </w:r>
            <w:r>
              <w:rPr>
                <w:spacing w:val="4"/>
                <w:position w:val="1"/>
              </w:rPr>
              <w:t>）</w:t>
            </w:r>
          </w:p>
        </w:tc>
        <w:tc>
          <w:tcPr>
            <w:tcW w:w="2125" w:type="dxa"/>
            <w:vAlign w:val="top"/>
          </w:tcPr>
          <w:p w14:paraId="6CAC9F51">
            <w:pPr>
              <w:pStyle w:val="6"/>
              <w:spacing w:before="1" w:line="274" w:lineRule="exact"/>
              <w:ind w:left="251"/>
            </w:pPr>
            <w:r>
              <w:rPr>
                <w:spacing w:val="6"/>
                <w:position w:val="2"/>
              </w:rPr>
              <w:t>排放速率（</w:t>
            </w:r>
            <w:r>
              <w:rPr>
                <w:rFonts w:ascii="Times New Roman" w:hAnsi="Times New Roman" w:eastAsia="Times New Roman" w:cs="Times New Roman"/>
                <w:position w:val="2"/>
              </w:rPr>
              <w:t>kg</w:t>
            </w:r>
            <w:r>
              <w:rPr>
                <w:rFonts w:ascii="Times New Roman" w:hAnsi="Times New Roman" w:eastAsia="Times New Roman" w:cs="Times New Roman"/>
                <w:spacing w:val="6"/>
                <w:position w:val="2"/>
              </w:rPr>
              <w:t>/h</w:t>
            </w:r>
            <w:r>
              <w:rPr>
                <w:spacing w:val="6"/>
                <w:position w:val="2"/>
              </w:rPr>
              <w:t>）</w:t>
            </w:r>
          </w:p>
        </w:tc>
        <w:tc>
          <w:tcPr>
            <w:tcW w:w="1558" w:type="dxa"/>
            <w:vAlign w:val="top"/>
          </w:tcPr>
          <w:p w14:paraId="4FA6421B">
            <w:pPr>
              <w:pStyle w:val="6"/>
              <w:spacing w:before="1" w:line="274" w:lineRule="exact"/>
              <w:ind w:left="154"/>
            </w:pPr>
            <w:r>
              <w:rPr>
                <w:spacing w:val="4"/>
                <w:position w:val="1"/>
              </w:rPr>
              <w:t>排放量（</w:t>
            </w:r>
            <w:r>
              <w:rPr>
                <w:rFonts w:ascii="Times New Roman" w:hAnsi="Times New Roman" w:eastAsia="Times New Roman" w:cs="Times New Roman"/>
                <w:spacing w:val="4"/>
                <w:position w:val="1"/>
              </w:rPr>
              <w:t>t/a</w:t>
            </w:r>
            <w:r>
              <w:rPr>
                <w:spacing w:val="4"/>
                <w:position w:val="1"/>
              </w:rPr>
              <w:t>）</w:t>
            </w:r>
          </w:p>
        </w:tc>
        <w:tc>
          <w:tcPr>
            <w:tcW w:w="2150" w:type="dxa"/>
            <w:vAlign w:val="top"/>
          </w:tcPr>
          <w:p w14:paraId="1106D3CC">
            <w:pPr>
              <w:pStyle w:val="6"/>
              <w:spacing w:before="1" w:line="274" w:lineRule="exact"/>
              <w:ind w:left="264"/>
            </w:pPr>
            <w:r>
              <w:rPr>
                <w:spacing w:val="6"/>
                <w:position w:val="2"/>
              </w:rPr>
              <w:t>排放速率（</w:t>
            </w:r>
            <w:r>
              <w:rPr>
                <w:rFonts w:ascii="Times New Roman" w:hAnsi="Times New Roman" w:eastAsia="Times New Roman" w:cs="Times New Roman"/>
                <w:position w:val="2"/>
              </w:rPr>
              <w:t>kg</w:t>
            </w:r>
            <w:r>
              <w:rPr>
                <w:rFonts w:ascii="Times New Roman" w:hAnsi="Times New Roman" w:eastAsia="Times New Roman" w:cs="Times New Roman"/>
                <w:spacing w:val="6"/>
                <w:position w:val="2"/>
              </w:rPr>
              <w:t>/h</w:t>
            </w:r>
            <w:r>
              <w:rPr>
                <w:spacing w:val="6"/>
                <w:position w:val="2"/>
              </w:rPr>
              <w:t>）</w:t>
            </w:r>
          </w:p>
        </w:tc>
      </w:tr>
      <w:tr w14:paraId="25974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59" w:type="dxa"/>
            <w:vAlign w:val="top"/>
          </w:tcPr>
          <w:p w14:paraId="261E4C0C">
            <w:pPr>
              <w:pStyle w:val="6"/>
              <w:spacing w:before="34" w:line="229" w:lineRule="auto"/>
              <w:ind w:left="575"/>
            </w:pPr>
            <w:r>
              <w:rPr>
                <w:spacing w:val="4"/>
              </w:rPr>
              <w:t>猪舍</w:t>
            </w:r>
          </w:p>
        </w:tc>
        <w:tc>
          <w:tcPr>
            <w:tcW w:w="1558" w:type="dxa"/>
            <w:vAlign w:val="top"/>
          </w:tcPr>
          <w:p w14:paraId="2E57896F">
            <w:pPr>
              <w:spacing w:before="3" w:line="274" w:lineRule="exact"/>
              <w:ind w:left="5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2125" w:type="dxa"/>
            <w:vAlign w:val="top"/>
          </w:tcPr>
          <w:p w14:paraId="1C45B0C3">
            <w:pPr>
              <w:spacing w:before="3" w:line="274" w:lineRule="exact"/>
              <w:ind w:left="8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0.002</w:t>
            </w:r>
          </w:p>
        </w:tc>
        <w:tc>
          <w:tcPr>
            <w:tcW w:w="1558" w:type="dxa"/>
            <w:vAlign w:val="top"/>
          </w:tcPr>
          <w:p w14:paraId="25A5A2FF">
            <w:pPr>
              <w:spacing w:before="3" w:line="274"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2150" w:type="dxa"/>
            <w:vAlign w:val="top"/>
          </w:tcPr>
          <w:p w14:paraId="114EFF10">
            <w:pPr>
              <w:spacing w:before="3" w:line="274" w:lineRule="exact"/>
              <w:ind w:left="7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w:t>
            </w:r>
          </w:p>
        </w:tc>
      </w:tr>
      <w:tr w14:paraId="33A1D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559" w:type="dxa"/>
            <w:vAlign w:val="top"/>
          </w:tcPr>
          <w:p w14:paraId="05E30D22">
            <w:pPr>
              <w:pStyle w:val="6"/>
              <w:spacing w:before="33" w:line="228" w:lineRule="auto"/>
              <w:ind w:left="261"/>
            </w:pPr>
            <w:r>
              <w:rPr>
                <w:spacing w:val="7"/>
              </w:rPr>
              <w:t>有机肥车间</w:t>
            </w:r>
          </w:p>
        </w:tc>
        <w:tc>
          <w:tcPr>
            <w:tcW w:w="1558" w:type="dxa"/>
            <w:vAlign w:val="top"/>
          </w:tcPr>
          <w:p w14:paraId="27720772">
            <w:pPr>
              <w:spacing w:before="5" w:line="274" w:lineRule="exact"/>
              <w:ind w:left="60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0.11</w:t>
            </w:r>
          </w:p>
        </w:tc>
        <w:tc>
          <w:tcPr>
            <w:tcW w:w="2125" w:type="dxa"/>
            <w:vAlign w:val="top"/>
          </w:tcPr>
          <w:p w14:paraId="644D74C0">
            <w:pPr>
              <w:spacing w:before="5" w:line="274" w:lineRule="exact"/>
              <w:ind w:left="8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0.013</w:t>
            </w:r>
          </w:p>
        </w:tc>
        <w:tc>
          <w:tcPr>
            <w:tcW w:w="1558" w:type="dxa"/>
            <w:vAlign w:val="top"/>
          </w:tcPr>
          <w:p w14:paraId="0C023821">
            <w:pPr>
              <w:spacing w:before="5" w:line="274"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0.034</w:t>
            </w:r>
          </w:p>
        </w:tc>
        <w:tc>
          <w:tcPr>
            <w:tcW w:w="2150" w:type="dxa"/>
            <w:vAlign w:val="top"/>
          </w:tcPr>
          <w:p w14:paraId="7075FB8F">
            <w:pPr>
              <w:spacing w:before="5" w:line="274" w:lineRule="exact"/>
              <w:ind w:left="7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0.0039</w:t>
            </w:r>
          </w:p>
        </w:tc>
      </w:tr>
    </w:tbl>
    <w:p w14:paraId="2B817129">
      <w:pPr>
        <w:spacing w:before="253" w:line="360" w:lineRule="exact"/>
        <w:ind w:left="598"/>
        <w:rPr>
          <w:rFonts w:ascii="宋体" w:hAnsi="宋体" w:eastAsia="宋体" w:cs="宋体"/>
          <w:sz w:val="24"/>
          <w:szCs w:val="24"/>
        </w:rPr>
      </w:pP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4"/>
          <w:position w:val="2"/>
          <w:sz w:val="24"/>
          <w:szCs w:val="24"/>
        </w:rPr>
        <w:t>、饲料加工房粉尘</w:t>
      </w:r>
    </w:p>
    <w:p w14:paraId="074DF103">
      <w:pPr>
        <w:spacing w:before="165" w:line="219" w:lineRule="auto"/>
        <w:ind w:left="603"/>
        <w:outlineLvl w:val="0"/>
        <w:rPr>
          <w:rFonts w:ascii="宋体" w:hAnsi="宋体" w:eastAsia="宋体" w:cs="宋体"/>
          <w:sz w:val="24"/>
          <w:szCs w:val="24"/>
        </w:rPr>
      </w:pPr>
      <w:r>
        <w:rPr>
          <w:rFonts w:ascii="宋体" w:hAnsi="宋体" w:eastAsia="宋体" w:cs="宋体"/>
          <w:spacing w:val="-1"/>
          <w:sz w:val="24"/>
          <w:szCs w:val="24"/>
        </w:rPr>
        <w:t>本项目外购饲料原料（</w:t>
      </w:r>
      <w:r>
        <w:rPr>
          <w:rFonts w:ascii="宋体" w:hAnsi="宋体" w:eastAsia="宋体" w:cs="宋体"/>
          <w:spacing w:val="-1"/>
          <w:sz w:val="20"/>
          <w:szCs w:val="20"/>
        </w:rPr>
        <w:t>玉米、</w:t>
      </w:r>
      <w:r>
        <w:rPr>
          <w:rFonts w:ascii="宋体" w:hAnsi="宋体" w:eastAsia="宋体" w:cs="宋体"/>
          <w:spacing w:val="-1"/>
          <w:sz w:val="24"/>
          <w:szCs w:val="24"/>
        </w:rPr>
        <w:t>豆粕、麸皮</w:t>
      </w:r>
      <w:r>
        <w:rPr>
          <w:rFonts w:ascii="宋体" w:hAnsi="宋体" w:eastAsia="宋体" w:cs="宋体"/>
          <w:spacing w:val="-3"/>
          <w:sz w:val="24"/>
          <w:szCs w:val="24"/>
        </w:rPr>
        <w:t>），</w:t>
      </w:r>
      <w:r>
        <w:rPr>
          <w:rFonts w:ascii="宋体" w:hAnsi="宋体" w:eastAsia="宋体" w:cs="宋体"/>
          <w:spacing w:val="-1"/>
          <w:sz w:val="24"/>
          <w:szCs w:val="24"/>
        </w:rPr>
        <w:t>在饲料加工房进行简单的破碎搅拌</w:t>
      </w:r>
    </w:p>
    <w:p w14:paraId="05841B55">
      <w:pPr>
        <w:spacing w:before="168" w:line="366" w:lineRule="auto"/>
        <w:ind w:left="133" w:right="113" w:hanging="9"/>
        <w:rPr>
          <w:rFonts w:ascii="宋体" w:hAnsi="宋体" w:eastAsia="宋体" w:cs="宋体"/>
          <w:sz w:val="24"/>
          <w:szCs w:val="24"/>
        </w:rPr>
      </w:pPr>
      <w:r>
        <w:rPr>
          <w:rFonts w:ascii="宋体" w:hAnsi="宋体" w:eastAsia="宋体" w:cs="宋体"/>
          <w:spacing w:val="3"/>
          <w:sz w:val="24"/>
          <w:szCs w:val="24"/>
        </w:rPr>
        <w:t>后既可以将饲料按量提供给猪只食用。项目搅拌时间较短，每天搅拌时间约为</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小</w:t>
      </w:r>
      <w:r>
        <w:rPr>
          <w:rFonts w:ascii="宋体" w:hAnsi="宋体" w:eastAsia="宋体" w:cs="宋体"/>
          <w:sz w:val="24"/>
          <w:szCs w:val="24"/>
        </w:rPr>
        <w:t xml:space="preserve"> </w:t>
      </w:r>
      <w:r>
        <w:rPr>
          <w:rFonts w:ascii="宋体" w:hAnsi="宋体" w:eastAsia="宋体" w:cs="宋体"/>
          <w:spacing w:val="-1"/>
          <w:sz w:val="24"/>
          <w:szCs w:val="24"/>
        </w:rPr>
        <w:t>时。在饲料混合破碎搅拌过程中会产生少量的粉尘。</w:t>
      </w:r>
    </w:p>
    <w:p w14:paraId="1BF71A26">
      <w:pPr>
        <w:spacing w:before="27" w:line="332" w:lineRule="exact"/>
        <w:jc w:val="right"/>
        <w:outlineLvl w:val="0"/>
        <w:rPr>
          <w:rFonts w:ascii="宋体" w:hAnsi="宋体" w:eastAsia="宋体" w:cs="宋体"/>
          <w:sz w:val="24"/>
          <w:szCs w:val="24"/>
        </w:rPr>
      </w:pPr>
      <w:r>
        <w:rPr>
          <w:rFonts w:ascii="宋体" w:hAnsi="宋体" w:eastAsia="宋体" w:cs="宋体"/>
          <w:spacing w:val="-7"/>
          <w:position w:val="3"/>
          <w:sz w:val="24"/>
          <w:szCs w:val="24"/>
        </w:rPr>
        <w:t>本项目饲料为纯物理复配，类比同类型项目，饲料粉尘的产生量为</w:t>
      </w:r>
      <w:r>
        <w:rPr>
          <w:rFonts w:ascii="宋体" w:hAnsi="宋体" w:eastAsia="宋体" w:cs="宋体"/>
          <w:spacing w:val="-52"/>
          <w:position w:val="3"/>
          <w:sz w:val="24"/>
          <w:szCs w:val="24"/>
        </w:rPr>
        <w:t xml:space="preserve"> </w:t>
      </w:r>
      <w:r>
        <w:rPr>
          <w:rFonts w:ascii="Times New Roman" w:hAnsi="Times New Roman" w:eastAsia="Times New Roman" w:cs="Times New Roman"/>
          <w:spacing w:val="-8"/>
          <w:position w:val="3"/>
          <w:sz w:val="24"/>
          <w:szCs w:val="24"/>
        </w:rPr>
        <w:t xml:space="preserve">0.05kg/t </w:t>
      </w:r>
      <w:r>
        <w:rPr>
          <w:rFonts w:ascii="宋体" w:hAnsi="宋体" w:eastAsia="宋体" w:cs="宋体"/>
          <w:spacing w:val="-8"/>
          <w:position w:val="3"/>
          <w:sz w:val="24"/>
          <w:szCs w:val="24"/>
        </w:rPr>
        <w:t>饲料，</w:t>
      </w:r>
    </w:p>
    <w:p w14:paraId="5EE98701">
      <w:pPr>
        <w:spacing w:before="156" w:line="363" w:lineRule="auto"/>
        <w:ind w:left="125" w:right="108" w:hanging="2"/>
        <w:rPr>
          <w:rFonts w:ascii="宋体" w:hAnsi="宋体" w:eastAsia="宋体" w:cs="宋体"/>
          <w:sz w:val="24"/>
          <w:szCs w:val="24"/>
        </w:rPr>
      </w:pPr>
      <w:r>
        <w:rPr>
          <w:rFonts w:ascii="宋体" w:hAnsi="宋体" w:eastAsia="宋体" w:cs="宋体"/>
          <w:sz w:val="24"/>
          <w:szCs w:val="24"/>
        </w:rPr>
        <w:t>本项目饲料消耗量为</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7665t/a</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，则饲料粉尘产生量为</w:t>
      </w:r>
      <w:r>
        <w:rPr>
          <w:rFonts w:ascii="Times New Roman" w:hAnsi="Times New Roman" w:eastAsia="Times New Roman" w:cs="Times New Roman"/>
          <w:sz w:val="24"/>
          <w:szCs w:val="24"/>
        </w:rPr>
        <w:t>0.38t/a</w:t>
      </w:r>
      <w:r>
        <w:rPr>
          <w:rFonts w:ascii="Times New Roman" w:hAnsi="Times New Roman" w:eastAsia="Times New Roman" w:cs="Times New Roman"/>
          <w:spacing w:val="-25"/>
          <w:sz w:val="24"/>
          <w:szCs w:val="24"/>
        </w:rPr>
        <w:t xml:space="preserve"> </w:t>
      </w:r>
      <w:r>
        <w:rPr>
          <w:rFonts w:ascii="宋体" w:hAnsi="宋体" w:eastAsia="宋体" w:cs="宋体"/>
          <w:sz w:val="24"/>
          <w:szCs w:val="24"/>
        </w:rPr>
        <w:t xml:space="preserve">。项目在饲料配制过程中 </w:t>
      </w:r>
      <w:r>
        <w:rPr>
          <w:rFonts w:ascii="宋体" w:hAnsi="宋体" w:eastAsia="宋体" w:cs="宋体"/>
          <w:spacing w:val="-1"/>
          <w:sz w:val="24"/>
          <w:szCs w:val="24"/>
        </w:rPr>
        <w:t>设备密闭，项目无组织排放量约为产生量的</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，即</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0.0076t/a</w:t>
      </w:r>
      <w:r>
        <w:rPr>
          <w:rFonts w:ascii="宋体" w:hAnsi="宋体" w:eastAsia="宋体" w:cs="宋体"/>
          <w:spacing w:val="-2"/>
          <w:sz w:val="24"/>
          <w:szCs w:val="24"/>
        </w:rPr>
        <w:t>（</w:t>
      </w:r>
      <w:r>
        <w:rPr>
          <w:rFonts w:ascii="Times New Roman" w:hAnsi="Times New Roman" w:eastAsia="Times New Roman" w:cs="Times New Roman"/>
          <w:spacing w:val="-2"/>
          <w:sz w:val="24"/>
          <w:szCs w:val="24"/>
        </w:rPr>
        <w:t>0.005kg/h</w:t>
      </w:r>
      <w:r>
        <w:rPr>
          <w:rFonts w:ascii="宋体" w:hAnsi="宋体" w:eastAsia="宋体" w:cs="宋体"/>
          <w:spacing w:val="-2"/>
          <w:sz w:val="24"/>
          <w:szCs w:val="24"/>
        </w:rPr>
        <w:t>）。</w:t>
      </w:r>
    </w:p>
    <w:p w14:paraId="0AA27733">
      <w:pPr>
        <w:spacing w:line="363" w:lineRule="auto"/>
        <w:rPr>
          <w:rFonts w:ascii="宋体" w:hAnsi="宋体" w:eastAsia="宋体" w:cs="宋体"/>
          <w:sz w:val="24"/>
          <w:szCs w:val="24"/>
        </w:rPr>
        <w:sectPr>
          <w:footerReference r:id="rId80" w:type="default"/>
          <w:pgSz w:w="11906" w:h="16839"/>
          <w:pgMar w:top="400" w:right="1475" w:bottom="1485" w:left="1475" w:header="0" w:footer="1249" w:gutter="0"/>
          <w:cols w:space="720" w:num="1"/>
        </w:sectPr>
      </w:pPr>
    </w:p>
    <w:p w14:paraId="4087E0CE">
      <w:pPr>
        <w:pStyle w:val="2"/>
        <w:spacing w:line="255" w:lineRule="auto"/>
      </w:pPr>
    </w:p>
    <w:p w14:paraId="747BB815">
      <w:pPr>
        <w:pStyle w:val="2"/>
        <w:spacing w:line="255" w:lineRule="auto"/>
      </w:pPr>
    </w:p>
    <w:p w14:paraId="034D4659">
      <w:pPr>
        <w:pStyle w:val="2"/>
        <w:spacing w:line="256" w:lineRule="auto"/>
      </w:pPr>
    </w:p>
    <w:p w14:paraId="6BB4A20F">
      <w:pPr>
        <w:pStyle w:val="2"/>
        <w:spacing w:line="256" w:lineRule="auto"/>
      </w:pPr>
    </w:p>
    <w:p w14:paraId="23317826">
      <w:pPr>
        <w:spacing w:before="78" w:line="359" w:lineRule="exact"/>
        <w:ind w:left="603"/>
        <w:rPr>
          <w:rFonts w:ascii="宋体" w:hAnsi="宋体" w:eastAsia="宋体" w:cs="宋体"/>
          <w:sz w:val="24"/>
          <w:szCs w:val="24"/>
        </w:rPr>
      </w:pPr>
      <w:r>
        <w:rPr>
          <w:rFonts w:ascii="Times New Roman" w:hAnsi="Times New Roman" w:eastAsia="Times New Roman" w:cs="Times New Roman"/>
          <w:spacing w:val="-4"/>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4"/>
          <w:position w:val="2"/>
          <w:sz w:val="24"/>
          <w:szCs w:val="24"/>
        </w:rPr>
        <w:t>、备用发电机尾气</w:t>
      </w:r>
    </w:p>
    <w:p w14:paraId="7791A255">
      <w:pPr>
        <w:spacing w:before="129" w:line="376" w:lineRule="auto"/>
        <w:ind w:left="118" w:right="110" w:firstLine="487"/>
        <w:rPr>
          <w:rFonts w:ascii="宋体" w:hAnsi="宋体" w:eastAsia="宋体" w:cs="宋体"/>
          <w:sz w:val="24"/>
          <w:szCs w:val="24"/>
        </w:rPr>
      </w:pPr>
      <w:r>
        <w:rPr>
          <w:rFonts w:ascii="宋体" w:hAnsi="宋体" w:eastAsia="宋体" w:cs="宋体"/>
          <w:spacing w:val="-2"/>
          <w:sz w:val="24"/>
          <w:szCs w:val="24"/>
        </w:rPr>
        <w:t>为确保项目建筑的供电可靠性，本项目拟设置</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台</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 xml:space="preserve">400kW </w:t>
      </w:r>
      <w:r>
        <w:rPr>
          <w:rFonts w:ascii="宋体" w:hAnsi="宋体" w:eastAsia="宋体" w:cs="宋体"/>
          <w:spacing w:val="-3"/>
          <w:sz w:val="24"/>
          <w:szCs w:val="24"/>
        </w:rPr>
        <w:t>备用发电机，放置于</w:t>
      </w:r>
      <w:r>
        <w:rPr>
          <w:rFonts w:ascii="宋体" w:hAnsi="宋体" w:eastAsia="宋体" w:cs="宋体"/>
          <w:sz w:val="24"/>
          <w:szCs w:val="24"/>
        </w:rPr>
        <w:t xml:space="preserve"> 地下一层发电机房内。发电机均使用含硫量小于</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0.</w:t>
      </w:r>
      <w:r>
        <w:rPr>
          <w:rFonts w:ascii="Times New Roman" w:hAnsi="Times New Roman" w:eastAsia="Times New Roman" w:cs="Times New Roman"/>
          <w:spacing w:val="-1"/>
          <w:sz w:val="24"/>
          <w:szCs w:val="24"/>
        </w:rPr>
        <w:t>035%</w:t>
      </w:r>
      <w:r>
        <w:rPr>
          <w:rFonts w:ascii="宋体" w:hAnsi="宋体" w:eastAsia="宋体" w:cs="宋体"/>
          <w:spacing w:val="-1"/>
          <w:sz w:val="24"/>
          <w:szCs w:val="24"/>
        </w:rPr>
        <w:t>的柴油作为燃料，耗油率取</w:t>
      </w:r>
      <w:r>
        <w:rPr>
          <w:rFonts w:ascii="宋体" w:hAnsi="宋体" w:eastAsia="宋体" w:cs="宋体"/>
          <w:sz w:val="24"/>
          <w:szCs w:val="24"/>
        </w:rPr>
        <w:t xml:space="preserve"> </w:t>
      </w:r>
      <w:r>
        <w:rPr>
          <w:rFonts w:ascii="Times New Roman" w:hAnsi="Times New Roman" w:eastAsia="Times New Roman" w:cs="Times New Roman"/>
          <w:spacing w:val="-2"/>
          <w:sz w:val="24"/>
          <w:szCs w:val="24"/>
        </w:rPr>
        <w:t>200g/kw</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。备用发电机一般的定期保养规程：</w:t>
      </w:r>
      <w:r>
        <w:rPr>
          <w:rFonts w:ascii="Times New Roman" w:hAnsi="Times New Roman" w:eastAsia="Times New Roman" w:cs="Times New Roman"/>
          <w:spacing w:val="-2"/>
          <w:sz w:val="24"/>
          <w:szCs w:val="24"/>
        </w:rPr>
        <w:t>“</w:t>
      </w:r>
      <w:r>
        <w:rPr>
          <w:rFonts w:ascii="宋体" w:hAnsi="宋体" w:eastAsia="宋体" w:cs="宋体"/>
          <w:spacing w:val="-2"/>
          <w:sz w:val="24"/>
          <w:szCs w:val="24"/>
        </w:rPr>
        <w:t>每</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周需空载运行</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分钟，每半年</w:t>
      </w:r>
      <w:r>
        <w:rPr>
          <w:rFonts w:ascii="宋体" w:hAnsi="宋体" w:eastAsia="宋体" w:cs="宋体"/>
          <w:sz w:val="24"/>
          <w:szCs w:val="24"/>
        </w:rPr>
        <w:t xml:space="preserve"> </w:t>
      </w:r>
      <w:r>
        <w:rPr>
          <w:rFonts w:ascii="宋体" w:hAnsi="宋体" w:eastAsia="宋体" w:cs="宋体"/>
          <w:spacing w:val="-1"/>
          <w:sz w:val="24"/>
          <w:szCs w:val="24"/>
        </w:rPr>
        <w:t>带负载运行半小时</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，根据以上规程，并参照当地市电保证率</w:t>
      </w:r>
      <w:r>
        <w:rPr>
          <w:rFonts w:ascii="宋体" w:hAnsi="宋体" w:eastAsia="宋体" w:cs="宋体"/>
          <w:spacing w:val="-2"/>
          <w:sz w:val="24"/>
          <w:szCs w:val="24"/>
        </w:rPr>
        <w:t>推算，项目备用柴油发</w:t>
      </w:r>
      <w:r>
        <w:rPr>
          <w:rFonts w:ascii="宋体" w:hAnsi="宋体" w:eastAsia="宋体" w:cs="宋体"/>
          <w:sz w:val="24"/>
          <w:szCs w:val="24"/>
        </w:rPr>
        <w:t xml:space="preserve"> </w:t>
      </w:r>
      <w:r>
        <w:rPr>
          <w:rFonts w:ascii="宋体" w:hAnsi="宋体" w:eastAsia="宋体" w:cs="宋体"/>
          <w:spacing w:val="-1"/>
          <w:sz w:val="24"/>
          <w:szCs w:val="24"/>
        </w:rPr>
        <w:t>电机全年运作可按</w:t>
      </w:r>
      <w:r>
        <w:rPr>
          <w:rFonts w:ascii="宋体" w:hAnsi="宋体" w:eastAsia="宋体" w:cs="宋体"/>
          <w:spacing w:val="-17"/>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小时计，则全年共耗油约</w:t>
      </w:r>
      <w:r>
        <w:rPr>
          <w:rFonts w:ascii="Times New Roman" w:hAnsi="Times New Roman" w:eastAsia="Times New Roman" w:cs="Times New Roman"/>
          <w:spacing w:val="-1"/>
          <w:sz w:val="24"/>
          <w:szCs w:val="24"/>
        </w:rPr>
        <w:t>0.8</w:t>
      </w:r>
      <w:r>
        <w:rPr>
          <w:rFonts w:ascii="Times New Roman" w:hAnsi="Times New Roman" w:eastAsia="Times New Roman" w:cs="Times New Roman"/>
          <w:spacing w:val="20"/>
          <w:w w:val="101"/>
          <w:sz w:val="24"/>
          <w:szCs w:val="24"/>
        </w:rPr>
        <w:t xml:space="preserve"> </w:t>
      </w:r>
      <w:r>
        <w:rPr>
          <w:rFonts w:ascii="宋体" w:hAnsi="宋体" w:eastAsia="宋体" w:cs="宋体"/>
          <w:spacing w:val="-1"/>
          <w:sz w:val="24"/>
          <w:szCs w:val="24"/>
        </w:rPr>
        <w:t>吨。</w:t>
      </w:r>
    </w:p>
    <w:p w14:paraId="682EF2A2">
      <w:pPr>
        <w:spacing w:line="374" w:lineRule="auto"/>
        <w:ind w:left="122" w:right="110" w:firstLine="480"/>
        <w:rPr>
          <w:rFonts w:ascii="宋体" w:hAnsi="宋体" w:eastAsia="宋体" w:cs="宋体"/>
          <w:sz w:val="24"/>
          <w:szCs w:val="24"/>
        </w:rPr>
      </w:pPr>
      <w:r>
        <w:rPr>
          <w:rFonts w:ascii="宋体" w:hAnsi="宋体" w:eastAsia="宋体" w:cs="宋体"/>
          <w:spacing w:val="-4"/>
          <w:sz w:val="24"/>
          <w:szCs w:val="24"/>
        </w:rPr>
        <w:t>根据《大气污染工程师手册》，当空气过剩系数为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0"/>
          <w:w w:val="101"/>
          <w:sz w:val="24"/>
          <w:szCs w:val="24"/>
        </w:rPr>
        <w:t xml:space="preserve"> </w:t>
      </w:r>
      <w:r>
        <w:rPr>
          <w:rFonts w:ascii="宋体" w:hAnsi="宋体" w:eastAsia="宋体" w:cs="宋体"/>
          <w:spacing w:val="-4"/>
          <w:sz w:val="24"/>
          <w:szCs w:val="24"/>
        </w:rPr>
        <w:t>时，</w:t>
      </w:r>
      <w:r>
        <w:rPr>
          <w:rFonts w:ascii="Times New Roman" w:hAnsi="Times New Roman" w:eastAsia="Times New Roman" w:cs="Times New Roman"/>
          <w:spacing w:val="-4"/>
          <w:sz w:val="24"/>
          <w:szCs w:val="24"/>
        </w:rPr>
        <w:t xml:space="preserve">1kg </w:t>
      </w:r>
      <w:r>
        <w:rPr>
          <w:rFonts w:ascii="宋体" w:hAnsi="宋体" w:eastAsia="宋体" w:cs="宋体"/>
          <w:spacing w:val="-4"/>
          <w:sz w:val="24"/>
          <w:szCs w:val="24"/>
        </w:rPr>
        <w:t>柴油产生的烟气量</w:t>
      </w:r>
      <w:r>
        <w:rPr>
          <w:rFonts w:ascii="宋体" w:hAnsi="宋体" w:eastAsia="宋体" w:cs="宋体"/>
          <w:sz w:val="24"/>
          <w:szCs w:val="24"/>
        </w:rPr>
        <w:t xml:space="preserve"> </w:t>
      </w:r>
      <w:r>
        <w:rPr>
          <w:rFonts w:ascii="宋体" w:hAnsi="宋体" w:eastAsia="宋体" w:cs="宋体"/>
          <w:spacing w:val="-4"/>
          <w:sz w:val="24"/>
          <w:szCs w:val="24"/>
        </w:rPr>
        <w:t>约为</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11Nm</w:t>
      </w:r>
      <w:r>
        <w:rPr>
          <w:rFonts w:ascii="Times New Roman" w:hAnsi="Times New Roman" w:eastAsia="Times New Roman" w:cs="Times New Roman"/>
          <w:spacing w:val="-4"/>
          <w:position w:val="7"/>
          <w:sz w:val="15"/>
          <w:szCs w:val="15"/>
        </w:rPr>
        <w:t>3</w:t>
      </w:r>
      <w:r>
        <w:rPr>
          <w:rFonts w:ascii="宋体" w:hAnsi="宋体" w:eastAsia="宋体" w:cs="宋体"/>
          <w:spacing w:val="-4"/>
          <w:sz w:val="24"/>
          <w:szCs w:val="24"/>
        </w:rPr>
        <w:t>。一般柴油发电机空气过剩系数为</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1.8</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，则发电机每燃烧</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1kg </w:t>
      </w:r>
      <w:r>
        <w:rPr>
          <w:rFonts w:ascii="宋体" w:hAnsi="宋体" w:eastAsia="宋体" w:cs="宋体"/>
          <w:spacing w:val="-4"/>
          <w:sz w:val="24"/>
          <w:szCs w:val="24"/>
        </w:rPr>
        <w:t>柴油产生的</w:t>
      </w:r>
      <w:r>
        <w:rPr>
          <w:rFonts w:ascii="宋体" w:hAnsi="宋体" w:eastAsia="宋体" w:cs="宋体"/>
          <w:sz w:val="24"/>
          <w:szCs w:val="24"/>
        </w:rPr>
        <w:t xml:space="preserve"> </w:t>
      </w:r>
      <w:r>
        <w:rPr>
          <w:rFonts w:ascii="宋体" w:hAnsi="宋体" w:eastAsia="宋体" w:cs="宋体"/>
          <w:spacing w:val="-2"/>
          <w:sz w:val="24"/>
          <w:szCs w:val="24"/>
        </w:rPr>
        <w:t>烟气量为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11×1.8≈20Nm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3"/>
          <w:position w:val="7"/>
          <w:sz w:val="15"/>
          <w:szCs w:val="15"/>
        </w:rPr>
        <w:t xml:space="preserve"> </w:t>
      </w:r>
      <w:r>
        <w:rPr>
          <w:rFonts w:ascii="宋体" w:hAnsi="宋体" w:eastAsia="宋体" w:cs="宋体"/>
          <w:spacing w:val="-2"/>
          <w:sz w:val="24"/>
          <w:szCs w:val="24"/>
        </w:rPr>
        <w:t>，则项目每年产生的</w:t>
      </w:r>
      <w:r>
        <w:rPr>
          <w:rFonts w:ascii="宋体" w:hAnsi="宋体" w:eastAsia="宋体" w:cs="宋体"/>
          <w:spacing w:val="-3"/>
          <w:sz w:val="24"/>
          <w:szCs w:val="24"/>
        </w:rPr>
        <w:t>烟气量为</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1.6</w:t>
      </w:r>
      <w:r>
        <w:rPr>
          <w:rFonts w:ascii="Times New Roman" w:hAnsi="Times New Roman" w:eastAsia="Times New Roman" w:cs="Times New Roman"/>
          <w:spacing w:val="17"/>
          <w:w w:val="101"/>
          <w:sz w:val="24"/>
          <w:szCs w:val="24"/>
        </w:rPr>
        <w:t xml:space="preserve"> </w:t>
      </w:r>
      <w:r>
        <w:rPr>
          <w:rFonts w:ascii="宋体" w:hAnsi="宋体" w:eastAsia="宋体" w:cs="宋体"/>
          <w:spacing w:val="-3"/>
          <w:sz w:val="24"/>
          <w:szCs w:val="24"/>
        </w:rPr>
        <w:t>万</w:t>
      </w:r>
      <w:r>
        <w:rPr>
          <w:rFonts w:ascii="宋体" w:hAnsi="宋体" w:eastAsia="宋体" w:cs="宋体"/>
          <w:spacing w:val="-63"/>
          <w:sz w:val="24"/>
          <w:szCs w:val="24"/>
        </w:rPr>
        <w:t xml:space="preserve"> </w:t>
      </w:r>
      <w:r>
        <w:rPr>
          <w:rFonts w:ascii="Times New Roman" w:hAnsi="Times New Roman" w:eastAsia="Times New Roman" w:cs="Times New Roman"/>
          <w:spacing w:val="-3"/>
          <w:sz w:val="24"/>
          <w:szCs w:val="24"/>
        </w:rPr>
        <w:t>Nm</w:t>
      </w:r>
      <w:r>
        <w:rPr>
          <w:rFonts w:ascii="Times New Roman" w:hAnsi="Times New Roman" w:eastAsia="Times New Roman" w:cs="Times New Roman"/>
          <w:spacing w:val="-3"/>
          <w:position w:val="7"/>
          <w:sz w:val="15"/>
          <w:szCs w:val="15"/>
        </w:rPr>
        <w:t xml:space="preserve">3 </w:t>
      </w:r>
      <w:r>
        <w:rPr>
          <w:rFonts w:ascii="宋体" w:hAnsi="宋体" w:eastAsia="宋体" w:cs="宋体"/>
          <w:spacing w:val="-3"/>
          <w:sz w:val="24"/>
          <w:szCs w:val="24"/>
        </w:rPr>
        <w:t>。参考燃料燃烧排</w:t>
      </w:r>
      <w:r>
        <w:rPr>
          <w:rFonts w:ascii="宋体" w:hAnsi="宋体" w:eastAsia="宋体" w:cs="宋体"/>
          <w:sz w:val="24"/>
          <w:szCs w:val="24"/>
        </w:rPr>
        <w:t xml:space="preserve"> </w:t>
      </w:r>
      <w:r>
        <w:rPr>
          <w:rFonts w:ascii="宋体" w:hAnsi="宋体" w:eastAsia="宋体" w:cs="宋体"/>
          <w:spacing w:val="-2"/>
          <w:sz w:val="24"/>
          <w:szCs w:val="24"/>
        </w:rPr>
        <w:t>放污染物物料衡算办法计算，其</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SO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0"/>
          <w:position w:val="-1"/>
          <w:sz w:val="15"/>
          <w:szCs w:val="15"/>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NOx </w:t>
      </w:r>
      <w:r>
        <w:rPr>
          <w:rFonts w:ascii="宋体" w:hAnsi="宋体" w:eastAsia="宋体" w:cs="宋体"/>
          <w:spacing w:val="-2"/>
          <w:sz w:val="24"/>
          <w:szCs w:val="24"/>
        </w:rPr>
        <w:t>及烟尘产生量算法如下：</w:t>
      </w:r>
    </w:p>
    <w:p w14:paraId="5C3661A2">
      <w:pPr>
        <w:spacing w:before="11" w:line="372" w:lineRule="exact"/>
        <w:ind w:left="621"/>
        <w:rPr>
          <w:rFonts w:ascii="Times New Roman" w:hAnsi="Times New Roman" w:eastAsia="Times New Roman" w:cs="Times New Roman"/>
          <w:sz w:val="24"/>
          <w:szCs w:val="24"/>
        </w:rPr>
      </w:pPr>
      <w:r>
        <w:rPr>
          <w:rFonts w:ascii="Times New Roman" w:hAnsi="Times New Roman" w:eastAsia="Times New Roman" w:cs="Times New Roman"/>
          <w:spacing w:val="-2"/>
          <w:position w:val="3"/>
          <w:sz w:val="24"/>
          <w:szCs w:val="24"/>
        </w:rPr>
        <w:t>1</w:t>
      </w:r>
      <w:r>
        <w:rPr>
          <w:rFonts w:ascii="宋体" w:hAnsi="宋体" w:eastAsia="宋体" w:cs="宋体"/>
          <w:spacing w:val="-2"/>
          <w:position w:val="3"/>
          <w:sz w:val="24"/>
          <w:szCs w:val="24"/>
        </w:rPr>
        <w:t>）</w:t>
      </w:r>
      <w:r>
        <w:rPr>
          <w:rFonts w:ascii="Times New Roman" w:hAnsi="Times New Roman" w:eastAsia="Times New Roman" w:cs="Times New Roman"/>
          <w:spacing w:val="-2"/>
          <w:position w:val="3"/>
          <w:sz w:val="24"/>
          <w:szCs w:val="24"/>
        </w:rPr>
        <w:t>SO</w:t>
      </w:r>
      <w:r>
        <w:rPr>
          <w:rFonts w:ascii="Times New Roman" w:hAnsi="Times New Roman" w:eastAsia="Times New Roman" w:cs="Times New Roman"/>
          <w:spacing w:val="-2"/>
          <w:position w:val="2"/>
          <w:sz w:val="15"/>
          <w:szCs w:val="15"/>
        </w:rPr>
        <w:t xml:space="preserve">2              </w:t>
      </w:r>
      <w:r>
        <w:rPr>
          <w:rFonts w:ascii="Times New Roman" w:hAnsi="Times New Roman" w:eastAsia="Times New Roman" w:cs="Times New Roman"/>
          <w:spacing w:val="-2"/>
          <w:position w:val="3"/>
          <w:sz w:val="24"/>
          <w:szCs w:val="24"/>
        </w:rPr>
        <w:t xml:space="preserve">C </w:t>
      </w:r>
      <w:r>
        <w:rPr>
          <w:rFonts w:ascii="Times New Roman" w:hAnsi="Times New Roman" w:eastAsia="Times New Roman" w:cs="Times New Roman"/>
          <w:spacing w:val="-2"/>
          <w:position w:val="2"/>
          <w:sz w:val="15"/>
          <w:szCs w:val="15"/>
        </w:rPr>
        <w:t xml:space="preserve">SO2 </w:t>
      </w:r>
      <w:r>
        <w:rPr>
          <w:rFonts w:ascii="Times New Roman" w:hAnsi="Times New Roman" w:eastAsia="Times New Roman" w:cs="Times New Roman"/>
          <w:spacing w:val="-2"/>
          <w:position w:val="3"/>
          <w:sz w:val="24"/>
          <w:szCs w:val="24"/>
        </w:rPr>
        <w:t>=2000×B×S</w:t>
      </w:r>
    </w:p>
    <w:p w14:paraId="5C977193">
      <w:pPr>
        <w:spacing w:before="117" w:line="333" w:lineRule="exact"/>
        <w:ind w:left="1521"/>
        <w:rPr>
          <w:rFonts w:ascii="宋体" w:hAnsi="宋体" w:eastAsia="宋体" w:cs="宋体"/>
          <w:sz w:val="24"/>
          <w:szCs w:val="24"/>
        </w:rPr>
      </w:pPr>
      <w:r>
        <w:rPr>
          <w:rFonts w:ascii="Times New Roman" w:hAnsi="Times New Roman" w:eastAsia="Times New Roman" w:cs="Times New Roman"/>
          <w:position w:val="3"/>
          <w:sz w:val="24"/>
          <w:szCs w:val="24"/>
        </w:rPr>
        <w:t>C</w:t>
      </w:r>
      <w:r>
        <w:rPr>
          <w:rFonts w:ascii="Times New Roman" w:hAnsi="Times New Roman" w:eastAsia="Times New Roman" w:cs="Times New Roman"/>
          <w:position w:val="2"/>
          <w:sz w:val="15"/>
          <w:szCs w:val="15"/>
        </w:rPr>
        <w:t>SO2</w:t>
      </w:r>
      <w:r>
        <w:rPr>
          <w:rFonts w:ascii="Times New Roman" w:hAnsi="Times New Roman" w:eastAsia="Times New Roman" w:cs="Times New Roman"/>
          <w:spacing w:val="20"/>
          <w:w w:val="101"/>
          <w:position w:val="2"/>
          <w:sz w:val="15"/>
          <w:szCs w:val="15"/>
        </w:rPr>
        <w:t xml:space="preserve"> </w:t>
      </w:r>
      <w:r>
        <w:rPr>
          <w:rFonts w:ascii="Times New Roman" w:hAnsi="Times New Roman" w:eastAsia="Times New Roman" w:cs="Times New Roman"/>
          <w:position w:val="3"/>
          <w:sz w:val="24"/>
          <w:szCs w:val="24"/>
        </w:rPr>
        <w:t xml:space="preserve">—  </w:t>
      </w:r>
      <w:r>
        <w:rPr>
          <w:rFonts w:ascii="宋体" w:hAnsi="宋体" w:eastAsia="宋体" w:cs="宋体"/>
          <w:position w:val="3"/>
          <w:sz w:val="24"/>
          <w:szCs w:val="24"/>
        </w:rPr>
        <w:t>二氧化硫排放量，</w:t>
      </w:r>
      <w:r>
        <w:rPr>
          <w:rFonts w:ascii="Times New Roman" w:hAnsi="Times New Roman" w:eastAsia="Times New Roman" w:cs="Times New Roman"/>
          <w:position w:val="3"/>
          <w:sz w:val="24"/>
          <w:szCs w:val="24"/>
        </w:rPr>
        <w:t>kg</w:t>
      </w:r>
      <w:r>
        <w:rPr>
          <w:rFonts w:ascii="宋体" w:hAnsi="宋体" w:eastAsia="宋体" w:cs="宋体"/>
          <w:position w:val="3"/>
          <w:sz w:val="24"/>
          <w:szCs w:val="24"/>
        </w:rPr>
        <w:t>；</w:t>
      </w:r>
    </w:p>
    <w:p w14:paraId="709FBF80">
      <w:pPr>
        <w:spacing w:before="192" w:line="220" w:lineRule="auto"/>
        <w:ind w:left="1516"/>
        <w:rPr>
          <w:rFonts w:ascii="宋体" w:hAnsi="宋体" w:eastAsia="宋体" w:cs="宋体"/>
          <w:sz w:val="24"/>
          <w:szCs w:val="24"/>
        </w:rPr>
      </w:pPr>
      <w:r>
        <w:rPr>
          <w:rFonts w:ascii="Times New Roman" w:hAnsi="Times New Roman" w:eastAsia="Times New Roman" w:cs="Times New Roman"/>
          <w:spacing w:val="-1"/>
          <w:sz w:val="24"/>
          <w:szCs w:val="24"/>
        </w:rPr>
        <w:t xml:space="preserve">B —  </w:t>
      </w:r>
      <w:r>
        <w:rPr>
          <w:rFonts w:ascii="宋体" w:hAnsi="宋体" w:eastAsia="宋体" w:cs="宋体"/>
          <w:spacing w:val="-1"/>
          <w:sz w:val="24"/>
          <w:szCs w:val="24"/>
        </w:rPr>
        <w:t>消耗的燃料量，</w:t>
      </w:r>
      <w:r>
        <w:rPr>
          <w:rFonts w:ascii="Times New Roman" w:hAnsi="Times New Roman" w:eastAsia="Times New Roman" w:cs="Times New Roman"/>
          <w:spacing w:val="-1"/>
          <w:sz w:val="24"/>
          <w:szCs w:val="24"/>
        </w:rPr>
        <w:t>t</w:t>
      </w:r>
      <w:r>
        <w:rPr>
          <w:rFonts w:ascii="宋体" w:hAnsi="宋体" w:eastAsia="宋体" w:cs="宋体"/>
          <w:spacing w:val="-1"/>
          <w:sz w:val="24"/>
          <w:szCs w:val="24"/>
        </w:rPr>
        <w:t>；</w:t>
      </w:r>
    </w:p>
    <w:p w14:paraId="57B8E190">
      <w:pPr>
        <w:spacing w:before="168" w:line="359" w:lineRule="exact"/>
        <w:ind w:left="1527"/>
        <w:rPr>
          <w:rFonts w:ascii="宋体" w:hAnsi="宋体" w:eastAsia="宋体" w:cs="宋体"/>
          <w:sz w:val="24"/>
          <w:szCs w:val="24"/>
        </w:rPr>
      </w:pPr>
      <w:r>
        <w:rPr>
          <w:rFonts w:ascii="Times New Roman" w:hAnsi="Times New Roman" w:eastAsia="Times New Roman" w:cs="Times New Roman"/>
          <w:spacing w:val="-1"/>
          <w:position w:val="2"/>
          <w:sz w:val="24"/>
          <w:szCs w:val="24"/>
        </w:rPr>
        <w:t>S —</w:t>
      </w:r>
      <w:r>
        <w:rPr>
          <w:rFonts w:ascii="宋体" w:hAnsi="宋体" w:eastAsia="宋体" w:cs="宋体"/>
          <w:spacing w:val="-1"/>
          <w:position w:val="2"/>
          <w:sz w:val="24"/>
          <w:szCs w:val="24"/>
        </w:rPr>
        <w:t>燃料中的全硫分含量，</w:t>
      </w:r>
      <w:r>
        <w:rPr>
          <w:rFonts w:ascii="Times New Roman" w:hAnsi="Times New Roman" w:eastAsia="Times New Roman" w:cs="Times New Roman"/>
          <w:spacing w:val="-1"/>
          <w:position w:val="2"/>
          <w:sz w:val="24"/>
          <w:szCs w:val="24"/>
        </w:rPr>
        <w:t>%</w:t>
      </w:r>
      <w:r>
        <w:rPr>
          <w:rFonts w:ascii="宋体" w:hAnsi="宋体" w:eastAsia="宋体" w:cs="宋体"/>
          <w:spacing w:val="-1"/>
          <w:position w:val="2"/>
          <w:sz w:val="24"/>
          <w:szCs w:val="24"/>
        </w:rPr>
        <w:t>；本项目取</w:t>
      </w:r>
      <w:r>
        <w:rPr>
          <w:rFonts w:ascii="宋体" w:hAnsi="宋体" w:eastAsia="宋体" w:cs="宋体"/>
          <w:spacing w:val="-52"/>
          <w:position w:val="2"/>
          <w:sz w:val="24"/>
          <w:szCs w:val="24"/>
        </w:rPr>
        <w:t xml:space="preserve"> </w:t>
      </w:r>
      <w:r>
        <w:rPr>
          <w:rFonts w:ascii="Times New Roman" w:hAnsi="Times New Roman" w:eastAsia="Times New Roman" w:cs="Times New Roman"/>
          <w:spacing w:val="-1"/>
          <w:position w:val="2"/>
          <w:sz w:val="24"/>
          <w:szCs w:val="24"/>
        </w:rPr>
        <w:t>0.035%</w:t>
      </w:r>
      <w:r>
        <w:rPr>
          <w:rFonts w:ascii="宋体" w:hAnsi="宋体" w:eastAsia="宋体" w:cs="宋体"/>
          <w:spacing w:val="-1"/>
          <w:position w:val="2"/>
          <w:sz w:val="24"/>
          <w:szCs w:val="24"/>
        </w:rPr>
        <w:t>。</w:t>
      </w:r>
    </w:p>
    <w:p w14:paraId="73C45D54">
      <w:pPr>
        <w:spacing w:before="128" w:line="333" w:lineRule="exact"/>
        <w:ind w:left="598"/>
        <w:rPr>
          <w:rFonts w:ascii="宋体" w:hAnsi="宋体" w:eastAsia="宋体" w:cs="宋体"/>
          <w:sz w:val="24"/>
          <w:szCs w:val="24"/>
        </w:rPr>
      </w:pPr>
      <w:r>
        <w:rPr>
          <w:rFonts w:ascii="Times New Roman" w:hAnsi="Times New Roman" w:eastAsia="Times New Roman" w:cs="Times New Roman"/>
          <w:spacing w:val="-1"/>
          <w:position w:val="3"/>
          <w:sz w:val="24"/>
          <w:szCs w:val="24"/>
        </w:rPr>
        <w:t>2</w:t>
      </w:r>
      <w:r>
        <w:rPr>
          <w:rFonts w:ascii="宋体" w:hAnsi="宋体" w:eastAsia="宋体" w:cs="宋体"/>
          <w:spacing w:val="-1"/>
          <w:position w:val="3"/>
          <w:sz w:val="24"/>
          <w:szCs w:val="24"/>
        </w:rPr>
        <w:t>）</w:t>
      </w:r>
      <w:r>
        <w:rPr>
          <w:rFonts w:ascii="Times New Roman" w:hAnsi="Times New Roman" w:eastAsia="Times New Roman" w:cs="Times New Roman"/>
          <w:spacing w:val="-1"/>
          <w:position w:val="3"/>
          <w:sz w:val="24"/>
          <w:szCs w:val="24"/>
        </w:rPr>
        <w:t>NO</w:t>
      </w:r>
      <w:r>
        <w:rPr>
          <w:rFonts w:ascii="Times New Roman" w:hAnsi="Times New Roman" w:eastAsia="Times New Roman" w:cs="Times New Roman"/>
          <w:spacing w:val="-1"/>
          <w:position w:val="2"/>
          <w:sz w:val="15"/>
          <w:szCs w:val="15"/>
        </w:rPr>
        <w:t>X</w:t>
      </w:r>
      <w:r>
        <w:rPr>
          <w:rFonts w:ascii="Times New Roman" w:hAnsi="Times New Roman" w:eastAsia="Times New Roman" w:cs="Times New Roman"/>
          <w:spacing w:val="-1"/>
          <w:position w:val="3"/>
          <w:sz w:val="24"/>
          <w:szCs w:val="24"/>
        </w:rPr>
        <w:t>G</w:t>
      </w:r>
      <w:r>
        <w:rPr>
          <w:rFonts w:ascii="Times New Roman" w:hAnsi="Times New Roman" w:eastAsia="Times New Roman" w:cs="Times New Roman"/>
          <w:spacing w:val="-1"/>
          <w:position w:val="2"/>
          <w:sz w:val="15"/>
          <w:szCs w:val="15"/>
        </w:rPr>
        <w:t>NOx</w:t>
      </w:r>
      <w:r>
        <w:rPr>
          <w:rFonts w:ascii="Times New Roman" w:hAnsi="Times New Roman" w:eastAsia="Times New Roman" w:cs="Times New Roman"/>
          <w:spacing w:val="-1"/>
          <w:position w:val="3"/>
          <w:sz w:val="24"/>
          <w:szCs w:val="24"/>
        </w:rPr>
        <w:t>=</w:t>
      </w:r>
      <w:r>
        <w:rPr>
          <w:rFonts w:ascii="Times New Roman" w:hAnsi="Times New Roman" w:eastAsia="Times New Roman" w:cs="Times New Roman"/>
          <w:spacing w:val="36"/>
          <w:w w:val="101"/>
          <w:position w:val="3"/>
          <w:sz w:val="24"/>
          <w:szCs w:val="24"/>
        </w:rPr>
        <w:t xml:space="preserve"> </w:t>
      </w:r>
      <w:r>
        <w:rPr>
          <w:rFonts w:ascii="Times New Roman" w:hAnsi="Times New Roman" w:eastAsia="Times New Roman" w:cs="Times New Roman"/>
          <w:spacing w:val="-1"/>
          <w:position w:val="3"/>
          <w:sz w:val="24"/>
          <w:szCs w:val="24"/>
        </w:rPr>
        <w:t>1630×B×</w:t>
      </w:r>
      <w:r>
        <w:rPr>
          <w:rFonts w:ascii="宋体" w:hAnsi="宋体" w:eastAsia="宋体" w:cs="宋体"/>
          <w:spacing w:val="-1"/>
          <w:position w:val="3"/>
          <w:sz w:val="24"/>
          <w:szCs w:val="24"/>
        </w:rPr>
        <w:t>（</w:t>
      </w:r>
      <w:r>
        <w:rPr>
          <w:rFonts w:ascii="Times New Roman" w:hAnsi="Times New Roman" w:eastAsia="Times New Roman" w:cs="Times New Roman"/>
          <w:spacing w:val="-1"/>
          <w:position w:val="3"/>
          <w:sz w:val="24"/>
          <w:szCs w:val="24"/>
        </w:rPr>
        <w:t>N×β+0.000938</w:t>
      </w:r>
      <w:r>
        <w:rPr>
          <w:rFonts w:ascii="宋体" w:hAnsi="宋体" w:eastAsia="宋体" w:cs="宋体"/>
          <w:spacing w:val="-1"/>
          <w:position w:val="3"/>
          <w:sz w:val="24"/>
          <w:szCs w:val="24"/>
        </w:rPr>
        <w:t>）</w:t>
      </w:r>
    </w:p>
    <w:p w14:paraId="049EF6CE">
      <w:pPr>
        <w:spacing w:before="157" w:line="332" w:lineRule="exact"/>
        <w:ind w:left="1521"/>
        <w:rPr>
          <w:rFonts w:ascii="宋体" w:hAnsi="宋体" w:eastAsia="宋体" w:cs="宋体"/>
          <w:sz w:val="24"/>
          <w:szCs w:val="24"/>
        </w:rPr>
      </w:pPr>
      <w:r>
        <w:rPr>
          <w:rFonts w:ascii="Times New Roman" w:hAnsi="Times New Roman" w:eastAsia="Times New Roman" w:cs="Times New Roman"/>
          <w:position w:val="3"/>
          <w:sz w:val="24"/>
          <w:szCs w:val="24"/>
        </w:rPr>
        <w:t>G</w:t>
      </w:r>
      <w:r>
        <w:rPr>
          <w:rFonts w:ascii="Times New Roman" w:hAnsi="Times New Roman" w:eastAsia="Times New Roman" w:cs="Times New Roman"/>
          <w:position w:val="2"/>
          <w:sz w:val="15"/>
          <w:szCs w:val="15"/>
        </w:rPr>
        <w:t>NOx</w:t>
      </w:r>
      <w:r>
        <w:rPr>
          <w:rFonts w:ascii="Times New Roman" w:hAnsi="Times New Roman" w:eastAsia="Times New Roman" w:cs="Times New Roman"/>
          <w:spacing w:val="20"/>
          <w:w w:val="102"/>
          <w:position w:val="2"/>
          <w:sz w:val="15"/>
          <w:szCs w:val="15"/>
        </w:rPr>
        <w:t xml:space="preserve"> </w:t>
      </w:r>
      <w:r>
        <w:rPr>
          <w:rFonts w:ascii="Times New Roman" w:hAnsi="Times New Roman" w:eastAsia="Times New Roman" w:cs="Times New Roman"/>
          <w:position w:val="3"/>
          <w:sz w:val="24"/>
          <w:szCs w:val="24"/>
        </w:rPr>
        <w:t xml:space="preserve">—  </w:t>
      </w:r>
      <w:r>
        <w:rPr>
          <w:rFonts w:ascii="宋体" w:hAnsi="宋体" w:eastAsia="宋体" w:cs="宋体"/>
          <w:position w:val="3"/>
          <w:sz w:val="24"/>
          <w:szCs w:val="24"/>
        </w:rPr>
        <w:t>氮氧化物排放量，</w:t>
      </w:r>
      <w:r>
        <w:rPr>
          <w:rFonts w:ascii="Times New Roman" w:hAnsi="Times New Roman" w:eastAsia="Times New Roman" w:cs="Times New Roman"/>
          <w:position w:val="3"/>
          <w:sz w:val="24"/>
          <w:szCs w:val="24"/>
        </w:rPr>
        <w:t>kg</w:t>
      </w:r>
      <w:r>
        <w:rPr>
          <w:rFonts w:ascii="宋体" w:hAnsi="宋体" w:eastAsia="宋体" w:cs="宋体"/>
          <w:position w:val="3"/>
          <w:sz w:val="24"/>
          <w:szCs w:val="24"/>
        </w:rPr>
        <w:t>；</w:t>
      </w:r>
    </w:p>
    <w:p w14:paraId="5D7CF67B">
      <w:pPr>
        <w:spacing w:before="193" w:line="220" w:lineRule="auto"/>
        <w:ind w:left="1516"/>
        <w:rPr>
          <w:rFonts w:ascii="宋体" w:hAnsi="宋体" w:eastAsia="宋体" w:cs="宋体"/>
          <w:sz w:val="24"/>
          <w:szCs w:val="24"/>
        </w:rPr>
      </w:pPr>
      <w:r>
        <w:rPr>
          <w:rFonts w:ascii="Times New Roman" w:hAnsi="Times New Roman" w:eastAsia="Times New Roman" w:cs="Times New Roman"/>
          <w:spacing w:val="-1"/>
          <w:sz w:val="24"/>
          <w:szCs w:val="24"/>
        </w:rPr>
        <w:t xml:space="preserve">B —  </w:t>
      </w:r>
      <w:r>
        <w:rPr>
          <w:rFonts w:ascii="宋体" w:hAnsi="宋体" w:eastAsia="宋体" w:cs="宋体"/>
          <w:spacing w:val="-1"/>
          <w:sz w:val="24"/>
          <w:szCs w:val="24"/>
        </w:rPr>
        <w:t>消耗的燃料量，</w:t>
      </w:r>
      <w:r>
        <w:rPr>
          <w:rFonts w:ascii="Times New Roman" w:hAnsi="Times New Roman" w:eastAsia="Times New Roman" w:cs="Times New Roman"/>
          <w:spacing w:val="-1"/>
          <w:sz w:val="24"/>
          <w:szCs w:val="24"/>
        </w:rPr>
        <w:t>t</w:t>
      </w:r>
      <w:r>
        <w:rPr>
          <w:rFonts w:ascii="宋体" w:hAnsi="宋体" w:eastAsia="宋体" w:cs="宋体"/>
          <w:spacing w:val="-1"/>
          <w:sz w:val="24"/>
          <w:szCs w:val="24"/>
        </w:rPr>
        <w:t>；</w:t>
      </w:r>
    </w:p>
    <w:p w14:paraId="4717489E">
      <w:pPr>
        <w:spacing w:before="168" w:line="359" w:lineRule="exact"/>
        <w:ind w:left="1509"/>
        <w:rPr>
          <w:rFonts w:ascii="宋体" w:hAnsi="宋体" w:eastAsia="宋体" w:cs="宋体"/>
          <w:sz w:val="24"/>
          <w:szCs w:val="24"/>
        </w:rPr>
      </w:pPr>
      <w:r>
        <w:rPr>
          <w:rFonts w:ascii="Times New Roman" w:hAnsi="Times New Roman" w:eastAsia="Times New Roman" w:cs="Times New Roman"/>
          <w:spacing w:val="2"/>
          <w:position w:val="2"/>
          <w:sz w:val="24"/>
          <w:szCs w:val="24"/>
        </w:rPr>
        <w:t xml:space="preserve">N —  </w:t>
      </w:r>
      <w:r>
        <w:rPr>
          <w:rFonts w:ascii="宋体" w:hAnsi="宋体" w:eastAsia="宋体" w:cs="宋体"/>
          <w:spacing w:val="2"/>
          <w:position w:val="2"/>
          <w:sz w:val="24"/>
          <w:szCs w:val="24"/>
        </w:rPr>
        <w:t>燃料中的含氮量，</w:t>
      </w:r>
      <w:r>
        <w:rPr>
          <w:rFonts w:ascii="Times New Roman" w:hAnsi="Times New Roman" w:eastAsia="Times New Roman" w:cs="Times New Roman"/>
          <w:spacing w:val="2"/>
          <w:position w:val="2"/>
          <w:sz w:val="24"/>
          <w:szCs w:val="24"/>
        </w:rPr>
        <w:t>%</w:t>
      </w:r>
      <w:r>
        <w:rPr>
          <w:rFonts w:ascii="宋体" w:hAnsi="宋体" w:eastAsia="宋体" w:cs="宋体"/>
          <w:spacing w:val="2"/>
          <w:position w:val="2"/>
          <w:sz w:val="24"/>
          <w:szCs w:val="24"/>
        </w:rPr>
        <w:t>；本项目取值</w:t>
      </w:r>
      <w:r>
        <w:rPr>
          <w:rFonts w:ascii="Times New Roman" w:hAnsi="Times New Roman" w:eastAsia="Times New Roman" w:cs="Times New Roman"/>
          <w:spacing w:val="2"/>
          <w:position w:val="2"/>
          <w:sz w:val="24"/>
          <w:szCs w:val="24"/>
        </w:rPr>
        <w:t>0.02%</w:t>
      </w:r>
      <w:r>
        <w:rPr>
          <w:rFonts w:ascii="宋体" w:hAnsi="宋体" w:eastAsia="宋体" w:cs="宋体"/>
          <w:spacing w:val="2"/>
          <w:position w:val="2"/>
          <w:sz w:val="24"/>
          <w:szCs w:val="24"/>
        </w:rPr>
        <w:t>；</w:t>
      </w:r>
    </w:p>
    <w:p w14:paraId="06BCDE73">
      <w:pPr>
        <w:spacing w:before="128" w:line="333" w:lineRule="exact"/>
        <w:ind w:left="1525"/>
        <w:rPr>
          <w:rFonts w:ascii="宋体" w:hAnsi="宋体" w:eastAsia="宋体" w:cs="宋体"/>
          <w:sz w:val="24"/>
          <w:szCs w:val="24"/>
        </w:rPr>
      </w:pPr>
      <w:r>
        <w:rPr>
          <w:rFonts w:ascii="Times New Roman" w:hAnsi="Times New Roman" w:eastAsia="Times New Roman" w:cs="Times New Roman"/>
          <w:spacing w:val="2"/>
          <w:position w:val="3"/>
          <w:sz w:val="24"/>
          <w:szCs w:val="24"/>
        </w:rPr>
        <w:t xml:space="preserve">β—  </w:t>
      </w:r>
      <w:r>
        <w:rPr>
          <w:rFonts w:ascii="宋体" w:hAnsi="宋体" w:eastAsia="宋体" w:cs="宋体"/>
          <w:spacing w:val="2"/>
          <w:position w:val="3"/>
          <w:sz w:val="24"/>
          <w:szCs w:val="24"/>
        </w:rPr>
        <w:t>燃料中氮的转化率，</w:t>
      </w:r>
      <w:r>
        <w:rPr>
          <w:rFonts w:ascii="Times New Roman" w:hAnsi="Times New Roman" w:eastAsia="Times New Roman" w:cs="Times New Roman"/>
          <w:spacing w:val="2"/>
          <w:position w:val="3"/>
          <w:sz w:val="24"/>
          <w:szCs w:val="24"/>
        </w:rPr>
        <w:t>%</w:t>
      </w:r>
      <w:r>
        <w:rPr>
          <w:rFonts w:ascii="宋体" w:hAnsi="宋体" w:eastAsia="宋体" w:cs="宋体"/>
          <w:spacing w:val="2"/>
          <w:position w:val="3"/>
          <w:sz w:val="24"/>
          <w:szCs w:val="24"/>
        </w:rPr>
        <w:t>；本项目选</w:t>
      </w:r>
      <w:r>
        <w:rPr>
          <w:rFonts w:ascii="Times New Roman" w:hAnsi="Times New Roman" w:eastAsia="Times New Roman" w:cs="Times New Roman"/>
          <w:spacing w:val="2"/>
          <w:position w:val="3"/>
          <w:sz w:val="24"/>
          <w:szCs w:val="24"/>
        </w:rPr>
        <w:t>40%</w:t>
      </w:r>
      <w:r>
        <w:rPr>
          <w:rFonts w:ascii="宋体" w:hAnsi="宋体" w:eastAsia="宋体" w:cs="宋体"/>
          <w:spacing w:val="2"/>
          <w:position w:val="3"/>
          <w:sz w:val="24"/>
          <w:szCs w:val="24"/>
        </w:rPr>
        <w:t>。</w:t>
      </w:r>
    </w:p>
    <w:p w14:paraId="13B16B07">
      <w:pPr>
        <w:spacing w:before="157" w:line="362" w:lineRule="exact"/>
        <w:ind w:left="545"/>
        <w:rPr>
          <w:rFonts w:ascii="Times New Roman" w:hAnsi="Times New Roman" w:eastAsia="Times New Roman" w:cs="Times New Roman"/>
          <w:sz w:val="24"/>
          <w:szCs w:val="24"/>
        </w:rPr>
      </w:pP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）烟尘</w:t>
      </w:r>
      <w:r>
        <w:rPr>
          <w:rFonts w:ascii="宋体" w:hAnsi="宋体" w:eastAsia="宋体" w:cs="宋体"/>
          <w:spacing w:val="-48"/>
          <w:position w:val="2"/>
          <w:sz w:val="24"/>
          <w:szCs w:val="24"/>
        </w:rPr>
        <w:t xml:space="preserve"> </w:t>
      </w:r>
      <w:r>
        <w:rPr>
          <w:rFonts w:ascii="Times New Roman" w:hAnsi="Times New Roman" w:eastAsia="Times New Roman" w:cs="Times New Roman"/>
          <w:spacing w:val="-2"/>
          <w:position w:val="2"/>
          <w:sz w:val="24"/>
          <w:szCs w:val="24"/>
        </w:rPr>
        <w:t>Gsd=B×A</w:t>
      </w:r>
    </w:p>
    <w:p w14:paraId="21805BEA">
      <w:pPr>
        <w:spacing w:before="127" w:line="333" w:lineRule="exact"/>
        <w:ind w:left="1521"/>
        <w:rPr>
          <w:rFonts w:ascii="宋体" w:hAnsi="宋体" w:eastAsia="宋体" w:cs="宋体"/>
          <w:sz w:val="24"/>
          <w:szCs w:val="24"/>
        </w:rPr>
      </w:pPr>
      <w:r>
        <w:rPr>
          <w:rFonts w:ascii="Times New Roman" w:hAnsi="Times New Roman" w:eastAsia="Times New Roman" w:cs="Times New Roman"/>
          <w:spacing w:val="-1"/>
          <w:position w:val="3"/>
          <w:sz w:val="24"/>
          <w:szCs w:val="24"/>
        </w:rPr>
        <w:t>Gsd—</w:t>
      </w:r>
      <w:r>
        <w:rPr>
          <w:rFonts w:ascii="宋体" w:hAnsi="宋体" w:eastAsia="宋体" w:cs="宋体"/>
          <w:spacing w:val="-1"/>
          <w:position w:val="3"/>
          <w:sz w:val="24"/>
          <w:szCs w:val="24"/>
        </w:rPr>
        <w:t>烟尘排放量，</w:t>
      </w:r>
      <w:r>
        <w:rPr>
          <w:rFonts w:ascii="Times New Roman" w:hAnsi="Times New Roman" w:eastAsia="Times New Roman" w:cs="Times New Roman"/>
          <w:spacing w:val="-1"/>
          <w:position w:val="3"/>
          <w:sz w:val="24"/>
          <w:szCs w:val="24"/>
        </w:rPr>
        <w:t>kg</w:t>
      </w:r>
      <w:r>
        <w:rPr>
          <w:rFonts w:ascii="宋体" w:hAnsi="宋体" w:eastAsia="宋体" w:cs="宋体"/>
          <w:spacing w:val="-1"/>
          <w:position w:val="3"/>
          <w:sz w:val="24"/>
          <w:szCs w:val="24"/>
        </w:rPr>
        <w:t>；</w:t>
      </w:r>
    </w:p>
    <w:p w14:paraId="23F31E4D">
      <w:pPr>
        <w:spacing w:before="157" w:line="333" w:lineRule="exact"/>
        <w:ind w:left="1516"/>
        <w:rPr>
          <w:rFonts w:ascii="宋体" w:hAnsi="宋体" w:eastAsia="宋体" w:cs="宋体"/>
          <w:sz w:val="24"/>
          <w:szCs w:val="24"/>
        </w:rPr>
      </w:pPr>
      <w:r>
        <w:rPr>
          <w:rFonts w:ascii="Times New Roman" w:hAnsi="Times New Roman" w:eastAsia="Times New Roman" w:cs="Times New Roman"/>
          <w:spacing w:val="-1"/>
          <w:position w:val="3"/>
          <w:sz w:val="24"/>
          <w:szCs w:val="24"/>
        </w:rPr>
        <w:t>B—</w:t>
      </w:r>
      <w:r>
        <w:rPr>
          <w:rFonts w:ascii="宋体" w:hAnsi="宋体" w:eastAsia="宋体" w:cs="宋体"/>
          <w:spacing w:val="-1"/>
          <w:position w:val="3"/>
          <w:sz w:val="24"/>
          <w:szCs w:val="24"/>
        </w:rPr>
        <w:t>消耗的燃料量，</w:t>
      </w:r>
      <w:r>
        <w:rPr>
          <w:rFonts w:ascii="Times New Roman" w:hAnsi="Times New Roman" w:eastAsia="Times New Roman" w:cs="Times New Roman"/>
          <w:spacing w:val="-1"/>
          <w:position w:val="3"/>
          <w:sz w:val="24"/>
          <w:szCs w:val="24"/>
        </w:rPr>
        <w:t>kg</w:t>
      </w:r>
      <w:r>
        <w:rPr>
          <w:rFonts w:ascii="宋体" w:hAnsi="宋体" w:eastAsia="宋体" w:cs="宋体"/>
          <w:spacing w:val="-1"/>
          <w:position w:val="3"/>
          <w:sz w:val="24"/>
          <w:szCs w:val="24"/>
        </w:rPr>
        <w:t>；</w:t>
      </w:r>
    </w:p>
    <w:p w14:paraId="5E015B88">
      <w:pPr>
        <w:spacing w:before="154" w:line="359" w:lineRule="exact"/>
        <w:ind w:left="1514"/>
        <w:rPr>
          <w:rFonts w:ascii="宋体" w:hAnsi="宋体" w:eastAsia="宋体" w:cs="宋体"/>
          <w:sz w:val="24"/>
          <w:szCs w:val="24"/>
        </w:rPr>
      </w:pPr>
      <w:r>
        <w:rPr>
          <w:rFonts w:ascii="Times New Roman" w:hAnsi="Times New Roman" w:eastAsia="Times New Roman" w:cs="Times New Roman"/>
          <w:spacing w:val="-1"/>
          <w:position w:val="2"/>
          <w:sz w:val="24"/>
          <w:szCs w:val="24"/>
        </w:rPr>
        <w:t>A—</w:t>
      </w:r>
      <w:r>
        <w:rPr>
          <w:rFonts w:ascii="宋体" w:hAnsi="宋体" w:eastAsia="宋体" w:cs="宋体"/>
          <w:spacing w:val="-1"/>
          <w:position w:val="2"/>
          <w:sz w:val="24"/>
          <w:szCs w:val="24"/>
        </w:rPr>
        <w:t>灰分含量，</w:t>
      </w:r>
      <w:r>
        <w:rPr>
          <w:rFonts w:ascii="Times New Roman" w:hAnsi="Times New Roman" w:eastAsia="Times New Roman" w:cs="Times New Roman"/>
          <w:spacing w:val="-1"/>
          <w:position w:val="2"/>
          <w:sz w:val="24"/>
          <w:szCs w:val="24"/>
        </w:rPr>
        <w:t>%</w:t>
      </w:r>
      <w:r>
        <w:rPr>
          <w:rFonts w:ascii="宋体" w:hAnsi="宋体" w:eastAsia="宋体" w:cs="宋体"/>
          <w:spacing w:val="-1"/>
          <w:position w:val="2"/>
          <w:sz w:val="24"/>
          <w:szCs w:val="24"/>
        </w:rPr>
        <w:t>；本项目取</w:t>
      </w:r>
      <w:r>
        <w:rPr>
          <w:rFonts w:ascii="宋体" w:hAnsi="宋体" w:eastAsia="宋体" w:cs="宋体"/>
          <w:spacing w:val="-46"/>
          <w:position w:val="2"/>
          <w:sz w:val="24"/>
          <w:szCs w:val="24"/>
        </w:rPr>
        <w:t xml:space="preserve"> </w:t>
      </w:r>
      <w:r>
        <w:rPr>
          <w:rFonts w:ascii="Times New Roman" w:hAnsi="Times New Roman" w:eastAsia="Times New Roman" w:cs="Times New Roman"/>
          <w:spacing w:val="-1"/>
          <w:position w:val="2"/>
          <w:sz w:val="24"/>
          <w:szCs w:val="24"/>
        </w:rPr>
        <w:t>0.01%</w:t>
      </w:r>
      <w:r>
        <w:rPr>
          <w:rFonts w:ascii="宋体" w:hAnsi="宋体" w:eastAsia="宋体" w:cs="宋体"/>
          <w:spacing w:val="-1"/>
          <w:position w:val="2"/>
          <w:sz w:val="24"/>
          <w:szCs w:val="24"/>
        </w:rPr>
        <w:t>。</w:t>
      </w:r>
    </w:p>
    <w:p w14:paraId="000F7285">
      <w:pPr>
        <w:spacing w:before="169" w:line="242" w:lineRule="auto"/>
        <w:ind w:left="604"/>
        <w:rPr>
          <w:rFonts w:ascii="宋体" w:hAnsi="宋体" w:eastAsia="宋体" w:cs="宋体"/>
          <w:sz w:val="24"/>
          <w:szCs w:val="24"/>
        </w:rPr>
      </w:pPr>
      <w:r>
        <w:rPr>
          <w:rFonts w:ascii="宋体" w:hAnsi="宋体" w:eastAsia="宋体" w:cs="宋体"/>
          <w:spacing w:val="-2"/>
          <w:sz w:val="24"/>
          <w:szCs w:val="24"/>
        </w:rPr>
        <w:t>经计算，发电机燃油废气中的</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SO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2"/>
          <w:w w:val="101"/>
          <w:position w:val="-1"/>
          <w:sz w:val="15"/>
          <w:szCs w:val="15"/>
        </w:rPr>
        <w:t xml:space="preserve"> </w:t>
      </w:r>
      <w:r>
        <w:rPr>
          <w:rFonts w:ascii="宋体" w:hAnsi="宋体" w:eastAsia="宋体" w:cs="宋体"/>
          <w:spacing w:val="-2"/>
          <w:sz w:val="24"/>
          <w:szCs w:val="24"/>
        </w:rPr>
        <w:t>和</w:t>
      </w:r>
      <w:r>
        <w:rPr>
          <w:rFonts w:ascii="宋体" w:hAnsi="宋体" w:eastAsia="宋体" w:cs="宋体"/>
          <w:spacing w:val="-63"/>
          <w:sz w:val="24"/>
          <w:szCs w:val="24"/>
        </w:rPr>
        <w:t xml:space="preserve"> </w:t>
      </w:r>
      <w:r>
        <w:rPr>
          <w:rFonts w:ascii="Times New Roman" w:hAnsi="Times New Roman" w:eastAsia="Times New Roman" w:cs="Times New Roman"/>
          <w:spacing w:val="-2"/>
          <w:sz w:val="24"/>
          <w:szCs w:val="24"/>
        </w:rPr>
        <w:t>NO</w:t>
      </w:r>
      <w:r>
        <w:rPr>
          <w:rFonts w:ascii="Times New Roman" w:hAnsi="Times New Roman" w:eastAsia="Times New Roman" w:cs="Times New Roman"/>
          <w:spacing w:val="-2"/>
          <w:position w:val="-1"/>
          <w:sz w:val="15"/>
          <w:szCs w:val="15"/>
        </w:rPr>
        <w:t>X</w:t>
      </w:r>
      <w:r>
        <w:rPr>
          <w:rFonts w:ascii="Times New Roman" w:hAnsi="Times New Roman" w:eastAsia="Times New Roman" w:cs="Times New Roman"/>
          <w:spacing w:val="10"/>
          <w:w w:val="102"/>
          <w:position w:val="-1"/>
          <w:sz w:val="15"/>
          <w:szCs w:val="15"/>
        </w:rPr>
        <w:t xml:space="preserve"> </w:t>
      </w:r>
      <w:r>
        <w:rPr>
          <w:rFonts w:ascii="宋体" w:hAnsi="宋体" w:eastAsia="宋体" w:cs="宋体"/>
          <w:spacing w:val="-2"/>
          <w:sz w:val="24"/>
          <w:szCs w:val="24"/>
        </w:rPr>
        <w:t>产生情况如下表：</w:t>
      </w:r>
    </w:p>
    <w:p w14:paraId="654BF3B7">
      <w:pPr>
        <w:spacing w:before="186" w:line="228" w:lineRule="auto"/>
        <w:ind w:left="242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6"/>
          <w:sz w:val="20"/>
          <w:szCs w:val="20"/>
        </w:rPr>
        <w:t xml:space="preserve"> </w:t>
      </w:r>
      <w:r>
        <w:rPr>
          <w:rFonts w:ascii="Times New Roman" w:hAnsi="Times New Roman" w:eastAsia="Times New Roman" w:cs="Times New Roman"/>
          <w:b/>
          <w:bCs/>
          <w:spacing w:val="6"/>
          <w:sz w:val="20"/>
          <w:szCs w:val="20"/>
        </w:rPr>
        <w:t xml:space="preserve">3.5-7 </w:t>
      </w:r>
      <w:r>
        <w:rPr>
          <w:rFonts w:ascii="宋体" w:hAnsi="宋体" w:eastAsia="宋体" w:cs="宋体"/>
          <w:b/>
          <w:bCs/>
          <w:spacing w:val="6"/>
          <w:sz w:val="20"/>
          <w:szCs w:val="20"/>
        </w:rPr>
        <w:t>建设项目发电机燃烧尾气污染物计算</w:t>
      </w:r>
    </w:p>
    <w:p w14:paraId="28615C76">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13"/>
        <w:gridCol w:w="1364"/>
        <w:gridCol w:w="1502"/>
        <w:gridCol w:w="1500"/>
        <w:gridCol w:w="1471"/>
      </w:tblGrid>
      <w:tr w14:paraId="780D8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3113" w:type="dxa"/>
            <w:vAlign w:val="top"/>
          </w:tcPr>
          <w:p w14:paraId="516F36A8">
            <w:pPr>
              <w:pStyle w:val="6"/>
              <w:spacing w:before="62" w:line="229" w:lineRule="auto"/>
              <w:ind w:left="1040"/>
            </w:pPr>
            <w:r>
              <w:rPr>
                <w:b/>
                <w:bCs/>
                <w:spacing w:val="6"/>
              </w:rPr>
              <w:t>污染物项目</w:t>
            </w:r>
          </w:p>
        </w:tc>
        <w:tc>
          <w:tcPr>
            <w:tcW w:w="1364" w:type="dxa"/>
            <w:vAlign w:val="top"/>
          </w:tcPr>
          <w:p w14:paraId="4D1D613C">
            <w:pPr>
              <w:spacing w:before="97" w:line="205" w:lineRule="auto"/>
              <w:ind w:left="517"/>
              <w:rPr>
                <w:rFonts w:ascii="Times New Roman" w:hAnsi="Times New Roman" w:eastAsia="Times New Roman" w:cs="Times New Roman"/>
                <w:sz w:val="13"/>
                <w:szCs w:val="13"/>
              </w:rPr>
            </w:pPr>
            <w:r>
              <w:rPr>
                <w:rFonts w:ascii="Times New Roman" w:hAnsi="Times New Roman" w:eastAsia="Times New Roman" w:cs="Times New Roman"/>
                <w:b/>
                <w:bCs/>
                <w:sz w:val="20"/>
                <w:szCs w:val="20"/>
              </w:rPr>
              <w:t>SO</w:t>
            </w:r>
            <w:r>
              <w:rPr>
                <w:rFonts w:ascii="Times New Roman" w:hAnsi="Times New Roman" w:eastAsia="Times New Roman" w:cs="Times New Roman"/>
                <w:b/>
                <w:bCs/>
                <w:spacing w:val="4"/>
                <w:position w:val="-1"/>
                <w:sz w:val="13"/>
                <w:szCs w:val="13"/>
              </w:rPr>
              <w:t>2</w:t>
            </w:r>
          </w:p>
        </w:tc>
        <w:tc>
          <w:tcPr>
            <w:tcW w:w="1502" w:type="dxa"/>
            <w:vAlign w:val="top"/>
          </w:tcPr>
          <w:p w14:paraId="2E216170">
            <w:pPr>
              <w:spacing w:before="97" w:line="205" w:lineRule="auto"/>
              <w:ind w:left="544"/>
              <w:rPr>
                <w:rFonts w:ascii="Times New Roman" w:hAnsi="Times New Roman" w:eastAsia="Times New Roman" w:cs="Times New Roman"/>
                <w:sz w:val="13"/>
                <w:szCs w:val="13"/>
              </w:rPr>
            </w:pPr>
            <w:r>
              <w:rPr>
                <w:rFonts w:ascii="Times New Roman" w:hAnsi="Times New Roman" w:eastAsia="Times New Roman" w:cs="Times New Roman"/>
                <w:b/>
                <w:bCs/>
                <w:spacing w:val="6"/>
                <w:sz w:val="20"/>
                <w:szCs w:val="20"/>
              </w:rPr>
              <w:t>NO</w:t>
            </w:r>
            <w:r>
              <w:rPr>
                <w:rFonts w:ascii="Times New Roman" w:hAnsi="Times New Roman" w:eastAsia="Times New Roman" w:cs="Times New Roman"/>
                <w:b/>
                <w:bCs/>
                <w:spacing w:val="6"/>
                <w:position w:val="-1"/>
                <w:sz w:val="13"/>
                <w:szCs w:val="13"/>
              </w:rPr>
              <w:t>X</w:t>
            </w:r>
          </w:p>
        </w:tc>
        <w:tc>
          <w:tcPr>
            <w:tcW w:w="1500" w:type="dxa"/>
            <w:vAlign w:val="top"/>
          </w:tcPr>
          <w:p w14:paraId="31F95ACB">
            <w:pPr>
              <w:pStyle w:val="6"/>
              <w:spacing w:before="62" w:line="230" w:lineRule="auto"/>
              <w:ind w:left="546"/>
            </w:pPr>
            <w:r>
              <w:rPr>
                <w:b/>
                <w:bCs/>
                <w:spacing w:val="3"/>
              </w:rPr>
              <w:t>烟尘</w:t>
            </w:r>
          </w:p>
        </w:tc>
        <w:tc>
          <w:tcPr>
            <w:tcW w:w="1471" w:type="dxa"/>
            <w:vAlign w:val="top"/>
          </w:tcPr>
          <w:p w14:paraId="4156AB89">
            <w:pPr>
              <w:pStyle w:val="6"/>
              <w:spacing w:before="62" w:line="221" w:lineRule="auto"/>
              <w:ind w:left="182"/>
              <w:rPr>
                <w:rFonts w:ascii="Times New Roman" w:hAnsi="Times New Roman" w:eastAsia="Times New Roman" w:cs="Times New Roman"/>
              </w:rPr>
            </w:pPr>
            <w:r>
              <w:rPr>
                <w:b/>
                <w:bCs/>
                <w:spacing w:val="6"/>
              </w:rPr>
              <w:t>废气</w:t>
            </w:r>
            <w:r>
              <w:rPr>
                <w:rFonts w:ascii="Times New Roman" w:hAnsi="Times New Roman" w:eastAsia="Times New Roman" w:cs="Times New Roman"/>
                <w:b/>
                <w:bCs/>
                <w:spacing w:val="6"/>
              </w:rPr>
              <w:t>(</w:t>
            </w:r>
            <w:r>
              <w:rPr>
                <w:rFonts w:ascii="Times New Roman" w:hAnsi="Times New Roman" w:eastAsia="Times New Roman" w:cs="Times New Roman"/>
                <w:b/>
                <w:bCs/>
              </w:rPr>
              <w:t>Nm</w:t>
            </w:r>
            <w:r>
              <w:rPr>
                <w:rFonts w:ascii="Times New Roman" w:hAnsi="Times New Roman" w:eastAsia="Times New Roman" w:cs="Times New Roman"/>
                <w:b/>
                <w:bCs/>
                <w:spacing w:val="6"/>
                <w:position w:val="6"/>
                <w:sz w:val="13"/>
                <w:szCs w:val="13"/>
              </w:rPr>
              <w:t>3</w:t>
            </w:r>
            <w:r>
              <w:rPr>
                <w:rFonts w:ascii="Times New Roman" w:hAnsi="Times New Roman" w:eastAsia="Times New Roman" w:cs="Times New Roman"/>
                <w:b/>
                <w:bCs/>
                <w:spacing w:val="6"/>
              </w:rPr>
              <w:t>/a)</w:t>
            </w:r>
          </w:p>
        </w:tc>
      </w:tr>
      <w:tr w14:paraId="54AD4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3113" w:type="dxa"/>
            <w:vAlign w:val="top"/>
          </w:tcPr>
          <w:p w14:paraId="2AB123FE">
            <w:pPr>
              <w:pStyle w:val="6"/>
              <w:spacing w:before="28" w:line="274" w:lineRule="exact"/>
              <w:ind w:left="436"/>
            </w:pPr>
            <w:r>
              <w:rPr>
                <w:spacing w:val="7"/>
                <w:position w:val="2"/>
              </w:rPr>
              <w:t>年污染物产生量（</w:t>
            </w:r>
            <w:r>
              <w:rPr>
                <w:rFonts w:ascii="Times New Roman" w:hAnsi="Times New Roman" w:eastAsia="Times New Roman" w:cs="Times New Roman"/>
                <w:position w:val="2"/>
              </w:rPr>
              <w:t>kg</w:t>
            </w:r>
            <w:r>
              <w:rPr>
                <w:rFonts w:ascii="Times New Roman" w:hAnsi="Times New Roman" w:eastAsia="Times New Roman" w:cs="Times New Roman"/>
                <w:spacing w:val="7"/>
                <w:position w:val="2"/>
              </w:rPr>
              <w:t>/a</w:t>
            </w:r>
            <w:r>
              <w:rPr>
                <w:spacing w:val="7"/>
                <w:position w:val="2"/>
              </w:rPr>
              <w:t>）</w:t>
            </w:r>
          </w:p>
        </w:tc>
        <w:tc>
          <w:tcPr>
            <w:tcW w:w="1364" w:type="dxa"/>
            <w:vAlign w:val="top"/>
          </w:tcPr>
          <w:p w14:paraId="5D9DCE04">
            <w:pPr>
              <w:spacing w:before="28" w:line="274" w:lineRule="exact"/>
              <w:ind w:left="5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0.56</w:t>
            </w:r>
          </w:p>
        </w:tc>
        <w:tc>
          <w:tcPr>
            <w:tcW w:w="1502" w:type="dxa"/>
            <w:vAlign w:val="top"/>
          </w:tcPr>
          <w:p w14:paraId="679ACF29">
            <w:pPr>
              <w:spacing w:before="28" w:line="274" w:lineRule="exact"/>
              <w:ind w:left="5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1.33</w:t>
            </w:r>
          </w:p>
        </w:tc>
        <w:tc>
          <w:tcPr>
            <w:tcW w:w="1500" w:type="dxa"/>
            <w:vAlign w:val="top"/>
          </w:tcPr>
          <w:p w14:paraId="3DEB8FFD">
            <w:pPr>
              <w:spacing w:before="28" w:line="274" w:lineRule="exact"/>
              <w:ind w:left="5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0.08</w:t>
            </w:r>
          </w:p>
        </w:tc>
        <w:tc>
          <w:tcPr>
            <w:tcW w:w="1471" w:type="dxa"/>
            <w:vMerge w:val="restart"/>
            <w:tcBorders>
              <w:bottom w:val="nil"/>
            </w:tcBorders>
            <w:vAlign w:val="top"/>
          </w:tcPr>
          <w:p w14:paraId="56804167">
            <w:pPr>
              <w:spacing w:before="196" w:line="274" w:lineRule="exact"/>
              <w:ind w:left="49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16000</w:t>
            </w:r>
          </w:p>
        </w:tc>
      </w:tr>
      <w:tr w14:paraId="541B0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3113" w:type="dxa"/>
            <w:vAlign w:val="top"/>
          </w:tcPr>
          <w:p w14:paraId="1C0175E3">
            <w:pPr>
              <w:pStyle w:val="6"/>
              <w:spacing w:before="30" w:line="274" w:lineRule="exact"/>
              <w:ind w:left="341"/>
            </w:pPr>
            <w:r>
              <w:rPr>
                <w:spacing w:val="8"/>
                <w:position w:val="2"/>
              </w:rPr>
              <w:t>污染物产生浓度（</w:t>
            </w:r>
            <w:r>
              <w:rPr>
                <w:rFonts w:ascii="Times New Roman" w:hAnsi="Times New Roman" w:eastAsia="Times New Roman" w:cs="Times New Roman"/>
                <w:position w:val="2"/>
              </w:rPr>
              <w:t>mg</w:t>
            </w:r>
            <w:r>
              <w:rPr>
                <w:rFonts w:ascii="Times New Roman" w:hAnsi="Times New Roman" w:eastAsia="Times New Roman" w:cs="Times New Roman"/>
                <w:spacing w:val="8"/>
                <w:position w:val="2"/>
              </w:rPr>
              <w:t>/m</w:t>
            </w:r>
            <w:r>
              <w:rPr>
                <w:rFonts w:ascii="Times New Roman" w:hAnsi="Times New Roman" w:eastAsia="Times New Roman" w:cs="Times New Roman"/>
                <w:spacing w:val="8"/>
                <w:position w:val="8"/>
                <w:sz w:val="13"/>
                <w:szCs w:val="13"/>
              </w:rPr>
              <w:t>3</w:t>
            </w:r>
            <w:r>
              <w:rPr>
                <w:spacing w:val="8"/>
                <w:position w:val="2"/>
              </w:rPr>
              <w:t>）</w:t>
            </w:r>
          </w:p>
        </w:tc>
        <w:tc>
          <w:tcPr>
            <w:tcW w:w="1364" w:type="dxa"/>
            <w:vAlign w:val="top"/>
          </w:tcPr>
          <w:p w14:paraId="1C3B7089">
            <w:pPr>
              <w:spacing w:before="30" w:line="274" w:lineRule="exact"/>
              <w:ind w:left="58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1502" w:type="dxa"/>
            <w:vAlign w:val="top"/>
          </w:tcPr>
          <w:p w14:paraId="01A6CB37">
            <w:pPr>
              <w:spacing w:before="30" w:line="274" w:lineRule="exact"/>
              <w:ind w:left="6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w:t>
            </w:r>
          </w:p>
        </w:tc>
        <w:tc>
          <w:tcPr>
            <w:tcW w:w="1500" w:type="dxa"/>
            <w:vAlign w:val="top"/>
          </w:tcPr>
          <w:p w14:paraId="65A8E1D6">
            <w:pPr>
              <w:spacing w:before="100" w:line="192" w:lineRule="auto"/>
              <w:ind w:left="7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71" w:type="dxa"/>
            <w:vMerge w:val="continue"/>
            <w:tcBorders>
              <w:top w:val="nil"/>
            </w:tcBorders>
            <w:vAlign w:val="top"/>
          </w:tcPr>
          <w:p w14:paraId="71D7FD1B">
            <w:pPr>
              <w:rPr>
                <w:rFonts w:ascii="Arial"/>
                <w:sz w:val="21"/>
              </w:rPr>
            </w:pPr>
          </w:p>
        </w:tc>
      </w:tr>
    </w:tbl>
    <w:p w14:paraId="10A2DF93">
      <w:pPr>
        <w:spacing w:before="252" w:line="361" w:lineRule="exact"/>
        <w:ind w:left="597"/>
        <w:rPr>
          <w:rFonts w:ascii="宋体" w:hAnsi="宋体" w:eastAsia="宋体" w:cs="宋体"/>
          <w:sz w:val="24"/>
          <w:szCs w:val="24"/>
        </w:rPr>
      </w:pPr>
      <w:r>
        <w:rPr>
          <w:rFonts w:ascii="Times New Roman" w:hAnsi="Times New Roman" w:eastAsia="Times New Roman" w:cs="Times New Roman"/>
          <w:spacing w:val="-2"/>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2"/>
          <w:position w:val="2"/>
          <w:sz w:val="24"/>
          <w:szCs w:val="24"/>
        </w:rPr>
        <w:t>、项目大气污染物产排情况汇总</w:t>
      </w:r>
    </w:p>
    <w:p w14:paraId="364249B9">
      <w:pPr>
        <w:spacing w:line="361" w:lineRule="exact"/>
        <w:rPr>
          <w:rFonts w:ascii="宋体" w:hAnsi="宋体" w:eastAsia="宋体" w:cs="宋体"/>
          <w:sz w:val="24"/>
          <w:szCs w:val="24"/>
        </w:rPr>
        <w:sectPr>
          <w:footerReference r:id="rId81" w:type="default"/>
          <w:pgSz w:w="11906" w:h="16839"/>
          <w:pgMar w:top="400" w:right="1475" w:bottom="1485" w:left="1475" w:header="0" w:footer="1249" w:gutter="0"/>
          <w:cols w:space="720" w:num="1"/>
        </w:sectPr>
      </w:pPr>
    </w:p>
    <w:p w14:paraId="5C87A78F">
      <w:pPr>
        <w:pStyle w:val="2"/>
        <w:spacing w:line="311" w:lineRule="auto"/>
      </w:pPr>
    </w:p>
    <w:p w14:paraId="51F12543">
      <w:pPr>
        <w:pStyle w:val="2"/>
        <w:spacing w:line="311" w:lineRule="auto"/>
      </w:pPr>
    </w:p>
    <w:p w14:paraId="00FBE093">
      <w:pPr>
        <w:pStyle w:val="2"/>
        <w:spacing w:line="312" w:lineRule="auto"/>
      </w:pPr>
    </w:p>
    <w:p w14:paraId="2F322289">
      <w:pPr>
        <w:spacing w:before="78" w:line="359" w:lineRule="exact"/>
        <w:ind w:left="605"/>
        <w:rPr>
          <w:rFonts w:ascii="宋体" w:hAnsi="宋体" w:eastAsia="宋体" w:cs="宋体"/>
          <w:sz w:val="24"/>
          <w:szCs w:val="24"/>
        </w:rPr>
      </w:pPr>
      <w:r>
        <w:rPr>
          <w:rFonts w:ascii="宋体" w:hAnsi="宋体" w:eastAsia="宋体" w:cs="宋体"/>
          <w:spacing w:val="1"/>
          <w:position w:val="2"/>
          <w:sz w:val="24"/>
          <w:szCs w:val="24"/>
        </w:rPr>
        <w:t>综上所述，本项目建成后，项目大气污染物产排情况见表</w:t>
      </w:r>
      <w:r>
        <w:rPr>
          <w:rFonts w:ascii="Times New Roman" w:hAnsi="Times New Roman" w:eastAsia="Times New Roman" w:cs="Times New Roman"/>
          <w:spacing w:val="1"/>
          <w:position w:val="2"/>
          <w:sz w:val="24"/>
          <w:szCs w:val="24"/>
        </w:rPr>
        <w:t>3.5-8</w:t>
      </w:r>
      <w:r>
        <w:rPr>
          <w:rFonts w:ascii="宋体" w:hAnsi="宋体" w:eastAsia="宋体" w:cs="宋体"/>
          <w:spacing w:val="1"/>
          <w:position w:val="2"/>
          <w:sz w:val="24"/>
          <w:szCs w:val="24"/>
        </w:rPr>
        <w:t>。</w:t>
      </w:r>
    </w:p>
    <w:p w14:paraId="4B44E152">
      <w:pPr>
        <w:spacing w:before="245" w:line="228" w:lineRule="auto"/>
        <w:ind w:left="2208"/>
        <w:rPr>
          <w:rFonts w:ascii="Times New Roman" w:hAnsi="Times New Roman" w:eastAsia="Times New Roman" w:cs="Times New Roman"/>
          <w:sz w:val="20"/>
          <w:szCs w:val="20"/>
        </w:rPr>
      </w:pPr>
      <w:r>
        <w:rPr>
          <w:rFonts w:ascii="宋体" w:hAnsi="宋体" w:eastAsia="宋体" w:cs="宋体"/>
          <w:b/>
          <w:bCs/>
          <w:spacing w:val="6"/>
          <w:sz w:val="20"/>
          <w:szCs w:val="20"/>
        </w:rPr>
        <w:t>表</w:t>
      </w:r>
      <w:r>
        <w:rPr>
          <w:rFonts w:ascii="宋体" w:hAnsi="宋体" w:eastAsia="宋体" w:cs="宋体"/>
          <w:spacing w:val="-29"/>
          <w:sz w:val="20"/>
          <w:szCs w:val="20"/>
        </w:rPr>
        <w:t xml:space="preserve"> </w:t>
      </w:r>
      <w:r>
        <w:rPr>
          <w:rFonts w:ascii="Times New Roman" w:hAnsi="Times New Roman" w:eastAsia="Times New Roman" w:cs="Times New Roman"/>
          <w:b/>
          <w:bCs/>
          <w:spacing w:val="6"/>
          <w:sz w:val="20"/>
          <w:szCs w:val="20"/>
        </w:rPr>
        <w:t xml:space="preserve">3.5-8 </w:t>
      </w:r>
      <w:r>
        <w:rPr>
          <w:rFonts w:ascii="宋体" w:hAnsi="宋体" w:eastAsia="宋体" w:cs="宋体"/>
          <w:b/>
          <w:bCs/>
          <w:spacing w:val="6"/>
          <w:sz w:val="20"/>
          <w:szCs w:val="20"/>
        </w:rPr>
        <w:t>项目大气污染物产排情况汇总表单位：</w:t>
      </w:r>
      <w:r>
        <w:rPr>
          <w:rFonts w:ascii="Times New Roman" w:hAnsi="Times New Roman" w:eastAsia="Times New Roman" w:cs="Times New Roman"/>
          <w:b/>
          <w:bCs/>
          <w:spacing w:val="6"/>
          <w:sz w:val="20"/>
          <w:szCs w:val="20"/>
        </w:rPr>
        <w:t>t/a</w:t>
      </w:r>
    </w:p>
    <w:p w14:paraId="31CC6560">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8"/>
        <w:gridCol w:w="1275"/>
        <w:gridCol w:w="2227"/>
        <w:gridCol w:w="1629"/>
        <w:gridCol w:w="2431"/>
      </w:tblGrid>
      <w:tr w14:paraId="48989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88" w:type="dxa"/>
            <w:vAlign w:val="top"/>
          </w:tcPr>
          <w:p w14:paraId="3240F122">
            <w:pPr>
              <w:pStyle w:val="6"/>
              <w:spacing w:before="70" w:line="229" w:lineRule="auto"/>
              <w:ind w:left="387"/>
            </w:pPr>
            <w:r>
              <w:rPr>
                <w:b/>
                <w:bCs/>
                <w:spacing w:val="5"/>
              </w:rPr>
              <w:t>污染源</w:t>
            </w:r>
          </w:p>
        </w:tc>
        <w:tc>
          <w:tcPr>
            <w:tcW w:w="1275" w:type="dxa"/>
            <w:vAlign w:val="top"/>
          </w:tcPr>
          <w:p w14:paraId="36F787F6">
            <w:pPr>
              <w:pStyle w:val="6"/>
              <w:spacing w:before="70" w:line="229" w:lineRule="auto"/>
              <w:ind w:left="223"/>
            </w:pPr>
            <w:r>
              <w:rPr>
                <w:b/>
                <w:bCs/>
                <w:spacing w:val="6"/>
              </w:rPr>
              <w:t>污染因子</w:t>
            </w:r>
          </w:p>
        </w:tc>
        <w:tc>
          <w:tcPr>
            <w:tcW w:w="2227" w:type="dxa"/>
            <w:vAlign w:val="top"/>
          </w:tcPr>
          <w:p w14:paraId="4C48AAD7">
            <w:pPr>
              <w:pStyle w:val="6"/>
              <w:spacing w:before="70" w:line="228" w:lineRule="auto"/>
              <w:ind w:left="804"/>
            </w:pPr>
            <w:r>
              <w:rPr>
                <w:b/>
                <w:bCs/>
                <w:spacing w:val="5"/>
              </w:rPr>
              <w:t>产生量</w:t>
            </w:r>
          </w:p>
        </w:tc>
        <w:tc>
          <w:tcPr>
            <w:tcW w:w="1629" w:type="dxa"/>
            <w:vAlign w:val="top"/>
          </w:tcPr>
          <w:p w14:paraId="253A0985">
            <w:pPr>
              <w:pStyle w:val="6"/>
              <w:spacing w:before="70" w:line="230" w:lineRule="auto"/>
              <w:ind w:left="519"/>
            </w:pPr>
            <w:r>
              <w:rPr>
                <w:b/>
                <w:bCs/>
                <w:spacing w:val="1"/>
              </w:rPr>
              <w:t>削减量</w:t>
            </w:r>
          </w:p>
        </w:tc>
        <w:tc>
          <w:tcPr>
            <w:tcW w:w="2431" w:type="dxa"/>
            <w:vAlign w:val="top"/>
          </w:tcPr>
          <w:p w14:paraId="0FC07E84">
            <w:pPr>
              <w:pStyle w:val="6"/>
              <w:spacing w:before="70" w:line="230" w:lineRule="auto"/>
              <w:ind w:left="905"/>
            </w:pPr>
            <w:r>
              <w:rPr>
                <w:b/>
                <w:bCs/>
                <w:spacing w:val="5"/>
              </w:rPr>
              <w:t>排放量</w:t>
            </w:r>
          </w:p>
        </w:tc>
      </w:tr>
      <w:tr w14:paraId="4D7C7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88" w:type="dxa"/>
            <w:vMerge w:val="restart"/>
            <w:tcBorders>
              <w:bottom w:val="nil"/>
            </w:tcBorders>
            <w:vAlign w:val="top"/>
          </w:tcPr>
          <w:p w14:paraId="6F1A58AA">
            <w:pPr>
              <w:pStyle w:val="6"/>
              <w:spacing w:before="232" w:line="229" w:lineRule="auto"/>
              <w:ind w:left="488"/>
            </w:pPr>
            <w:r>
              <w:rPr>
                <w:spacing w:val="4"/>
              </w:rPr>
              <w:t>猪舍</w:t>
            </w:r>
          </w:p>
        </w:tc>
        <w:tc>
          <w:tcPr>
            <w:tcW w:w="1275" w:type="dxa"/>
            <w:vAlign w:val="top"/>
          </w:tcPr>
          <w:p w14:paraId="4DD90D8A">
            <w:pPr>
              <w:spacing w:before="104"/>
              <w:ind w:left="446"/>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2227" w:type="dxa"/>
            <w:vAlign w:val="top"/>
          </w:tcPr>
          <w:p w14:paraId="34137B85">
            <w:pPr>
              <w:spacing w:before="33" w:line="274" w:lineRule="exact"/>
              <w:ind w:left="9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0.51</w:t>
            </w:r>
          </w:p>
        </w:tc>
        <w:tc>
          <w:tcPr>
            <w:tcW w:w="1629" w:type="dxa"/>
            <w:vAlign w:val="top"/>
          </w:tcPr>
          <w:p w14:paraId="428FBB9C">
            <w:pPr>
              <w:spacing w:before="33" w:line="274" w:lineRule="exact"/>
              <w:ind w:left="6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0.49</w:t>
            </w:r>
          </w:p>
        </w:tc>
        <w:tc>
          <w:tcPr>
            <w:tcW w:w="2431" w:type="dxa"/>
            <w:vAlign w:val="top"/>
          </w:tcPr>
          <w:p w14:paraId="07C9859A">
            <w:pPr>
              <w:spacing w:before="33" w:line="274" w:lineRule="exact"/>
              <w:ind w:left="10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r>
      <w:tr w14:paraId="56987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88" w:type="dxa"/>
            <w:vMerge w:val="continue"/>
            <w:tcBorders>
              <w:top w:val="nil"/>
            </w:tcBorders>
            <w:vAlign w:val="top"/>
          </w:tcPr>
          <w:p w14:paraId="327FD8D4">
            <w:pPr>
              <w:rPr>
                <w:rFonts w:ascii="Arial"/>
                <w:sz w:val="21"/>
              </w:rPr>
            </w:pPr>
          </w:p>
        </w:tc>
        <w:tc>
          <w:tcPr>
            <w:tcW w:w="1275" w:type="dxa"/>
            <w:vAlign w:val="top"/>
          </w:tcPr>
          <w:p w14:paraId="456685F1">
            <w:pPr>
              <w:spacing w:before="94" w:line="236"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c>
          <w:tcPr>
            <w:tcW w:w="2227" w:type="dxa"/>
            <w:vAlign w:val="top"/>
          </w:tcPr>
          <w:p w14:paraId="2E947FF1">
            <w:pPr>
              <w:spacing w:before="27" w:line="275" w:lineRule="exact"/>
              <w:ind w:left="9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629" w:type="dxa"/>
            <w:vAlign w:val="top"/>
          </w:tcPr>
          <w:p w14:paraId="2294E2DA">
            <w:pPr>
              <w:spacing w:before="27" w:line="275" w:lineRule="exact"/>
              <w:ind w:left="5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0.028</w:t>
            </w:r>
          </w:p>
        </w:tc>
        <w:tc>
          <w:tcPr>
            <w:tcW w:w="2431" w:type="dxa"/>
            <w:vAlign w:val="top"/>
          </w:tcPr>
          <w:p w14:paraId="1A81F9E6">
            <w:pPr>
              <w:spacing w:before="27" w:line="275" w:lineRule="exact"/>
              <w:ind w:left="9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r>
      <w:tr w14:paraId="7ADCB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88" w:type="dxa"/>
            <w:vMerge w:val="restart"/>
            <w:tcBorders>
              <w:bottom w:val="nil"/>
            </w:tcBorders>
            <w:vAlign w:val="top"/>
          </w:tcPr>
          <w:p w14:paraId="4DD3E1CC">
            <w:pPr>
              <w:pStyle w:val="6"/>
              <w:spacing w:before="77" w:line="228" w:lineRule="auto"/>
              <w:ind w:left="175"/>
            </w:pPr>
            <w:r>
              <w:rPr>
                <w:spacing w:val="7"/>
              </w:rPr>
              <w:t>有机肥发酵</w:t>
            </w:r>
          </w:p>
          <w:p w14:paraId="53BC58DA">
            <w:pPr>
              <w:pStyle w:val="6"/>
              <w:spacing w:before="80" w:line="228" w:lineRule="auto"/>
              <w:ind w:left="490"/>
            </w:pPr>
            <w:r>
              <w:rPr>
                <w:spacing w:val="3"/>
              </w:rPr>
              <w:t>车间</w:t>
            </w:r>
          </w:p>
        </w:tc>
        <w:tc>
          <w:tcPr>
            <w:tcW w:w="1275" w:type="dxa"/>
            <w:vAlign w:val="top"/>
          </w:tcPr>
          <w:p w14:paraId="6243D7D5">
            <w:pPr>
              <w:spacing w:before="104" w:line="239" w:lineRule="auto"/>
              <w:ind w:left="446"/>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2227" w:type="dxa"/>
            <w:vAlign w:val="top"/>
          </w:tcPr>
          <w:p w14:paraId="08C24FFF">
            <w:pPr>
              <w:spacing w:before="18" w:line="274" w:lineRule="exact"/>
              <w:ind w:left="88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0.613</w:t>
            </w:r>
          </w:p>
        </w:tc>
        <w:tc>
          <w:tcPr>
            <w:tcW w:w="1629" w:type="dxa"/>
            <w:vAlign w:val="top"/>
          </w:tcPr>
          <w:p w14:paraId="71FAC5BA">
            <w:pPr>
              <w:spacing w:before="35" w:line="274" w:lineRule="exact"/>
              <w:ind w:left="5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0.601</w:t>
            </w:r>
          </w:p>
        </w:tc>
        <w:tc>
          <w:tcPr>
            <w:tcW w:w="2431" w:type="dxa"/>
            <w:vAlign w:val="top"/>
          </w:tcPr>
          <w:p w14:paraId="1C238AE1">
            <w:pPr>
              <w:spacing w:before="18" w:line="274" w:lineRule="exact"/>
              <w:ind w:left="9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0.012</w:t>
            </w:r>
          </w:p>
        </w:tc>
      </w:tr>
      <w:tr w14:paraId="6F136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88" w:type="dxa"/>
            <w:vMerge w:val="continue"/>
            <w:tcBorders>
              <w:top w:val="nil"/>
            </w:tcBorders>
            <w:vAlign w:val="top"/>
          </w:tcPr>
          <w:p w14:paraId="5E0312D2">
            <w:pPr>
              <w:rPr>
                <w:rFonts w:ascii="Arial"/>
                <w:sz w:val="21"/>
              </w:rPr>
            </w:pPr>
          </w:p>
        </w:tc>
        <w:tc>
          <w:tcPr>
            <w:tcW w:w="1275" w:type="dxa"/>
            <w:vAlign w:val="top"/>
          </w:tcPr>
          <w:p w14:paraId="585A5880">
            <w:pPr>
              <w:spacing w:before="103" w:line="241"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c>
          <w:tcPr>
            <w:tcW w:w="2227" w:type="dxa"/>
            <w:vAlign w:val="top"/>
          </w:tcPr>
          <w:p w14:paraId="413130F4">
            <w:pPr>
              <w:spacing w:before="19" w:line="274" w:lineRule="exact"/>
              <w:ind w:left="88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0.123</w:t>
            </w:r>
          </w:p>
        </w:tc>
        <w:tc>
          <w:tcPr>
            <w:tcW w:w="1629" w:type="dxa"/>
            <w:vAlign w:val="top"/>
          </w:tcPr>
          <w:p w14:paraId="3B8B3AE5">
            <w:pPr>
              <w:spacing w:before="36" w:line="274" w:lineRule="exact"/>
              <w:ind w:left="58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0.118</w:t>
            </w:r>
          </w:p>
        </w:tc>
        <w:tc>
          <w:tcPr>
            <w:tcW w:w="2431" w:type="dxa"/>
            <w:vAlign w:val="top"/>
          </w:tcPr>
          <w:p w14:paraId="58D3E992">
            <w:pPr>
              <w:spacing w:before="19" w:line="274" w:lineRule="exact"/>
              <w:ind w:left="9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r>
      <w:tr w14:paraId="55CF5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88" w:type="dxa"/>
            <w:vAlign w:val="top"/>
          </w:tcPr>
          <w:p w14:paraId="0848B437">
            <w:pPr>
              <w:pStyle w:val="6"/>
              <w:spacing w:before="68" w:line="229" w:lineRule="auto"/>
              <w:ind w:left="173"/>
            </w:pPr>
            <w:r>
              <w:rPr>
                <w:spacing w:val="8"/>
              </w:rPr>
              <w:t>饲料加工房</w:t>
            </w:r>
          </w:p>
        </w:tc>
        <w:tc>
          <w:tcPr>
            <w:tcW w:w="1275" w:type="dxa"/>
            <w:vAlign w:val="top"/>
          </w:tcPr>
          <w:p w14:paraId="16A16124">
            <w:pPr>
              <w:pStyle w:val="6"/>
              <w:spacing w:before="68" w:line="229" w:lineRule="auto"/>
              <w:ind w:left="326"/>
            </w:pPr>
            <w:r>
              <w:rPr>
                <w:spacing w:val="7"/>
              </w:rPr>
              <w:t>颗粒物</w:t>
            </w:r>
          </w:p>
        </w:tc>
        <w:tc>
          <w:tcPr>
            <w:tcW w:w="2227" w:type="dxa"/>
            <w:vAlign w:val="top"/>
          </w:tcPr>
          <w:p w14:paraId="0299D325">
            <w:pPr>
              <w:spacing w:before="18" w:line="274" w:lineRule="exact"/>
              <w:ind w:left="8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w:t>
            </w:r>
          </w:p>
        </w:tc>
        <w:tc>
          <w:tcPr>
            <w:tcW w:w="1629" w:type="dxa"/>
            <w:vAlign w:val="top"/>
          </w:tcPr>
          <w:p w14:paraId="123269D7">
            <w:pPr>
              <w:spacing w:before="37" w:line="275" w:lineRule="exact"/>
              <w:ind w:left="7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2431" w:type="dxa"/>
            <w:vAlign w:val="top"/>
          </w:tcPr>
          <w:p w14:paraId="04C436A9">
            <w:pPr>
              <w:spacing w:before="18" w:line="274" w:lineRule="exact"/>
              <w:ind w:left="9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w:t>
            </w:r>
          </w:p>
        </w:tc>
      </w:tr>
      <w:tr w14:paraId="43B67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8" w:type="dxa"/>
            <w:vMerge w:val="restart"/>
            <w:tcBorders>
              <w:bottom w:val="nil"/>
            </w:tcBorders>
            <w:vAlign w:val="top"/>
          </w:tcPr>
          <w:p w14:paraId="6097928F">
            <w:pPr>
              <w:pStyle w:val="6"/>
              <w:spacing w:before="256" w:line="228" w:lineRule="auto"/>
              <w:ind w:left="176"/>
            </w:pPr>
            <w:r>
              <w:rPr>
                <w:spacing w:val="7"/>
              </w:rPr>
              <w:t>备用发电机</w:t>
            </w:r>
          </w:p>
          <w:p w14:paraId="4342886E">
            <w:pPr>
              <w:pStyle w:val="6"/>
              <w:spacing w:before="77" w:line="229" w:lineRule="auto"/>
              <w:ind w:left="595"/>
            </w:pPr>
            <w:r>
              <w:t>房</w:t>
            </w:r>
          </w:p>
        </w:tc>
        <w:tc>
          <w:tcPr>
            <w:tcW w:w="1275" w:type="dxa"/>
            <w:vAlign w:val="top"/>
          </w:tcPr>
          <w:p w14:paraId="7F2F2E70">
            <w:pPr>
              <w:spacing w:before="105" w:line="239" w:lineRule="auto"/>
              <w:ind w:left="478"/>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sz w:val="13"/>
                <w:szCs w:val="13"/>
              </w:rPr>
              <w:t>2</w:t>
            </w:r>
          </w:p>
        </w:tc>
        <w:tc>
          <w:tcPr>
            <w:tcW w:w="2227" w:type="dxa"/>
            <w:vAlign w:val="top"/>
          </w:tcPr>
          <w:p w14:paraId="46AA2AEE">
            <w:pPr>
              <w:spacing w:before="20" w:line="274" w:lineRule="exact"/>
              <w:ind w:left="7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0.00056</w:t>
            </w:r>
          </w:p>
        </w:tc>
        <w:tc>
          <w:tcPr>
            <w:tcW w:w="1629" w:type="dxa"/>
            <w:vAlign w:val="top"/>
          </w:tcPr>
          <w:p w14:paraId="2C186993">
            <w:pPr>
              <w:spacing w:before="39" w:line="274" w:lineRule="exact"/>
              <w:ind w:left="7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2431" w:type="dxa"/>
            <w:vAlign w:val="top"/>
          </w:tcPr>
          <w:p w14:paraId="07108DF9">
            <w:pPr>
              <w:spacing w:before="20" w:line="274" w:lineRule="exact"/>
              <w:ind w:left="8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0.00056</w:t>
            </w:r>
          </w:p>
        </w:tc>
      </w:tr>
      <w:tr w14:paraId="46AD9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8" w:type="dxa"/>
            <w:vMerge w:val="continue"/>
            <w:tcBorders>
              <w:top w:val="nil"/>
              <w:bottom w:val="nil"/>
            </w:tcBorders>
            <w:vAlign w:val="top"/>
          </w:tcPr>
          <w:p w14:paraId="42F7D32A">
            <w:pPr>
              <w:rPr>
                <w:rFonts w:ascii="Arial"/>
                <w:sz w:val="21"/>
              </w:rPr>
            </w:pPr>
          </w:p>
        </w:tc>
        <w:tc>
          <w:tcPr>
            <w:tcW w:w="1275" w:type="dxa"/>
            <w:vAlign w:val="top"/>
          </w:tcPr>
          <w:p w14:paraId="2FC19EE6">
            <w:pPr>
              <w:spacing w:before="106" w:line="202" w:lineRule="auto"/>
              <w:ind w:left="431"/>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2227" w:type="dxa"/>
            <w:vAlign w:val="top"/>
          </w:tcPr>
          <w:p w14:paraId="52D57190">
            <w:pPr>
              <w:spacing w:before="20" w:line="274" w:lineRule="exact"/>
              <w:ind w:left="7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0.00133</w:t>
            </w:r>
          </w:p>
        </w:tc>
        <w:tc>
          <w:tcPr>
            <w:tcW w:w="1629" w:type="dxa"/>
            <w:vAlign w:val="top"/>
          </w:tcPr>
          <w:p w14:paraId="03C88451">
            <w:pPr>
              <w:spacing w:before="39" w:line="274" w:lineRule="exact"/>
              <w:ind w:left="7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2431" w:type="dxa"/>
            <w:vAlign w:val="top"/>
          </w:tcPr>
          <w:p w14:paraId="01608DF1">
            <w:pPr>
              <w:spacing w:before="20" w:line="274" w:lineRule="exact"/>
              <w:ind w:left="8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0.00133</w:t>
            </w:r>
          </w:p>
        </w:tc>
      </w:tr>
      <w:tr w14:paraId="07834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88" w:type="dxa"/>
            <w:vMerge w:val="continue"/>
            <w:tcBorders>
              <w:top w:val="nil"/>
            </w:tcBorders>
            <w:vAlign w:val="top"/>
          </w:tcPr>
          <w:p w14:paraId="2B2A47E5">
            <w:pPr>
              <w:rPr>
                <w:rFonts w:ascii="Arial"/>
                <w:sz w:val="21"/>
              </w:rPr>
            </w:pPr>
          </w:p>
        </w:tc>
        <w:tc>
          <w:tcPr>
            <w:tcW w:w="1275" w:type="dxa"/>
            <w:vAlign w:val="top"/>
          </w:tcPr>
          <w:p w14:paraId="37AE9960">
            <w:pPr>
              <w:pStyle w:val="6"/>
              <w:spacing w:before="68" w:line="230" w:lineRule="auto"/>
              <w:ind w:left="433"/>
            </w:pPr>
            <w:r>
              <w:rPr>
                <w:spacing w:val="4"/>
              </w:rPr>
              <w:t>烟尘</w:t>
            </w:r>
          </w:p>
        </w:tc>
        <w:tc>
          <w:tcPr>
            <w:tcW w:w="2227" w:type="dxa"/>
            <w:vAlign w:val="top"/>
          </w:tcPr>
          <w:p w14:paraId="7A688A9C">
            <w:pPr>
              <w:spacing w:before="20" w:line="275" w:lineRule="exact"/>
              <w:ind w:left="7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0.00008</w:t>
            </w:r>
          </w:p>
        </w:tc>
        <w:tc>
          <w:tcPr>
            <w:tcW w:w="1629" w:type="dxa"/>
            <w:vAlign w:val="top"/>
          </w:tcPr>
          <w:p w14:paraId="0B1ED6D1">
            <w:pPr>
              <w:spacing w:before="37" w:line="274" w:lineRule="exact"/>
              <w:ind w:left="7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2431" w:type="dxa"/>
            <w:vAlign w:val="top"/>
          </w:tcPr>
          <w:p w14:paraId="6558BF2B">
            <w:pPr>
              <w:spacing w:before="20" w:line="275" w:lineRule="exact"/>
              <w:ind w:left="8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0.00008</w:t>
            </w:r>
          </w:p>
        </w:tc>
      </w:tr>
    </w:tbl>
    <w:p w14:paraId="1D6B938B">
      <w:pPr>
        <w:pStyle w:val="2"/>
      </w:pPr>
    </w:p>
    <w:p w14:paraId="791F7480">
      <w:pPr>
        <w:sectPr>
          <w:footerReference r:id="rId82" w:type="default"/>
          <w:pgSz w:w="11906" w:h="16839"/>
          <w:pgMar w:top="400" w:right="1475" w:bottom="1485" w:left="1475" w:header="0" w:footer="1249" w:gutter="0"/>
          <w:cols w:space="720" w:num="1"/>
        </w:sectPr>
      </w:pPr>
    </w:p>
    <w:p w14:paraId="315D8EE1">
      <w:pPr>
        <w:pStyle w:val="2"/>
        <w:spacing w:line="250" w:lineRule="auto"/>
      </w:pPr>
    </w:p>
    <w:p w14:paraId="58CDCB75">
      <w:pPr>
        <w:pStyle w:val="2"/>
        <w:spacing w:line="251" w:lineRule="auto"/>
      </w:pPr>
    </w:p>
    <w:p w14:paraId="4C59F07B">
      <w:pPr>
        <w:pStyle w:val="2"/>
        <w:spacing w:line="251" w:lineRule="auto"/>
      </w:pPr>
    </w:p>
    <w:p w14:paraId="3B0D656F">
      <w:pPr>
        <w:pStyle w:val="2"/>
        <w:spacing w:line="251" w:lineRule="auto"/>
      </w:pPr>
    </w:p>
    <w:p w14:paraId="2DE41BC3">
      <w:pPr>
        <w:pStyle w:val="2"/>
        <w:spacing w:line="251" w:lineRule="auto"/>
      </w:pPr>
    </w:p>
    <w:p w14:paraId="2A9F8C80">
      <w:pPr>
        <w:spacing w:before="65" w:line="228" w:lineRule="auto"/>
        <w:ind w:left="4958"/>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7"/>
          <w:sz w:val="20"/>
          <w:szCs w:val="20"/>
        </w:rPr>
        <w:t xml:space="preserve">3.5-9 </w:t>
      </w:r>
      <w:r>
        <w:rPr>
          <w:rFonts w:ascii="宋体" w:hAnsi="宋体" w:eastAsia="宋体" w:cs="宋体"/>
          <w:b/>
          <w:bCs/>
          <w:spacing w:val="7"/>
          <w:sz w:val="20"/>
          <w:szCs w:val="20"/>
        </w:rPr>
        <w:t>废气污染源源强核算结果及相关参数一览表</w:t>
      </w:r>
    </w:p>
    <w:p w14:paraId="5C5284A8">
      <w:pPr>
        <w:spacing w:line="102" w:lineRule="exact"/>
      </w:pPr>
    </w:p>
    <w:tbl>
      <w:tblPr>
        <w:tblStyle w:val="5"/>
        <w:tblW w:w="139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646"/>
        <w:gridCol w:w="835"/>
        <w:gridCol w:w="742"/>
        <w:gridCol w:w="638"/>
        <w:gridCol w:w="1108"/>
        <w:gridCol w:w="1109"/>
        <w:gridCol w:w="1158"/>
        <w:gridCol w:w="1188"/>
        <w:gridCol w:w="593"/>
        <w:gridCol w:w="744"/>
        <w:gridCol w:w="1300"/>
        <w:gridCol w:w="1134"/>
        <w:gridCol w:w="1445"/>
        <w:gridCol w:w="648"/>
      </w:tblGrid>
      <w:tr w14:paraId="40061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08" w:type="dxa"/>
            <w:vMerge w:val="restart"/>
            <w:tcBorders>
              <w:bottom w:val="nil"/>
            </w:tcBorders>
            <w:vAlign w:val="top"/>
          </w:tcPr>
          <w:p w14:paraId="6542245A">
            <w:pPr>
              <w:pStyle w:val="6"/>
              <w:spacing w:before="292" w:line="230" w:lineRule="auto"/>
              <w:ind w:left="123"/>
              <w:rPr>
                <w:rFonts w:ascii="Times New Roman" w:hAnsi="Times New Roman" w:eastAsia="Times New Roman" w:cs="Times New Roman"/>
              </w:rPr>
            </w:pPr>
            <w:r>
              <w:rPr>
                <w:b/>
                <w:bCs/>
                <w:spacing w:val="2"/>
              </w:rPr>
              <w:t>工序</w:t>
            </w:r>
            <w:r>
              <w:rPr>
                <w:rFonts w:ascii="Times New Roman" w:hAnsi="Times New Roman" w:eastAsia="Times New Roman" w:cs="Times New Roman"/>
                <w:b/>
                <w:bCs/>
                <w:spacing w:val="2"/>
              </w:rPr>
              <w:t>/</w:t>
            </w:r>
          </w:p>
          <w:p w14:paraId="5EAF55A3">
            <w:pPr>
              <w:pStyle w:val="6"/>
              <w:spacing w:before="77" w:line="228" w:lineRule="auto"/>
              <w:ind w:left="151"/>
            </w:pPr>
            <w:r>
              <w:rPr>
                <w:b/>
                <w:bCs/>
                <w:spacing w:val="3"/>
              </w:rPr>
              <w:t>生产</w:t>
            </w:r>
          </w:p>
          <w:p w14:paraId="364641A9">
            <w:pPr>
              <w:pStyle w:val="6"/>
              <w:spacing w:before="79" w:line="229" w:lineRule="auto"/>
              <w:ind w:left="258"/>
            </w:pPr>
            <w:r>
              <w:rPr>
                <w:b/>
                <w:bCs/>
                <w:spacing w:val="-3"/>
              </w:rPr>
              <w:t>线</w:t>
            </w:r>
          </w:p>
        </w:tc>
        <w:tc>
          <w:tcPr>
            <w:tcW w:w="646" w:type="dxa"/>
            <w:vMerge w:val="restart"/>
            <w:tcBorders>
              <w:bottom w:val="nil"/>
            </w:tcBorders>
            <w:vAlign w:val="top"/>
          </w:tcPr>
          <w:p w14:paraId="39D201F4">
            <w:pPr>
              <w:spacing w:line="275" w:lineRule="auto"/>
              <w:rPr>
                <w:rFonts w:ascii="Arial"/>
                <w:sz w:val="21"/>
              </w:rPr>
            </w:pPr>
          </w:p>
          <w:p w14:paraId="13D3E6C0">
            <w:pPr>
              <w:spacing w:line="276" w:lineRule="auto"/>
              <w:rPr>
                <w:rFonts w:ascii="Arial"/>
                <w:sz w:val="21"/>
              </w:rPr>
            </w:pPr>
          </w:p>
          <w:p w14:paraId="242826DC">
            <w:pPr>
              <w:pStyle w:val="6"/>
              <w:spacing w:before="65" w:line="229" w:lineRule="auto"/>
              <w:ind w:left="116"/>
            </w:pPr>
            <w:r>
              <w:rPr>
                <w:b/>
                <w:bCs/>
                <w:spacing w:val="3"/>
              </w:rPr>
              <w:t>装置</w:t>
            </w:r>
          </w:p>
        </w:tc>
        <w:tc>
          <w:tcPr>
            <w:tcW w:w="835" w:type="dxa"/>
            <w:vMerge w:val="restart"/>
            <w:tcBorders>
              <w:bottom w:val="nil"/>
            </w:tcBorders>
            <w:vAlign w:val="top"/>
          </w:tcPr>
          <w:p w14:paraId="10A6D560">
            <w:pPr>
              <w:spacing w:line="388" w:lineRule="auto"/>
              <w:rPr>
                <w:rFonts w:ascii="Arial"/>
                <w:sz w:val="21"/>
              </w:rPr>
            </w:pPr>
          </w:p>
          <w:p w14:paraId="21F47DF6">
            <w:pPr>
              <w:pStyle w:val="6"/>
              <w:spacing w:before="65" w:line="304" w:lineRule="auto"/>
              <w:ind w:left="313" w:right="206" w:hanging="100"/>
            </w:pPr>
            <w:r>
              <w:rPr>
                <w:b/>
                <w:bCs/>
                <w:spacing w:val="3"/>
              </w:rPr>
              <w:t>污染</w:t>
            </w:r>
            <w:r>
              <w:t xml:space="preserve"> </w:t>
            </w:r>
            <w:r>
              <w:rPr>
                <w:b/>
                <w:bCs/>
                <w:spacing w:val="-1"/>
              </w:rPr>
              <w:t>源</w:t>
            </w:r>
          </w:p>
        </w:tc>
        <w:tc>
          <w:tcPr>
            <w:tcW w:w="742" w:type="dxa"/>
            <w:vMerge w:val="restart"/>
            <w:tcBorders>
              <w:bottom w:val="nil"/>
            </w:tcBorders>
            <w:vAlign w:val="top"/>
          </w:tcPr>
          <w:p w14:paraId="42E65E85">
            <w:pPr>
              <w:spacing w:line="389" w:lineRule="auto"/>
              <w:rPr>
                <w:rFonts w:ascii="Arial"/>
                <w:sz w:val="21"/>
              </w:rPr>
            </w:pPr>
          </w:p>
          <w:p w14:paraId="12515254">
            <w:pPr>
              <w:pStyle w:val="6"/>
              <w:spacing w:before="65" w:line="303" w:lineRule="auto"/>
              <w:ind w:left="268" w:right="160" w:hanging="103"/>
            </w:pPr>
            <w:r>
              <w:rPr>
                <w:b/>
                <w:bCs/>
                <w:spacing w:val="3"/>
              </w:rPr>
              <w:t>污染</w:t>
            </w:r>
            <w:r>
              <w:t xml:space="preserve"> </w:t>
            </w:r>
            <w:r>
              <w:rPr>
                <w:b/>
                <w:bCs/>
                <w:spacing w:val="-2"/>
              </w:rPr>
              <w:t>物</w:t>
            </w:r>
          </w:p>
        </w:tc>
        <w:tc>
          <w:tcPr>
            <w:tcW w:w="4013" w:type="dxa"/>
            <w:gridSpan w:val="4"/>
            <w:vAlign w:val="top"/>
          </w:tcPr>
          <w:p w14:paraId="073D7092">
            <w:pPr>
              <w:pStyle w:val="6"/>
              <w:spacing w:before="125" w:line="228" w:lineRule="auto"/>
              <w:ind w:left="1487"/>
            </w:pPr>
            <w:r>
              <w:rPr>
                <w:b/>
                <w:bCs/>
                <w:spacing w:val="6"/>
              </w:rPr>
              <w:t>污染物产生</w:t>
            </w:r>
          </w:p>
        </w:tc>
        <w:tc>
          <w:tcPr>
            <w:tcW w:w="1781" w:type="dxa"/>
            <w:gridSpan w:val="2"/>
            <w:vAlign w:val="top"/>
          </w:tcPr>
          <w:p w14:paraId="60DA48F0">
            <w:pPr>
              <w:pStyle w:val="6"/>
              <w:spacing w:before="125" w:line="229" w:lineRule="auto"/>
              <w:ind w:left="480"/>
            </w:pPr>
            <w:r>
              <w:rPr>
                <w:b/>
                <w:bCs/>
                <w:spacing w:val="5"/>
              </w:rPr>
              <w:t>治理措施</w:t>
            </w:r>
          </w:p>
        </w:tc>
        <w:tc>
          <w:tcPr>
            <w:tcW w:w="4623" w:type="dxa"/>
            <w:gridSpan w:val="4"/>
            <w:vAlign w:val="top"/>
          </w:tcPr>
          <w:p w14:paraId="780F4B5D">
            <w:pPr>
              <w:pStyle w:val="6"/>
              <w:spacing w:before="125" w:line="229" w:lineRule="auto"/>
              <w:ind w:left="1794"/>
            </w:pPr>
            <w:r>
              <w:rPr>
                <w:b/>
                <w:bCs/>
                <w:spacing w:val="6"/>
              </w:rPr>
              <w:t>污染物排放</w:t>
            </w:r>
          </w:p>
        </w:tc>
        <w:tc>
          <w:tcPr>
            <w:tcW w:w="648" w:type="dxa"/>
            <w:vMerge w:val="restart"/>
            <w:tcBorders>
              <w:bottom w:val="nil"/>
            </w:tcBorders>
            <w:vAlign w:val="top"/>
          </w:tcPr>
          <w:p w14:paraId="6B20D4B9">
            <w:pPr>
              <w:pStyle w:val="6"/>
              <w:spacing w:before="292" w:line="230" w:lineRule="auto"/>
              <w:ind w:left="119"/>
            </w:pPr>
            <w:r>
              <w:rPr>
                <w:b/>
                <w:bCs/>
                <w:spacing w:val="3"/>
              </w:rPr>
              <w:t>排放</w:t>
            </w:r>
          </w:p>
          <w:p w14:paraId="7E378331">
            <w:pPr>
              <w:pStyle w:val="6"/>
              <w:spacing w:before="76" w:line="231" w:lineRule="auto"/>
              <w:ind w:left="129"/>
            </w:pPr>
            <w:r>
              <w:rPr>
                <w:b/>
                <w:bCs/>
                <w:spacing w:val="-1"/>
              </w:rPr>
              <w:t>时间</w:t>
            </w:r>
          </w:p>
          <w:p w14:paraId="3ECBAADA">
            <w:pPr>
              <w:spacing w:before="112" w:line="195" w:lineRule="auto"/>
              <w:ind w:left="23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/h</w:t>
            </w:r>
          </w:p>
        </w:tc>
      </w:tr>
      <w:tr w14:paraId="561C0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708" w:type="dxa"/>
            <w:vMerge w:val="continue"/>
            <w:tcBorders>
              <w:top w:val="nil"/>
            </w:tcBorders>
            <w:vAlign w:val="top"/>
          </w:tcPr>
          <w:p w14:paraId="123EA060">
            <w:pPr>
              <w:rPr>
                <w:rFonts w:ascii="Arial"/>
                <w:sz w:val="21"/>
              </w:rPr>
            </w:pPr>
          </w:p>
        </w:tc>
        <w:tc>
          <w:tcPr>
            <w:tcW w:w="646" w:type="dxa"/>
            <w:vMerge w:val="continue"/>
            <w:tcBorders>
              <w:top w:val="nil"/>
            </w:tcBorders>
            <w:vAlign w:val="top"/>
          </w:tcPr>
          <w:p w14:paraId="559710FB">
            <w:pPr>
              <w:rPr>
                <w:rFonts w:ascii="Arial"/>
                <w:sz w:val="21"/>
              </w:rPr>
            </w:pPr>
          </w:p>
        </w:tc>
        <w:tc>
          <w:tcPr>
            <w:tcW w:w="835" w:type="dxa"/>
            <w:vMerge w:val="continue"/>
            <w:tcBorders>
              <w:top w:val="nil"/>
            </w:tcBorders>
            <w:vAlign w:val="top"/>
          </w:tcPr>
          <w:p w14:paraId="2C5308DE">
            <w:pPr>
              <w:rPr>
                <w:rFonts w:ascii="Arial"/>
                <w:sz w:val="21"/>
              </w:rPr>
            </w:pPr>
          </w:p>
        </w:tc>
        <w:tc>
          <w:tcPr>
            <w:tcW w:w="742" w:type="dxa"/>
            <w:vMerge w:val="continue"/>
            <w:tcBorders>
              <w:top w:val="nil"/>
            </w:tcBorders>
            <w:vAlign w:val="top"/>
          </w:tcPr>
          <w:p w14:paraId="688BD2BF">
            <w:pPr>
              <w:rPr>
                <w:rFonts w:ascii="Arial"/>
                <w:sz w:val="21"/>
              </w:rPr>
            </w:pPr>
          </w:p>
        </w:tc>
        <w:tc>
          <w:tcPr>
            <w:tcW w:w="638" w:type="dxa"/>
            <w:vAlign w:val="top"/>
          </w:tcPr>
          <w:p w14:paraId="7F2FA5C5">
            <w:pPr>
              <w:pStyle w:val="6"/>
              <w:spacing w:before="222" w:line="228" w:lineRule="auto"/>
              <w:ind w:left="115"/>
            </w:pPr>
            <w:r>
              <w:rPr>
                <w:b/>
                <w:bCs/>
                <w:spacing w:val="2"/>
              </w:rPr>
              <w:t>核算</w:t>
            </w:r>
          </w:p>
          <w:p w14:paraId="35589A57">
            <w:pPr>
              <w:pStyle w:val="6"/>
              <w:spacing w:before="78" w:line="230" w:lineRule="auto"/>
              <w:ind w:left="114"/>
            </w:pPr>
            <w:r>
              <w:rPr>
                <w:b/>
                <w:bCs/>
                <w:spacing w:val="3"/>
              </w:rPr>
              <w:t>方法</w:t>
            </w:r>
          </w:p>
        </w:tc>
        <w:tc>
          <w:tcPr>
            <w:tcW w:w="1108" w:type="dxa"/>
            <w:vAlign w:val="top"/>
          </w:tcPr>
          <w:p w14:paraId="442371DD">
            <w:pPr>
              <w:pStyle w:val="6"/>
              <w:spacing w:before="221" w:line="299" w:lineRule="auto"/>
              <w:ind w:left="146" w:right="130" w:hanging="10"/>
              <w:rPr>
                <w:rFonts w:ascii="Times New Roman" w:hAnsi="Times New Roman" w:eastAsia="Times New Roman" w:cs="Times New Roman"/>
              </w:rPr>
            </w:pPr>
            <w:r>
              <w:rPr>
                <w:b/>
                <w:bCs/>
                <w:spacing w:val="6"/>
              </w:rPr>
              <w:t>废气产生</w:t>
            </w:r>
            <w:r>
              <w:rPr>
                <w:spacing w:val="1"/>
              </w:rPr>
              <w:t xml:space="preserve"> </w:t>
            </w:r>
            <w:r>
              <w:rPr>
                <w:b/>
                <w:bCs/>
                <w:spacing w:val="3"/>
              </w:rPr>
              <w:t>量</w:t>
            </w:r>
            <w:r>
              <w:rPr>
                <w:rFonts w:ascii="Times New Roman" w:hAnsi="Times New Roman" w:eastAsia="Times New Roman" w:cs="Times New Roman"/>
                <w:b/>
                <w:bCs/>
                <w:spacing w:val="3"/>
              </w:rPr>
              <w:t>/(m</w:t>
            </w:r>
            <w:r>
              <w:rPr>
                <w:rFonts w:ascii="Times New Roman" w:hAnsi="Times New Roman" w:eastAsia="Times New Roman" w:cs="Times New Roman"/>
                <w:b/>
                <w:bCs/>
                <w:spacing w:val="3"/>
                <w:position w:val="6"/>
                <w:sz w:val="13"/>
                <w:szCs w:val="13"/>
              </w:rPr>
              <w:t>3</w:t>
            </w:r>
            <w:r>
              <w:rPr>
                <w:rFonts w:ascii="Times New Roman" w:hAnsi="Times New Roman" w:eastAsia="Times New Roman" w:cs="Times New Roman"/>
                <w:b/>
                <w:bCs/>
                <w:spacing w:val="3"/>
              </w:rPr>
              <w:t>/h)</w:t>
            </w:r>
          </w:p>
        </w:tc>
        <w:tc>
          <w:tcPr>
            <w:tcW w:w="1109" w:type="dxa"/>
            <w:vAlign w:val="top"/>
          </w:tcPr>
          <w:p w14:paraId="702BE50C">
            <w:pPr>
              <w:pStyle w:val="6"/>
              <w:spacing w:before="221" w:line="318" w:lineRule="auto"/>
              <w:ind w:left="161" w:right="131" w:hanging="23"/>
              <w:rPr>
                <w:rFonts w:ascii="Times New Roman" w:hAnsi="Times New Roman" w:eastAsia="Times New Roman" w:cs="Times New Roman"/>
              </w:rPr>
            </w:pPr>
            <w:r>
              <w:rPr>
                <w:b/>
                <w:bCs/>
                <w:spacing w:val="6"/>
              </w:rPr>
              <w:t>产生浓度</w:t>
            </w:r>
            <w:r>
              <w:rPr>
                <w:spacing w:val="1"/>
              </w:rPr>
              <w:t xml:space="preserve"> </w:t>
            </w:r>
            <w:r>
              <w:rPr>
                <w:rFonts w:ascii="Times New Roman" w:hAnsi="Times New Roman" w:eastAsia="Times New Roman" w:cs="Times New Roman"/>
                <w:b/>
                <w:bCs/>
                <w:spacing w:val="6"/>
              </w:rPr>
              <w:t>/(</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6"/>
                <w:sz w:val="13"/>
                <w:szCs w:val="13"/>
              </w:rPr>
              <w:t>3</w:t>
            </w:r>
            <w:r>
              <w:rPr>
                <w:rFonts w:ascii="Times New Roman" w:hAnsi="Times New Roman" w:eastAsia="Times New Roman" w:cs="Times New Roman"/>
                <w:b/>
                <w:bCs/>
                <w:spacing w:val="6"/>
              </w:rPr>
              <w:t>)</w:t>
            </w:r>
          </w:p>
        </w:tc>
        <w:tc>
          <w:tcPr>
            <w:tcW w:w="1158" w:type="dxa"/>
            <w:vAlign w:val="top"/>
          </w:tcPr>
          <w:p w14:paraId="1B3A9301">
            <w:pPr>
              <w:pStyle w:val="6"/>
              <w:spacing w:before="221" w:line="325" w:lineRule="auto"/>
              <w:ind w:left="278" w:right="261" w:hanging="11"/>
              <w:rPr>
                <w:rFonts w:ascii="Times New Roman" w:hAnsi="Times New Roman" w:eastAsia="Times New Roman" w:cs="Times New Roman"/>
              </w:rPr>
            </w:pPr>
            <w:r>
              <w:rPr>
                <w:b/>
                <w:bCs/>
                <w:spacing w:val="5"/>
              </w:rPr>
              <w:t>产生量</w:t>
            </w:r>
            <w:r>
              <w:t xml:space="preserve"> </w:t>
            </w:r>
            <w:r>
              <w:rPr>
                <w:rFonts w:ascii="Times New Roman" w:hAnsi="Times New Roman" w:eastAsia="Times New Roman" w:cs="Times New Roman"/>
                <w:b/>
                <w:bCs/>
                <w:spacing w:val="5"/>
              </w:rPr>
              <w:t>/(</w:t>
            </w:r>
            <w:r>
              <w:rPr>
                <w:rFonts w:ascii="Times New Roman" w:hAnsi="Times New Roman" w:eastAsia="Times New Roman" w:cs="Times New Roman"/>
                <w:b/>
                <w:bCs/>
              </w:rPr>
              <w:t>kg</w:t>
            </w:r>
            <w:r>
              <w:rPr>
                <w:rFonts w:ascii="Times New Roman" w:hAnsi="Times New Roman" w:eastAsia="Times New Roman" w:cs="Times New Roman"/>
                <w:b/>
                <w:bCs/>
                <w:spacing w:val="5"/>
              </w:rPr>
              <w:t>/h)</w:t>
            </w:r>
          </w:p>
        </w:tc>
        <w:tc>
          <w:tcPr>
            <w:tcW w:w="1188" w:type="dxa"/>
            <w:vAlign w:val="top"/>
          </w:tcPr>
          <w:p w14:paraId="271F992E">
            <w:pPr>
              <w:spacing w:line="317" w:lineRule="auto"/>
              <w:rPr>
                <w:rFonts w:ascii="Arial"/>
                <w:sz w:val="21"/>
              </w:rPr>
            </w:pPr>
          </w:p>
          <w:p w14:paraId="48BF582E">
            <w:pPr>
              <w:pStyle w:val="6"/>
              <w:spacing w:before="65" w:line="239" w:lineRule="auto"/>
              <w:ind w:left="391"/>
            </w:pPr>
            <w:r>
              <w:rPr>
                <w:b/>
                <w:bCs/>
                <w:spacing w:val="2"/>
              </w:rPr>
              <w:t>工艺</w:t>
            </w:r>
          </w:p>
        </w:tc>
        <w:tc>
          <w:tcPr>
            <w:tcW w:w="593" w:type="dxa"/>
            <w:vAlign w:val="top"/>
          </w:tcPr>
          <w:p w14:paraId="3D081EC7">
            <w:pPr>
              <w:pStyle w:val="6"/>
              <w:spacing w:before="58" w:line="229" w:lineRule="auto"/>
              <w:ind w:left="202"/>
            </w:pPr>
            <w:r>
              <w:rPr>
                <w:b/>
                <w:bCs/>
                <w:spacing w:val="-3"/>
              </w:rPr>
              <w:t>效</w:t>
            </w:r>
          </w:p>
          <w:p w14:paraId="328C3625">
            <w:pPr>
              <w:pStyle w:val="6"/>
              <w:spacing w:before="78" w:line="228" w:lineRule="auto"/>
              <w:ind w:left="198"/>
            </w:pPr>
            <w:r>
              <w:rPr>
                <w:b/>
                <w:bCs/>
                <w:spacing w:val="-3"/>
              </w:rPr>
              <w:t>率</w:t>
            </w:r>
          </w:p>
          <w:p w14:paraId="58A32EC9">
            <w:pPr>
              <w:spacing w:before="114" w:line="195" w:lineRule="auto"/>
              <w:ind w:left="160"/>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w:t>
            </w:r>
          </w:p>
        </w:tc>
        <w:tc>
          <w:tcPr>
            <w:tcW w:w="744" w:type="dxa"/>
            <w:vAlign w:val="top"/>
          </w:tcPr>
          <w:p w14:paraId="3B0056F2">
            <w:pPr>
              <w:pStyle w:val="6"/>
              <w:spacing w:before="222" w:line="228" w:lineRule="auto"/>
              <w:ind w:left="170"/>
            </w:pPr>
            <w:r>
              <w:rPr>
                <w:b/>
                <w:bCs/>
                <w:spacing w:val="2"/>
              </w:rPr>
              <w:t>核算</w:t>
            </w:r>
          </w:p>
          <w:p w14:paraId="31F2FAE9">
            <w:pPr>
              <w:pStyle w:val="6"/>
              <w:spacing w:before="78" w:line="230" w:lineRule="auto"/>
              <w:ind w:left="168"/>
            </w:pPr>
            <w:r>
              <w:rPr>
                <w:b/>
                <w:bCs/>
                <w:spacing w:val="3"/>
              </w:rPr>
              <w:t>方法</w:t>
            </w:r>
          </w:p>
        </w:tc>
        <w:tc>
          <w:tcPr>
            <w:tcW w:w="1300" w:type="dxa"/>
            <w:vAlign w:val="top"/>
          </w:tcPr>
          <w:p w14:paraId="31F6EFB9">
            <w:pPr>
              <w:pStyle w:val="6"/>
              <w:spacing w:before="221" w:line="299" w:lineRule="auto"/>
              <w:ind w:left="272" w:right="122" w:hanging="144"/>
            </w:pPr>
            <w:r>
              <w:rPr>
                <w:b/>
                <w:bCs/>
                <w:spacing w:val="6"/>
              </w:rPr>
              <w:t>废气排放量</w:t>
            </w:r>
            <w:r>
              <w:rPr>
                <w:spacing w:val="2"/>
              </w:rPr>
              <w:t xml:space="preserve"> </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6"/>
                <w:sz w:val="13"/>
                <w:szCs w:val="13"/>
              </w:rPr>
              <w:t>3</w:t>
            </w:r>
            <w:r>
              <w:rPr>
                <w:rFonts w:ascii="Times New Roman" w:hAnsi="Times New Roman" w:eastAsia="Times New Roman" w:cs="Times New Roman"/>
                <w:b/>
                <w:bCs/>
                <w:spacing w:val="2"/>
              </w:rPr>
              <w:t>/h</w:t>
            </w:r>
            <w:r>
              <w:rPr>
                <w:b/>
                <w:bCs/>
                <w:spacing w:val="2"/>
              </w:rPr>
              <w:t>）</w:t>
            </w:r>
          </w:p>
        </w:tc>
        <w:tc>
          <w:tcPr>
            <w:tcW w:w="1134" w:type="dxa"/>
            <w:vAlign w:val="top"/>
          </w:tcPr>
          <w:p w14:paraId="119CD1A6">
            <w:pPr>
              <w:pStyle w:val="6"/>
              <w:spacing w:before="221" w:line="318" w:lineRule="auto"/>
              <w:ind w:left="177" w:right="140" w:hanging="23"/>
              <w:rPr>
                <w:rFonts w:ascii="Times New Roman" w:hAnsi="Times New Roman" w:eastAsia="Times New Roman" w:cs="Times New Roman"/>
              </w:rPr>
            </w:pPr>
            <w:r>
              <w:rPr>
                <w:b/>
                <w:bCs/>
                <w:spacing w:val="6"/>
              </w:rPr>
              <w:t>排放浓度</w:t>
            </w:r>
            <w:r>
              <w:rPr>
                <w:spacing w:val="1"/>
              </w:rPr>
              <w:t xml:space="preserve"> </w:t>
            </w:r>
            <w:r>
              <w:rPr>
                <w:rFonts w:ascii="Times New Roman" w:hAnsi="Times New Roman" w:eastAsia="Times New Roman" w:cs="Times New Roman"/>
                <w:b/>
                <w:bCs/>
                <w:spacing w:val="5"/>
              </w:rPr>
              <w:t>/(</w:t>
            </w:r>
            <w:r>
              <w:rPr>
                <w:rFonts w:ascii="Times New Roman" w:hAnsi="Times New Roman" w:eastAsia="Times New Roman" w:cs="Times New Roman"/>
                <w:b/>
                <w:bCs/>
              </w:rPr>
              <w:t>mg</w:t>
            </w:r>
            <w:r>
              <w:rPr>
                <w:rFonts w:ascii="Times New Roman" w:hAnsi="Times New Roman" w:eastAsia="Times New Roman" w:cs="Times New Roman"/>
                <w:b/>
                <w:bCs/>
                <w:spacing w:val="5"/>
              </w:rPr>
              <w:t>/m</w:t>
            </w:r>
            <w:r>
              <w:rPr>
                <w:rFonts w:ascii="Times New Roman" w:hAnsi="Times New Roman" w:eastAsia="Times New Roman" w:cs="Times New Roman"/>
                <w:b/>
                <w:bCs/>
                <w:spacing w:val="5"/>
                <w:position w:val="6"/>
                <w:sz w:val="13"/>
                <w:szCs w:val="13"/>
              </w:rPr>
              <w:t>3</w:t>
            </w:r>
            <w:r>
              <w:rPr>
                <w:rFonts w:ascii="Times New Roman" w:hAnsi="Times New Roman" w:eastAsia="Times New Roman" w:cs="Times New Roman"/>
                <w:b/>
                <w:bCs/>
                <w:spacing w:val="5"/>
              </w:rPr>
              <w:t>)</w:t>
            </w:r>
          </w:p>
        </w:tc>
        <w:tc>
          <w:tcPr>
            <w:tcW w:w="1445" w:type="dxa"/>
            <w:vAlign w:val="top"/>
          </w:tcPr>
          <w:p w14:paraId="30D29B56">
            <w:pPr>
              <w:spacing w:line="317" w:lineRule="auto"/>
              <w:rPr>
                <w:rFonts w:ascii="Arial"/>
                <w:sz w:val="21"/>
              </w:rPr>
            </w:pPr>
          </w:p>
          <w:p w14:paraId="063D2DCA">
            <w:pPr>
              <w:pStyle w:val="6"/>
              <w:spacing w:before="65" w:line="221" w:lineRule="auto"/>
              <w:ind w:left="119"/>
              <w:rPr>
                <w:rFonts w:ascii="Times New Roman" w:hAnsi="Times New Roman" w:eastAsia="Times New Roman" w:cs="Times New Roman"/>
              </w:rPr>
            </w:pPr>
            <w:r>
              <w:rPr>
                <w:b/>
                <w:bCs/>
                <w:spacing w:val="5"/>
              </w:rPr>
              <w:t>排放量</w:t>
            </w:r>
            <w:r>
              <w:rPr>
                <w:rFonts w:ascii="Times New Roman" w:hAnsi="Times New Roman" w:eastAsia="Times New Roman" w:cs="Times New Roman"/>
                <w:b/>
                <w:bCs/>
                <w:spacing w:val="5"/>
              </w:rPr>
              <w:t>/(</w:t>
            </w:r>
            <w:r>
              <w:rPr>
                <w:rFonts w:ascii="Times New Roman" w:hAnsi="Times New Roman" w:eastAsia="Times New Roman" w:cs="Times New Roman"/>
                <w:b/>
                <w:bCs/>
              </w:rPr>
              <w:t>kg</w:t>
            </w:r>
            <w:r>
              <w:rPr>
                <w:rFonts w:ascii="Times New Roman" w:hAnsi="Times New Roman" w:eastAsia="Times New Roman" w:cs="Times New Roman"/>
                <w:b/>
                <w:bCs/>
                <w:spacing w:val="5"/>
              </w:rPr>
              <w:t>/h)</w:t>
            </w:r>
          </w:p>
        </w:tc>
        <w:tc>
          <w:tcPr>
            <w:tcW w:w="648" w:type="dxa"/>
            <w:vMerge w:val="continue"/>
            <w:tcBorders>
              <w:top w:val="nil"/>
            </w:tcBorders>
            <w:vAlign w:val="top"/>
          </w:tcPr>
          <w:p w14:paraId="45CFC36A">
            <w:pPr>
              <w:rPr>
                <w:rFonts w:ascii="Arial"/>
                <w:sz w:val="21"/>
              </w:rPr>
            </w:pPr>
          </w:p>
        </w:tc>
      </w:tr>
      <w:tr w14:paraId="10EFA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08" w:type="dxa"/>
            <w:vMerge w:val="restart"/>
            <w:tcBorders>
              <w:bottom w:val="nil"/>
            </w:tcBorders>
            <w:vAlign w:val="top"/>
          </w:tcPr>
          <w:p w14:paraId="1699677C">
            <w:pPr>
              <w:spacing w:line="241" w:lineRule="auto"/>
              <w:rPr>
                <w:rFonts w:ascii="Arial"/>
                <w:sz w:val="21"/>
              </w:rPr>
            </w:pPr>
          </w:p>
          <w:p w14:paraId="38D136BF">
            <w:pPr>
              <w:spacing w:line="241" w:lineRule="auto"/>
              <w:rPr>
                <w:rFonts w:ascii="Arial"/>
                <w:sz w:val="21"/>
              </w:rPr>
            </w:pPr>
          </w:p>
          <w:p w14:paraId="20A08F29">
            <w:pPr>
              <w:pStyle w:val="6"/>
              <w:spacing w:before="65" w:line="229" w:lineRule="auto"/>
              <w:ind w:left="149"/>
            </w:pPr>
            <w:r>
              <w:rPr>
                <w:spacing w:val="4"/>
              </w:rPr>
              <w:t>猪舍</w:t>
            </w:r>
          </w:p>
        </w:tc>
        <w:tc>
          <w:tcPr>
            <w:tcW w:w="646" w:type="dxa"/>
            <w:vMerge w:val="restart"/>
            <w:tcBorders>
              <w:bottom w:val="nil"/>
            </w:tcBorders>
            <w:vAlign w:val="top"/>
          </w:tcPr>
          <w:p w14:paraId="28326CED">
            <w:pPr>
              <w:spacing w:line="458" w:lineRule="auto"/>
              <w:rPr>
                <w:rFonts w:ascii="Arial"/>
                <w:sz w:val="21"/>
              </w:rPr>
            </w:pPr>
          </w:p>
          <w:p w14:paraId="24C2BB5E">
            <w:pPr>
              <w:spacing w:before="58" w:line="274"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35" w:type="dxa"/>
            <w:vMerge w:val="restart"/>
            <w:tcBorders>
              <w:bottom w:val="nil"/>
            </w:tcBorders>
            <w:vAlign w:val="top"/>
          </w:tcPr>
          <w:p w14:paraId="06C4A05E">
            <w:pPr>
              <w:spacing w:line="319" w:lineRule="auto"/>
              <w:rPr>
                <w:rFonts w:ascii="Arial"/>
                <w:sz w:val="21"/>
              </w:rPr>
            </w:pPr>
          </w:p>
          <w:p w14:paraId="07E37A3F">
            <w:pPr>
              <w:pStyle w:val="6"/>
              <w:spacing w:before="65" w:line="305" w:lineRule="auto"/>
              <w:ind w:left="317" w:right="208" w:hanging="104"/>
            </w:pPr>
            <w:r>
              <w:rPr>
                <w:spacing w:val="3"/>
              </w:rPr>
              <w:t>无组</w:t>
            </w:r>
            <w:r>
              <w:t xml:space="preserve"> 织</w:t>
            </w:r>
          </w:p>
        </w:tc>
        <w:tc>
          <w:tcPr>
            <w:tcW w:w="742" w:type="dxa"/>
            <w:vAlign w:val="top"/>
          </w:tcPr>
          <w:p w14:paraId="3431646A">
            <w:pPr>
              <w:spacing w:before="171" w:line="233" w:lineRule="exact"/>
              <w:ind w:left="179"/>
              <w:rPr>
                <w:rFonts w:ascii="Times New Roman" w:hAnsi="Times New Roman" w:eastAsia="Times New Roman" w:cs="Times New Roman"/>
                <w:sz w:val="13"/>
                <w:szCs w:val="13"/>
              </w:rPr>
            </w:pPr>
            <w:r>
              <w:rPr>
                <w:rFonts w:ascii="Times New Roman" w:hAnsi="Times New Roman" w:eastAsia="Times New Roman" w:cs="Times New Roman"/>
                <w:spacing w:val="6"/>
                <w:position w:val="1"/>
                <w:sz w:val="20"/>
                <w:szCs w:val="20"/>
              </w:rPr>
              <w:t>NH</w:t>
            </w:r>
            <w:r>
              <w:rPr>
                <w:rFonts w:ascii="Times New Roman" w:hAnsi="Times New Roman" w:eastAsia="Times New Roman" w:cs="Times New Roman"/>
                <w:spacing w:val="6"/>
                <w:sz w:val="13"/>
                <w:szCs w:val="13"/>
              </w:rPr>
              <w:t>3</w:t>
            </w:r>
          </w:p>
        </w:tc>
        <w:tc>
          <w:tcPr>
            <w:tcW w:w="638" w:type="dxa"/>
            <w:vMerge w:val="restart"/>
            <w:tcBorders>
              <w:bottom w:val="nil"/>
            </w:tcBorders>
            <w:vAlign w:val="top"/>
          </w:tcPr>
          <w:p w14:paraId="72C12979">
            <w:pPr>
              <w:pStyle w:val="6"/>
              <w:spacing w:before="223" w:line="228" w:lineRule="auto"/>
              <w:ind w:left="113"/>
            </w:pPr>
            <w:r>
              <w:rPr>
                <w:spacing w:val="4"/>
              </w:rPr>
              <w:t>产污</w:t>
            </w:r>
          </w:p>
          <w:p w14:paraId="7C2AC5BE">
            <w:pPr>
              <w:pStyle w:val="6"/>
              <w:spacing w:before="77" w:line="306" w:lineRule="auto"/>
              <w:ind w:left="219" w:right="110" w:hanging="102"/>
            </w:pPr>
            <w:r>
              <w:rPr>
                <w:spacing w:val="2"/>
              </w:rPr>
              <w:t>系数</w:t>
            </w:r>
            <w:r>
              <w:t xml:space="preserve"> 法</w:t>
            </w:r>
          </w:p>
        </w:tc>
        <w:tc>
          <w:tcPr>
            <w:tcW w:w="1108" w:type="dxa"/>
            <w:vAlign w:val="top"/>
          </w:tcPr>
          <w:p w14:paraId="2C090690">
            <w:pPr>
              <w:spacing w:before="101"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9" w:type="dxa"/>
            <w:vAlign w:val="top"/>
          </w:tcPr>
          <w:p w14:paraId="64610A4E">
            <w:pPr>
              <w:spacing w:before="101"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vAlign w:val="top"/>
          </w:tcPr>
          <w:p w14:paraId="5D4E6029">
            <w:pPr>
              <w:spacing w:before="101" w:line="274"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0.058</w:t>
            </w:r>
          </w:p>
        </w:tc>
        <w:tc>
          <w:tcPr>
            <w:tcW w:w="1188" w:type="dxa"/>
            <w:vMerge w:val="restart"/>
            <w:tcBorders>
              <w:bottom w:val="nil"/>
            </w:tcBorders>
            <w:vAlign w:val="top"/>
          </w:tcPr>
          <w:p w14:paraId="7EA8E069">
            <w:pPr>
              <w:pStyle w:val="6"/>
              <w:spacing w:before="61" w:line="301" w:lineRule="auto"/>
              <w:ind w:left="113" w:right="105" w:firstLine="63"/>
              <w:jc w:val="both"/>
            </w:pPr>
            <w:r>
              <w:rPr>
                <w:spacing w:val="7"/>
              </w:rPr>
              <w:t>饲料中添</w:t>
            </w:r>
            <w:r>
              <w:rPr>
                <w:spacing w:val="1"/>
              </w:rPr>
              <w:t xml:space="preserve"> </w:t>
            </w:r>
            <w:r>
              <w:rPr>
                <w:spacing w:val="-4"/>
              </w:rPr>
              <w:t>加</w:t>
            </w:r>
            <w:r>
              <w:rPr>
                <w:spacing w:val="-43"/>
              </w:rPr>
              <w:t xml:space="preserve"> </w:t>
            </w:r>
            <w:r>
              <w:rPr>
                <w:rFonts w:ascii="Times New Roman" w:hAnsi="Times New Roman" w:eastAsia="Times New Roman" w:cs="Times New Roman"/>
                <w:spacing w:val="-4"/>
              </w:rPr>
              <w:t>EM</w:t>
            </w:r>
            <w:r>
              <w:rPr>
                <w:rFonts w:ascii="Times New Roman" w:hAnsi="Times New Roman" w:eastAsia="Times New Roman" w:cs="Times New Roman"/>
                <w:spacing w:val="-24"/>
              </w:rPr>
              <w:t xml:space="preserve"> </w:t>
            </w:r>
            <w:r>
              <w:rPr>
                <w:spacing w:val="-4"/>
              </w:rPr>
              <w:t>，喷</w:t>
            </w:r>
            <w:r>
              <w:t xml:space="preserve"> </w:t>
            </w:r>
            <w:r>
              <w:rPr>
                <w:spacing w:val="23"/>
              </w:rPr>
              <w:t>洒生物除</w:t>
            </w:r>
          </w:p>
          <w:p w14:paraId="03F4D67E">
            <w:pPr>
              <w:pStyle w:val="6"/>
              <w:spacing w:line="227" w:lineRule="auto"/>
              <w:ind w:left="389"/>
            </w:pPr>
            <w:r>
              <w:rPr>
                <w:spacing w:val="4"/>
              </w:rPr>
              <w:t>臭剂</w:t>
            </w:r>
          </w:p>
        </w:tc>
        <w:tc>
          <w:tcPr>
            <w:tcW w:w="593" w:type="dxa"/>
            <w:vAlign w:val="top"/>
          </w:tcPr>
          <w:p w14:paraId="4C002311">
            <w:pPr>
              <w:spacing w:before="101" w:line="274" w:lineRule="exact"/>
              <w:ind w:left="1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96.3</w:t>
            </w:r>
          </w:p>
        </w:tc>
        <w:tc>
          <w:tcPr>
            <w:tcW w:w="744" w:type="dxa"/>
            <w:vMerge w:val="restart"/>
            <w:tcBorders>
              <w:bottom w:val="nil"/>
            </w:tcBorders>
            <w:vAlign w:val="top"/>
          </w:tcPr>
          <w:p w14:paraId="0852CB97">
            <w:pPr>
              <w:spacing w:line="323" w:lineRule="auto"/>
              <w:rPr>
                <w:rFonts w:ascii="Arial"/>
                <w:sz w:val="21"/>
              </w:rPr>
            </w:pPr>
          </w:p>
          <w:p w14:paraId="7B053641">
            <w:pPr>
              <w:spacing w:line="323" w:lineRule="auto"/>
              <w:rPr>
                <w:rFonts w:ascii="Arial"/>
                <w:sz w:val="21"/>
              </w:rPr>
            </w:pPr>
          </w:p>
          <w:p w14:paraId="5FF92E08">
            <w:pPr>
              <w:pStyle w:val="6"/>
              <w:spacing w:before="65" w:line="229" w:lineRule="auto"/>
              <w:ind w:left="168"/>
            </w:pPr>
            <w:r>
              <w:rPr>
                <w:spacing w:val="4"/>
              </w:rPr>
              <w:t>物料</w:t>
            </w:r>
          </w:p>
          <w:p w14:paraId="161D3F42">
            <w:pPr>
              <w:pStyle w:val="6"/>
              <w:spacing w:before="241" w:line="456" w:lineRule="auto"/>
              <w:ind w:left="274" w:right="161" w:hanging="106"/>
            </w:pPr>
            <w:r>
              <w:rPr>
                <w:spacing w:val="4"/>
              </w:rPr>
              <w:t>衡算</w:t>
            </w:r>
            <w:r>
              <w:t xml:space="preserve"> 法</w:t>
            </w:r>
          </w:p>
        </w:tc>
        <w:tc>
          <w:tcPr>
            <w:tcW w:w="1300" w:type="dxa"/>
            <w:vAlign w:val="top"/>
          </w:tcPr>
          <w:p w14:paraId="306F3E30">
            <w:pPr>
              <w:spacing w:before="101"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4" w:type="dxa"/>
            <w:vAlign w:val="top"/>
          </w:tcPr>
          <w:p w14:paraId="7CC9F62B">
            <w:pPr>
              <w:spacing w:before="101" w:line="27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14:paraId="0E789AC6">
            <w:pPr>
              <w:spacing w:before="101"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648" w:type="dxa"/>
            <w:vMerge w:val="restart"/>
            <w:tcBorders>
              <w:bottom w:val="nil"/>
            </w:tcBorders>
            <w:vAlign w:val="top"/>
          </w:tcPr>
          <w:p w14:paraId="1CB37018">
            <w:pPr>
              <w:spacing w:before="274" w:line="274" w:lineRule="exact"/>
              <w:ind w:left="1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8760</w:t>
            </w:r>
          </w:p>
        </w:tc>
      </w:tr>
      <w:tr w14:paraId="735AD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708" w:type="dxa"/>
            <w:vMerge w:val="continue"/>
            <w:tcBorders>
              <w:top w:val="nil"/>
            </w:tcBorders>
            <w:vAlign w:val="top"/>
          </w:tcPr>
          <w:p w14:paraId="35A20CD5">
            <w:pPr>
              <w:rPr>
                <w:rFonts w:ascii="Arial"/>
                <w:sz w:val="21"/>
              </w:rPr>
            </w:pPr>
          </w:p>
        </w:tc>
        <w:tc>
          <w:tcPr>
            <w:tcW w:w="646" w:type="dxa"/>
            <w:vMerge w:val="continue"/>
            <w:tcBorders>
              <w:top w:val="nil"/>
            </w:tcBorders>
            <w:vAlign w:val="top"/>
          </w:tcPr>
          <w:p w14:paraId="1213C958">
            <w:pPr>
              <w:rPr>
                <w:rFonts w:ascii="Arial"/>
                <w:sz w:val="21"/>
              </w:rPr>
            </w:pPr>
          </w:p>
        </w:tc>
        <w:tc>
          <w:tcPr>
            <w:tcW w:w="835" w:type="dxa"/>
            <w:vMerge w:val="continue"/>
            <w:tcBorders>
              <w:top w:val="nil"/>
            </w:tcBorders>
            <w:vAlign w:val="top"/>
          </w:tcPr>
          <w:p w14:paraId="28FF50EF">
            <w:pPr>
              <w:rPr>
                <w:rFonts w:ascii="Arial"/>
                <w:sz w:val="21"/>
              </w:rPr>
            </w:pPr>
          </w:p>
        </w:tc>
        <w:tc>
          <w:tcPr>
            <w:tcW w:w="742" w:type="dxa"/>
            <w:vAlign w:val="top"/>
          </w:tcPr>
          <w:p w14:paraId="662AEFB9">
            <w:pPr>
              <w:spacing w:line="283" w:lineRule="auto"/>
              <w:rPr>
                <w:rFonts w:ascii="Arial"/>
                <w:sz w:val="21"/>
              </w:rPr>
            </w:pPr>
          </w:p>
          <w:p w14:paraId="57AA627B">
            <w:pPr>
              <w:spacing w:before="58" w:line="242"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638" w:type="dxa"/>
            <w:vMerge w:val="continue"/>
            <w:tcBorders>
              <w:top w:val="nil"/>
            </w:tcBorders>
            <w:vAlign w:val="top"/>
          </w:tcPr>
          <w:p w14:paraId="62D72457">
            <w:pPr>
              <w:rPr>
                <w:rFonts w:ascii="Arial"/>
                <w:sz w:val="21"/>
              </w:rPr>
            </w:pPr>
          </w:p>
        </w:tc>
        <w:tc>
          <w:tcPr>
            <w:tcW w:w="1108" w:type="dxa"/>
            <w:vAlign w:val="top"/>
          </w:tcPr>
          <w:p w14:paraId="6044AC7A">
            <w:pPr>
              <w:spacing w:before="276"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9" w:type="dxa"/>
            <w:vAlign w:val="top"/>
          </w:tcPr>
          <w:p w14:paraId="35485496">
            <w:pPr>
              <w:spacing w:before="276"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vAlign w:val="top"/>
          </w:tcPr>
          <w:p w14:paraId="69F975E3">
            <w:pPr>
              <w:spacing w:before="276" w:line="274"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0.0035</w:t>
            </w:r>
          </w:p>
        </w:tc>
        <w:tc>
          <w:tcPr>
            <w:tcW w:w="1188" w:type="dxa"/>
            <w:vMerge w:val="continue"/>
            <w:tcBorders>
              <w:top w:val="nil"/>
            </w:tcBorders>
            <w:vAlign w:val="top"/>
          </w:tcPr>
          <w:p w14:paraId="389ECDB6">
            <w:pPr>
              <w:rPr>
                <w:rFonts w:ascii="Arial"/>
                <w:sz w:val="21"/>
              </w:rPr>
            </w:pPr>
          </w:p>
        </w:tc>
        <w:tc>
          <w:tcPr>
            <w:tcW w:w="593" w:type="dxa"/>
            <w:vAlign w:val="top"/>
          </w:tcPr>
          <w:p w14:paraId="06BC18D7">
            <w:pPr>
              <w:spacing w:before="276" w:line="274" w:lineRule="exact"/>
              <w:ind w:left="1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94.5</w:t>
            </w:r>
          </w:p>
        </w:tc>
        <w:tc>
          <w:tcPr>
            <w:tcW w:w="744" w:type="dxa"/>
            <w:vMerge w:val="continue"/>
            <w:tcBorders>
              <w:top w:val="nil"/>
              <w:bottom w:val="nil"/>
            </w:tcBorders>
            <w:vAlign w:val="top"/>
          </w:tcPr>
          <w:p w14:paraId="2F11C669">
            <w:pPr>
              <w:rPr>
                <w:rFonts w:ascii="Arial"/>
                <w:sz w:val="21"/>
              </w:rPr>
            </w:pPr>
          </w:p>
        </w:tc>
        <w:tc>
          <w:tcPr>
            <w:tcW w:w="1300" w:type="dxa"/>
            <w:vAlign w:val="top"/>
          </w:tcPr>
          <w:p w14:paraId="239B107C">
            <w:pPr>
              <w:spacing w:before="276"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4" w:type="dxa"/>
            <w:vAlign w:val="top"/>
          </w:tcPr>
          <w:p w14:paraId="13EE91D0">
            <w:pPr>
              <w:spacing w:before="276" w:line="27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14:paraId="03628EE2">
            <w:pPr>
              <w:spacing w:before="276"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w:t>
            </w:r>
          </w:p>
        </w:tc>
        <w:tc>
          <w:tcPr>
            <w:tcW w:w="648" w:type="dxa"/>
            <w:vMerge w:val="continue"/>
            <w:tcBorders>
              <w:top w:val="nil"/>
            </w:tcBorders>
            <w:vAlign w:val="top"/>
          </w:tcPr>
          <w:p w14:paraId="0D589032">
            <w:pPr>
              <w:rPr>
                <w:rFonts w:ascii="Arial"/>
                <w:sz w:val="21"/>
              </w:rPr>
            </w:pPr>
          </w:p>
        </w:tc>
      </w:tr>
      <w:tr w14:paraId="51181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708" w:type="dxa"/>
            <w:vMerge w:val="restart"/>
            <w:tcBorders>
              <w:bottom w:val="nil"/>
            </w:tcBorders>
            <w:vAlign w:val="top"/>
          </w:tcPr>
          <w:p w14:paraId="68328AE5">
            <w:pPr>
              <w:pStyle w:val="6"/>
              <w:spacing w:before="62" w:line="228" w:lineRule="auto"/>
              <w:ind w:left="150"/>
            </w:pPr>
            <w:r>
              <w:rPr>
                <w:spacing w:val="4"/>
              </w:rPr>
              <w:t>有机</w:t>
            </w:r>
          </w:p>
          <w:p w14:paraId="3EFE6AB5">
            <w:pPr>
              <w:pStyle w:val="6"/>
              <w:spacing w:before="76" w:line="228" w:lineRule="auto"/>
              <w:ind w:left="149"/>
            </w:pPr>
            <w:r>
              <w:rPr>
                <w:spacing w:val="4"/>
              </w:rPr>
              <w:t>肥发</w:t>
            </w:r>
          </w:p>
          <w:p w14:paraId="236D0BE1">
            <w:pPr>
              <w:pStyle w:val="6"/>
              <w:spacing w:before="79" w:line="270" w:lineRule="auto"/>
              <w:ind w:left="271" w:right="143" w:hanging="121"/>
            </w:pPr>
            <w:r>
              <w:rPr>
                <w:spacing w:val="4"/>
              </w:rPr>
              <w:t>酵车</w:t>
            </w:r>
            <w:r>
              <w:t xml:space="preserve"> 间</w:t>
            </w:r>
          </w:p>
        </w:tc>
        <w:tc>
          <w:tcPr>
            <w:tcW w:w="646" w:type="dxa"/>
            <w:vMerge w:val="restart"/>
            <w:tcBorders>
              <w:bottom w:val="nil"/>
            </w:tcBorders>
            <w:vAlign w:val="top"/>
          </w:tcPr>
          <w:p w14:paraId="4D0A434A">
            <w:pPr>
              <w:pStyle w:val="6"/>
              <w:spacing w:before="223" w:line="228" w:lineRule="auto"/>
              <w:ind w:left="118"/>
            </w:pPr>
            <w:r>
              <w:rPr>
                <w:spacing w:val="3"/>
              </w:rPr>
              <w:t>异位</w:t>
            </w:r>
          </w:p>
          <w:p w14:paraId="45140FF3">
            <w:pPr>
              <w:pStyle w:val="6"/>
              <w:spacing w:before="78" w:line="303" w:lineRule="auto"/>
              <w:ind w:left="219" w:right="115" w:hanging="100"/>
            </w:pPr>
            <w:r>
              <w:rPr>
                <w:spacing w:val="3"/>
              </w:rPr>
              <w:t>发酵</w:t>
            </w:r>
            <w:r>
              <w:t xml:space="preserve"> </w:t>
            </w:r>
            <w:r>
              <w:rPr>
                <w:spacing w:val="2"/>
              </w:rPr>
              <w:t>床</w:t>
            </w:r>
          </w:p>
        </w:tc>
        <w:tc>
          <w:tcPr>
            <w:tcW w:w="835" w:type="dxa"/>
            <w:vMerge w:val="restart"/>
            <w:tcBorders>
              <w:bottom w:val="nil"/>
            </w:tcBorders>
            <w:vAlign w:val="top"/>
          </w:tcPr>
          <w:p w14:paraId="0EB5CB05">
            <w:pPr>
              <w:spacing w:line="319" w:lineRule="auto"/>
              <w:rPr>
                <w:rFonts w:ascii="Arial"/>
                <w:sz w:val="21"/>
              </w:rPr>
            </w:pPr>
          </w:p>
          <w:p w14:paraId="468716A5">
            <w:pPr>
              <w:pStyle w:val="6"/>
              <w:spacing w:before="65" w:line="305" w:lineRule="auto"/>
              <w:ind w:left="317" w:right="208" w:hanging="104"/>
            </w:pPr>
            <w:r>
              <w:rPr>
                <w:spacing w:val="3"/>
              </w:rPr>
              <w:t>无组</w:t>
            </w:r>
            <w:r>
              <w:t xml:space="preserve"> 织</w:t>
            </w:r>
          </w:p>
        </w:tc>
        <w:tc>
          <w:tcPr>
            <w:tcW w:w="742" w:type="dxa"/>
            <w:vAlign w:val="top"/>
          </w:tcPr>
          <w:p w14:paraId="79F6077A">
            <w:pPr>
              <w:spacing w:before="101" w:line="229" w:lineRule="auto"/>
              <w:ind w:left="179"/>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638" w:type="dxa"/>
            <w:vMerge w:val="restart"/>
            <w:tcBorders>
              <w:bottom w:val="nil"/>
            </w:tcBorders>
            <w:vAlign w:val="top"/>
          </w:tcPr>
          <w:p w14:paraId="0F84B20C">
            <w:pPr>
              <w:spacing w:line="318" w:lineRule="auto"/>
              <w:rPr>
                <w:rFonts w:ascii="Arial"/>
                <w:sz w:val="21"/>
              </w:rPr>
            </w:pPr>
          </w:p>
          <w:p w14:paraId="6DA4F80C">
            <w:pPr>
              <w:pStyle w:val="6"/>
              <w:spacing w:before="65" w:line="306" w:lineRule="auto"/>
              <w:ind w:left="219" w:right="110" w:hanging="106"/>
            </w:pPr>
            <w:r>
              <w:rPr>
                <w:spacing w:val="4"/>
              </w:rPr>
              <w:t>类比</w:t>
            </w:r>
            <w:r>
              <w:t xml:space="preserve"> 法</w:t>
            </w:r>
          </w:p>
        </w:tc>
        <w:tc>
          <w:tcPr>
            <w:tcW w:w="1108" w:type="dxa"/>
            <w:vAlign w:val="top"/>
          </w:tcPr>
          <w:p w14:paraId="5F9DB29F">
            <w:pPr>
              <w:spacing w:before="31"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9" w:type="dxa"/>
            <w:vAlign w:val="top"/>
          </w:tcPr>
          <w:p w14:paraId="146836BB">
            <w:pPr>
              <w:spacing w:before="31"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vAlign w:val="top"/>
          </w:tcPr>
          <w:p w14:paraId="153E716D">
            <w:pPr>
              <w:spacing w:before="12" w:line="274" w:lineRule="exact"/>
              <w:ind w:left="3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1188" w:type="dxa"/>
            <w:vMerge w:val="restart"/>
            <w:tcBorders>
              <w:bottom w:val="nil"/>
            </w:tcBorders>
            <w:vAlign w:val="top"/>
          </w:tcPr>
          <w:p w14:paraId="471D2AAA">
            <w:pPr>
              <w:spacing w:line="320" w:lineRule="auto"/>
              <w:rPr>
                <w:rFonts w:ascii="Arial"/>
                <w:sz w:val="21"/>
              </w:rPr>
            </w:pPr>
          </w:p>
          <w:p w14:paraId="6C5ABEF3">
            <w:pPr>
              <w:pStyle w:val="6"/>
              <w:spacing w:before="65" w:line="302" w:lineRule="auto"/>
              <w:ind w:left="295" w:right="175" w:hanging="109"/>
            </w:pPr>
            <w:r>
              <w:rPr>
                <w:spacing w:val="5"/>
              </w:rPr>
              <w:t>喷洒生物</w:t>
            </w:r>
            <w:r>
              <w:t xml:space="preserve"> </w:t>
            </w:r>
            <w:r>
              <w:rPr>
                <w:spacing w:val="2"/>
              </w:rPr>
              <w:t>除臭剂</w:t>
            </w:r>
          </w:p>
        </w:tc>
        <w:tc>
          <w:tcPr>
            <w:tcW w:w="593" w:type="dxa"/>
            <w:vAlign w:val="top"/>
          </w:tcPr>
          <w:p w14:paraId="497DA9FE">
            <w:pPr>
              <w:spacing w:before="31" w:line="274" w:lineRule="exact"/>
              <w:ind w:left="1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92.6</w:t>
            </w:r>
          </w:p>
        </w:tc>
        <w:tc>
          <w:tcPr>
            <w:tcW w:w="744" w:type="dxa"/>
            <w:vMerge w:val="continue"/>
            <w:tcBorders>
              <w:top w:val="nil"/>
              <w:bottom w:val="nil"/>
            </w:tcBorders>
            <w:vAlign w:val="top"/>
          </w:tcPr>
          <w:p w14:paraId="00959DA0">
            <w:pPr>
              <w:rPr>
                <w:rFonts w:ascii="Arial"/>
                <w:sz w:val="21"/>
              </w:rPr>
            </w:pPr>
          </w:p>
        </w:tc>
        <w:tc>
          <w:tcPr>
            <w:tcW w:w="1300" w:type="dxa"/>
            <w:vAlign w:val="top"/>
          </w:tcPr>
          <w:p w14:paraId="17C68E4D">
            <w:pPr>
              <w:spacing w:before="31"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4" w:type="dxa"/>
            <w:vAlign w:val="top"/>
          </w:tcPr>
          <w:p w14:paraId="5CAB12B4">
            <w:pPr>
              <w:spacing w:before="31" w:line="27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14:paraId="34FE1600">
            <w:pPr>
              <w:spacing w:before="12"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0.0014</w:t>
            </w:r>
          </w:p>
        </w:tc>
        <w:tc>
          <w:tcPr>
            <w:tcW w:w="648" w:type="dxa"/>
            <w:vMerge w:val="restart"/>
            <w:tcBorders>
              <w:bottom w:val="nil"/>
            </w:tcBorders>
            <w:vAlign w:val="top"/>
          </w:tcPr>
          <w:p w14:paraId="57AB2ACF">
            <w:pPr>
              <w:spacing w:line="458" w:lineRule="auto"/>
              <w:rPr>
                <w:rFonts w:ascii="Arial"/>
                <w:sz w:val="21"/>
              </w:rPr>
            </w:pPr>
          </w:p>
          <w:p w14:paraId="710203A9">
            <w:pPr>
              <w:spacing w:before="58" w:line="274" w:lineRule="exact"/>
              <w:ind w:left="1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8760</w:t>
            </w:r>
          </w:p>
        </w:tc>
      </w:tr>
      <w:tr w14:paraId="6AD8D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708" w:type="dxa"/>
            <w:vMerge w:val="continue"/>
            <w:tcBorders>
              <w:top w:val="nil"/>
            </w:tcBorders>
            <w:vAlign w:val="top"/>
          </w:tcPr>
          <w:p w14:paraId="47D6973E">
            <w:pPr>
              <w:rPr>
                <w:rFonts w:ascii="Arial"/>
                <w:sz w:val="21"/>
              </w:rPr>
            </w:pPr>
          </w:p>
        </w:tc>
        <w:tc>
          <w:tcPr>
            <w:tcW w:w="646" w:type="dxa"/>
            <w:vMerge w:val="continue"/>
            <w:tcBorders>
              <w:top w:val="nil"/>
            </w:tcBorders>
            <w:vAlign w:val="top"/>
          </w:tcPr>
          <w:p w14:paraId="34EF680A">
            <w:pPr>
              <w:rPr>
                <w:rFonts w:ascii="Arial"/>
                <w:sz w:val="21"/>
              </w:rPr>
            </w:pPr>
          </w:p>
        </w:tc>
        <w:tc>
          <w:tcPr>
            <w:tcW w:w="835" w:type="dxa"/>
            <w:vMerge w:val="continue"/>
            <w:tcBorders>
              <w:top w:val="nil"/>
            </w:tcBorders>
            <w:vAlign w:val="top"/>
          </w:tcPr>
          <w:p w14:paraId="7D7705FF">
            <w:pPr>
              <w:rPr>
                <w:rFonts w:ascii="Arial"/>
                <w:sz w:val="21"/>
              </w:rPr>
            </w:pPr>
          </w:p>
        </w:tc>
        <w:tc>
          <w:tcPr>
            <w:tcW w:w="742" w:type="dxa"/>
            <w:vAlign w:val="top"/>
          </w:tcPr>
          <w:p w14:paraId="570FBF14">
            <w:pPr>
              <w:spacing w:line="357" w:lineRule="auto"/>
              <w:rPr>
                <w:rFonts w:ascii="Arial"/>
                <w:sz w:val="21"/>
              </w:rPr>
            </w:pPr>
          </w:p>
          <w:p w14:paraId="5624D278">
            <w:pPr>
              <w:spacing w:before="58" w:line="242"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638" w:type="dxa"/>
            <w:vMerge w:val="continue"/>
            <w:tcBorders>
              <w:top w:val="nil"/>
            </w:tcBorders>
            <w:vAlign w:val="top"/>
          </w:tcPr>
          <w:p w14:paraId="20F3F87F">
            <w:pPr>
              <w:rPr>
                <w:rFonts w:ascii="Arial"/>
                <w:sz w:val="21"/>
              </w:rPr>
            </w:pPr>
          </w:p>
        </w:tc>
        <w:tc>
          <w:tcPr>
            <w:tcW w:w="1108" w:type="dxa"/>
            <w:vAlign w:val="top"/>
          </w:tcPr>
          <w:p w14:paraId="30E42EDF">
            <w:pPr>
              <w:spacing w:line="291" w:lineRule="auto"/>
              <w:rPr>
                <w:rFonts w:ascii="Arial"/>
                <w:sz w:val="21"/>
              </w:rPr>
            </w:pPr>
          </w:p>
          <w:p w14:paraId="17177805">
            <w:pPr>
              <w:spacing w:before="58"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9" w:type="dxa"/>
            <w:vAlign w:val="top"/>
          </w:tcPr>
          <w:p w14:paraId="072DC4E9">
            <w:pPr>
              <w:spacing w:line="291" w:lineRule="auto"/>
              <w:rPr>
                <w:rFonts w:ascii="Arial"/>
                <w:sz w:val="21"/>
              </w:rPr>
            </w:pPr>
          </w:p>
          <w:p w14:paraId="3038FFD6">
            <w:pPr>
              <w:spacing w:before="58"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vAlign w:val="top"/>
          </w:tcPr>
          <w:p w14:paraId="5E2B089C">
            <w:pPr>
              <w:spacing w:line="274" w:lineRule="auto"/>
              <w:rPr>
                <w:rFonts w:ascii="Arial"/>
                <w:sz w:val="21"/>
              </w:rPr>
            </w:pPr>
          </w:p>
          <w:p w14:paraId="120474F5">
            <w:pPr>
              <w:spacing w:before="58" w:line="274"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0.014</w:t>
            </w:r>
          </w:p>
        </w:tc>
        <w:tc>
          <w:tcPr>
            <w:tcW w:w="1188" w:type="dxa"/>
            <w:vMerge w:val="continue"/>
            <w:tcBorders>
              <w:top w:val="nil"/>
            </w:tcBorders>
            <w:vAlign w:val="top"/>
          </w:tcPr>
          <w:p w14:paraId="3333211B">
            <w:pPr>
              <w:rPr>
                <w:rFonts w:ascii="Arial"/>
                <w:sz w:val="21"/>
              </w:rPr>
            </w:pPr>
          </w:p>
        </w:tc>
        <w:tc>
          <w:tcPr>
            <w:tcW w:w="593" w:type="dxa"/>
            <w:vAlign w:val="top"/>
          </w:tcPr>
          <w:p w14:paraId="47047856">
            <w:pPr>
              <w:spacing w:line="291" w:lineRule="auto"/>
              <w:rPr>
                <w:rFonts w:ascii="Arial"/>
                <w:sz w:val="21"/>
              </w:rPr>
            </w:pPr>
          </w:p>
          <w:p w14:paraId="791F7880">
            <w:pPr>
              <w:spacing w:before="58" w:line="274" w:lineRule="exact"/>
              <w:ind w:left="20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89</w:t>
            </w:r>
          </w:p>
        </w:tc>
        <w:tc>
          <w:tcPr>
            <w:tcW w:w="744" w:type="dxa"/>
            <w:vMerge w:val="continue"/>
            <w:tcBorders>
              <w:top w:val="nil"/>
            </w:tcBorders>
            <w:vAlign w:val="top"/>
          </w:tcPr>
          <w:p w14:paraId="588A7A7F">
            <w:pPr>
              <w:rPr>
                <w:rFonts w:ascii="Arial"/>
                <w:sz w:val="21"/>
              </w:rPr>
            </w:pPr>
          </w:p>
        </w:tc>
        <w:tc>
          <w:tcPr>
            <w:tcW w:w="1300" w:type="dxa"/>
            <w:vAlign w:val="top"/>
          </w:tcPr>
          <w:p w14:paraId="79FCAA9F">
            <w:pPr>
              <w:spacing w:line="291" w:lineRule="auto"/>
              <w:rPr>
                <w:rFonts w:ascii="Arial"/>
                <w:sz w:val="21"/>
              </w:rPr>
            </w:pPr>
          </w:p>
          <w:p w14:paraId="1D316CF2">
            <w:pPr>
              <w:spacing w:before="58"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4" w:type="dxa"/>
            <w:vAlign w:val="top"/>
          </w:tcPr>
          <w:p w14:paraId="6D8BF8FA">
            <w:pPr>
              <w:spacing w:line="291" w:lineRule="auto"/>
              <w:rPr>
                <w:rFonts w:ascii="Arial"/>
                <w:sz w:val="21"/>
              </w:rPr>
            </w:pPr>
          </w:p>
          <w:p w14:paraId="57132397">
            <w:pPr>
              <w:spacing w:before="58" w:line="27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14:paraId="1494CB74">
            <w:pPr>
              <w:spacing w:line="274" w:lineRule="auto"/>
              <w:rPr>
                <w:rFonts w:ascii="Arial"/>
                <w:sz w:val="21"/>
              </w:rPr>
            </w:pPr>
          </w:p>
          <w:p w14:paraId="77D18C91">
            <w:pPr>
              <w:spacing w:before="58"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648" w:type="dxa"/>
            <w:vMerge w:val="continue"/>
            <w:tcBorders>
              <w:top w:val="nil"/>
            </w:tcBorders>
            <w:vAlign w:val="top"/>
          </w:tcPr>
          <w:p w14:paraId="6F487A18">
            <w:pPr>
              <w:rPr>
                <w:rFonts w:ascii="Arial"/>
                <w:sz w:val="21"/>
              </w:rPr>
            </w:pPr>
          </w:p>
        </w:tc>
      </w:tr>
      <w:tr w14:paraId="00033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1" w:hRule="atLeast"/>
        </w:trPr>
        <w:tc>
          <w:tcPr>
            <w:tcW w:w="708" w:type="dxa"/>
            <w:vAlign w:val="top"/>
          </w:tcPr>
          <w:p w14:paraId="4B7789F2">
            <w:pPr>
              <w:rPr>
                <w:rFonts w:ascii="Arial"/>
                <w:sz w:val="21"/>
              </w:rPr>
            </w:pPr>
          </w:p>
          <w:p w14:paraId="0A2834D9">
            <w:pPr>
              <w:pStyle w:val="6"/>
              <w:spacing w:before="65" w:line="229" w:lineRule="auto"/>
              <w:ind w:left="149"/>
            </w:pPr>
            <w:r>
              <w:rPr>
                <w:spacing w:val="5"/>
              </w:rPr>
              <w:t>饲料</w:t>
            </w:r>
          </w:p>
          <w:p w14:paraId="4268850D">
            <w:pPr>
              <w:pStyle w:val="6"/>
              <w:spacing w:before="77" w:line="301" w:lineRule="auto"/>
              <w:ind w:left="255" w:right="143" w:hanging="106"/>
            </w:pPr>
            <w:r>
              <w:rPr>
                <w:spacing w:val="4"/>
              </w:rPr>
              <w:t>加工</w:t>
            </w:r>
            <w:r>
              <w:t xml:space="preserve"> 房</w:t>
            </w:r>
          </w:p>
        </w:tc>
        <w:tc>
          <w:tcPr>
            <w:tcW w:w="646" w:type="dxa"/>
            <w:vAlign w:val="top"/>
          </w:tcPr>
          <w:p w14:paraId="2CE7C683">
            <w:pPr>
              <w:rPr>
                <w:rFonts w:ascii="Arial"/>
                <w:sz w:val="21"/>
              </w:rPr>
            </w:pPr>
          </w:p>
          <w:p w14:paraId="42413722">
            <w:pPr>
              <w:pStyle w:val="6"/>
              <w:spacing w:before="65" w:line="229" w:lineRule="auto"/>
              <w:ind w:left="115"/>
            </w:pPr>
            <w:r>
              <w:rPr>
                <w:spacing w:val="5"/>
              </w:rPr>
              <w:t>饲料</w:t>
            </w:r>
          </w:p>
          <w:p w14:paraId="60EE6642">
            <w:pPr>
              <w:pStyle w:val="6"/>
              <w:spacing w:before="78" w:line="228" w:lineRule="auto"/>
              <w:ind w:left="115"/>
            </w:pPr>
            <w:r>
              <w:rPr>
                <w:spacing w:val="5"/>
              </w:rPr>
              <w:t>粉碎</w:t>
            </w:r>
          </w:p>
          <w:p w14:paraId="5B3BBC3D">
            <w:pPr>
              <w:pStyle w:val="6"/>
              <w:spacing w:before="76" w:line="228" w:lineRule="auto"/>
              <w:ind w:left="115"/>
            </w:pPr>
            <w:r>
              <w:rPr>
                <w:spacing w:val="5"/>
              </w:rPr>
              <w:t>搅拌</w:t>
            </w:r>
          </w:p>
        </w:tc>
        <w:tc>
          <w:tcPr>
            <w:tcW w:w="835" w:type="dxa"/>
            <w:vAlign w:val="top"/>
          </w:tcPr>
          <w:p w14:paraId="62817059">
            <w:pPr>
              <w:spacing w:line="401" w:lineRule="auto"/>
              <w:rPr>
                <w:rFonts w:ascii="Arial"/>
                <w:sz w:val="21"/>
              </w:rPr>
            </w:pPr>
          </w:p>
          <w:p w14:paraId="7C5850F5">
            <w:pPr>
              <w:pStyle w:val="6"/>
              <w:spacing w:before="65" w:line="303" w:lineRule="auto"/>
              <w:ind w:left="317" w:right="208" w:hanging="104"/>
            </w:pPr>
            <w:r>
              <w:rPr>
                <w:spacing w:val="3"/>
              </w:rPr>
              <w:t>无组</w:t>
            </w:r>
            <w:r>
              <w:t xml:space="preserve"> 织</w:t>
            </w:r>
          </w:p>
        </w:tc>
        <w:tc>
          <w:tcPr>
            <w:tcW w:w="742" w:type="dxa"/>
            <w:vAlign w:val="top"/>
          </w:tcPr>
          <w:p w14:paraId="645F27C4">
            <w:pPr>
              <w:spacing w:line="403" w:lineRule="auto"/>
              <w:rPr>
                <w:rFonts w:ascii="Arial"/>
                <w:sz w:val="21"/>
              </w:rPr>
            </w:pPr>
          </w:p>
          <w:p w14:paraId="4BF7ADC8">
            <w:pPr>
              <w:pStyle w:val="6"/>
              <w:spacing w:before="65" w:line="301" w:lineRule="auto"/>
              <w:ind w:left="269" w:right="163" w:hanging="106"/>
            </w:pPr>
            <w:r>
              <w:rPr>
                <w:spacing w:val="5"/>
              </w:rPr>
              <w:t>颗粒</w:t>
            </w:r>
            <w:r>
              <w:t xml:space="preserve"> 物</w:t>
            </w:r>
          </w:p>
        </w:tc>
        <w:tc>
          <w:tcPr>
            <w:tcW w:w="638" w:type="dxa"/>
            <w:vAlign w:val="top"/>
          </w:tcPr>
          <w:p w14:paraId="22B04A6C">
            <w:pPr>
              <w:spacing w:line="403" w:lineRule="auto"/>
              <w:rPr>
                <w:rFonts w:ascii="Arial"/>
                <w:sz w:val="21"/>
              </w:rPr>
            </w:pPr>
          </w:p>
          <w:p w14:paraId="6DE99172">
            <w:pPr>
              <w:pStyle w:val="6"/>
              <w:spacing w:before="65" w:line="303" w:lineRule="auto"/>
              <w:ind w:left="219" w:right="110" w:hanging="106"/>
            </w:pPr>
            <w:r>
              <w:rPr>
                <w:spacing w:val="4"/>
              </w:rPr>
              <w:t>类比</w:t>
            </w:r>
            <w:r>
              <w:t xml:space="preserve"> 法</w:t>
            </w:r>
          </w:p>
        </w:tc>
        <w:tc>
          <w:tcPr>
            <w:tcW w:w="1108" w:type="dxa"/>
            <w:vAlign w:val="top"/>
          </w:tcPr>
          <w:p w14:paraId="7126756D">
            <w:pPr>
              <w:spacing w:line="270" w:lineRule="auto"/>
              <w:rPr>
                <w:rFonts w:ascii="Arial"/>
                <w:sz w:val="21"/>
              </w:rPr>
            </w:pPr>
          </w:p>
          <w:p w14:paraId="11C244EF">
            <w:pPr>
              <w:spacing w:line="271" w:lineRule="auto"/>
              <w:rPr>
                <w:rFonts w:ascii="Arial"/>
                <w:sz w:val="21"/>
              </w:rPr>
            </w:pPr>
          </w:p>
          <w:p w14:paraId="74488AC9">
            <w:pPr>
              <w:spacing w:before="58"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9" w:type="dxa"/>
            <w:vAlign w:val="top"/>
          </w:tcPr>
          <w:p w14:paraId="3F70AACB">
            <w:pPr>
              <w:spacing w:line="270" w:lineRule="auto"/>
              <w:rPr>
                <w:rFonts w:ascii="Arial"/>
                <w:sz w:val="21"/>
              </w:rPr>
            </w:pPr>
          </w:p>
          <w:p w14:paraId="17FDFCCB">
            <w:pPr>
              <w:spacing w:line="271" w:lineRule="auto"/>
              <w:rPr>
                <w:rFonts w:ascii="Arial"/>
                <w:sz w:val="21"/>
              </w:rPr>
            </w:pPr>
          </w:p>
          <w:p w14:paraId="0806B988">
            <w:pPr>
              <w:spacing w:before="58"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vAlign w:val="top"/>
          </w:tcPr>
          <w:p w14:paraId="3DBED3B4">
            <w:pPr>
              <w:spacing w:line="261" w:lineRule="auto"/>
              <w:rPr>
                <w:rFonts w:ascii="Arial"/>
                <w:sz w:val="21"/>
              </w:rPr>
            </w:pPr>
          </w:p>
          <w:p w14:paraId="77E5A928">
            <w:pPr>
              <w:spacing w:line="261" w:lineRule="auto"/>
              <w:rPr>
                <w:rFonts w:ascii="Arial"/>
                <w:sz w:val="21"/>
              </w:rPr>
            </w:pPr>
          </w:p>
          <w:p w14:paraId="3E40E40C">
            <w:pPr>
              <w:spacing w:before="58" w:line="274"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c>
          <w:tcPr>
            <w:tcW w:w="1188" w:type="dxa"/>
            <w:vAlign w:val="top"/>
          </w:tcPr>
          <w:p w14:paraId="2E91E693">
            <w:pPr>
              <w:spacing w:line="282" w:lineRule="auto"/>
              <w:rPr>
                <w:rFonts w:ascii="Arial"/>
                <w:sz w:val="21"/>
              </w:rPr>
            </w:pPr>
          </w:p>
          <w:p w14:paraId="2061CF87">
            <w:pPr>
              <w:spacing w:line="282" w:lineRule="auto"/>
              <w:rPr>
                <w:rFonts w:ascii="Arial"/>
                <w:sz w:val="21"/>
              </w:rPr>
            </w:pPr>
          </w:p>
          <w:p w14:paraId="422CFF4C">
            <w:pPr>
              <w:pStyle w:val="6"/>
              <w:spacing w:before="65" w:line="230" w:lineRule="auto"/>
              <w:ind w:left="181"/>
            </w:pPr>
            <w:r>
              <w:rPr>
                <w:spacing w:val="6"/>
              </w:rPr>
              <w:t>设备密闭</w:t>
            </w:r>
          </w:p>
        </w:tc>
        <w:tc>
          <w:tcPr>
            <w:tcW w:w="593" w:type="dxa"/>
            <w:vAlign w:val="top"/>
          </w:tcPr>
          <w:p w14:paraId="4CDF23AA">
            <w:pPr>
              <w:spacing w:line="270" w:lineRule="auto"/>
              <w:rPr>
                <w:rFonts w:ascii="Arial"/>
                <w:sz w:val="21"/>
              </w:rPr>
            </w:pPr>
          </w:p>
          <w:p w14:paraId="7A9DFD3F">
            <w:pPr>
              <w:spacing w:line="271" w:lineRule="auto"/>
              <w:rPr>
                <w:rFonts w:ascii="Arial"/>
                <w:sz w:val="21"/>
              </w:rPr>
            </w:pPr>
          </w:p>
          <w:p w14:paraId="6CD7E55D">
            <w:pPr>
              <w:spacing w:before="58"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44" w:type="dxa"/>
            <w:vAlign w:val="top"/>
          </w:tcPr>
          <w:p w14:paraId="667C059F">
            <w:pPr>
              <w:pStyle w:val="6"/>
              <w:spacing w:before="143" w:line="229" w:lineRule="auto"/>
              <w:ind w:left="168"/>
            </w:pPr>
            <w:r>
              <w:rPr>
                <w:spacing w:val="4"/>
              </w:rPr>
              <w:t>物料</w:t>
            </w:r>
          </w:p>
          <w:p w14:paraId="012CB9BD">
            <w:pPr>
              <w:pStyle w:val="6"/>
              <w:spacing w:before="241" w:line="382" w:lineRule="auto"/>
              <w:ind w:left="274" w:right="161" w:hanging="106"/>
            </w:pPr>
            <w:r>
              <w:rPr>
                <w:spacing w:val="4"/>
              </w:rPr>
              <w:t>衡算</w:t>
            </w:r>
            <w:r>
              <w:t xml:space="preserve"> 法</w:t>
            </w:r>
          </w:p>
        </w:tc>
        <w:tc>
          <w:tcPr>
            <w:tcW w:w="1300" w:type="dxa"/>
            <w:vAlign w:val="top"/>
          </w:tcPr>
          <w:p w14:paraId="6A274E25">
            <w:pPr>
              <w:spacing w:line="270" w:lineRule="auto"/>
              <w:rPr>
                <w:rFonts w:ascii="Arial"/>
                <w:sz w:val="21"/>
              </w:rPr>
            </w:pPr>
          </w:p>
          <w:p w14:paraId="76D527F5">
            <w:pPr>
              <w:spacing w:line="271" w:lineRule="auto"/>
              <w:rPr>
                <w:rFonts w:ascii="Arial"/>
                <w:sz w:val="21"/>
              </w:rPr>
            </w:pPr>
          </w:p>
          <w:p w14:paraId="013CB76A">
            <w:pPr>
              <w:spacing w:before="58"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4" w:type="dxa"/>
            <w:vAlign w:val="top"/>
          </w:tcPr>
          <w:p w14:paraId="10870A06">
            <w:pPr>
              <w:spacing w:line="270" w:lineRule="auto"/>
              <w:rPr>
                <w:rFonts w:ascii="Arial"/>
                <w:sz w:val="21"/>
              </w:rPr>
            </w:pPr>
          </w:p>
          <w:p w14:paraId="3344DF09">
            <w:pPr>
              <w:spacing w:line="271" w:lineRule="auto"/>
              <w:rPr>
                <w:rFonts w:ascii="Arial"/>
                <w:sz w:val="21"/>
              </w:rPr>
            </w:pPr>
          </w:p>
          <w:p w14:paraId="2C3FBF24">
            <w:pPr>
              <w:spacing w:before="58" w:line="27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14:paraId="2FDBBD4B">
            <w:pPr>
              <w:spacing w:line="261" w:lineRule="auto"/>
              <w:rPr>
                <w:rFonts w:ascii="Arial"/>
                <w:sz w:val="21"/>
              </w:rPr>
            </w:pPr>
          </w:p>
          <w:p w14:paraId="345801E9">
            <w:pPr>
              <w:spacing w:line="261" w:lineRule="auto"/>
              <w:rPr>
                <w:rFonts w:ascii="Arial"/>
                <w:sz w:val="21"/>
              </w:rPr>
            </w:pPr>
          </w:p>
          <w:p w14:paraId="57916ABD">
            <w:pPr>
              <w:spacing w:before="58"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c>
          <w:tcPr>
            <w:tcW w:w="648" w:type="dxa"/>
            <w:vAlign w:val="top"/>
          </w:tcPr>
          <w:p w14:paraId="36752827">
            <w:pPr>
              <w:spacing w:line="270" w:lineRule="auto"/>
              <w:rPr>
                <w:rFonts w:ascii="Arial"/>
                <w:sz w:val="21"/>
              </w:rPr>
            </w:pPr>
          </w:p>
          <w:p w14:paraId="11D147BC">
            <w:pPr>
              <w:spacing w:line="271" w:lineRule="auto"/>
              <w:rPr>
                <w:rFonts w:ascii="Arial"/>
                <w:sz w:val="21"/>
              </w:rPr>
            </w:pPr>
          </w:p>
          <w:p w14:paraId="13EDC5FC">
            <w:pPr>
              <w:spacing w:before="58" w:line="274" w:lineRule="exact"/>
              <w:ind w:left="13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1460</w:t>
            </w:r>
          </w:p>
        </w:tc>
      </w:tr>
      <w:tr w14:paraId="59041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08" w:type="dxa"/>
            <w:vMerge w:val="restart"/>
            <w:tcBorders>
              <w:bottom w:val="nil"/>
            </w:tcBorders>
            <w:vAlign w:val="top"/>
          </w:tcPr>
          <w:p w14:paraId="2B14CB6A">
            <w:pPr>
              <w:rPr>
                <w:rFonts w:ascii="Arial"/>
                <w:sz w:val="21"/>
              </w:rPr>
            </w:pPr>
          </w:p>
          <w:p w14:paraId="1C60D964">
            <w:pPr>
              <w:pStyle w:val="6"/>
              <w:spacing w:before="65" w:line="230" w:lineRule="auto"/>
              <w:ind w:left="152"/>
            </w:pPr>
            <w:r>
              <w:rPr>
                <w:spacing w:val="3"/>
              </w:rPr>
              <w:t>备用</w:t>
            </w:r>
          </w:p>
          <w:p w14:paraId="636F47AA">
            <w:pPr>
              <w:pStyle w:val="6"/>
              <w:spacing w:before="77" w:line="229" w:lineRule="auto"/>
              <w:ind w:left="153"/>
            </w:pPr>
            <w:r>
              <w:rPr>
                <w:spacing w:val="3"/>
              </w:rPr>
              <w:t>发电</w:t>
            </w:r>
          </w:p>
          <w:p w14:paraId="4BFFF3E0">
            <w:pPr>
              <w:pStyle w:val="6"/>
              <w:spacing w:before="77" w:line="228" w:lineRule="auto"/>
              <w:ind w:left="149"/>
            </w:pPr>
            <w:r>
              <w:rPr>
                <w:spacing w:val="5"/>
              </w:rPr>
              <w:t>机房</w:t>
            </w:r>
          </w:p>
        </w:tc>
        <w:tc>
          <w:tcPr>
            <w:tcW w:w="646" w:type="dxa"/>
            <w:vMerge w:val="restart"/>
            <w:tcBorders>
              <w:bottom w:val="nil"/>
            </w:tcBorders>
            <w:vAlign w:val="top"/>
          </w:tcPr>
          <w:p w14:paraId="5ED6F135">
            <w:pPr>
              <w:rPr>
                <w:rFonts w:ascii="Arial"/>
                <w:sz w:val="21"/>
              </w:rPr>
            </w:pPr>
          </w:p>
          <w:p w14:paraId="4E80C518">
            <w:pPr>
              <w:pStyle w:val="6"/>
              <w:spacing w:before="65" w:line="230" w:lineRule="auto"/>
              <w:ind w:left="118"/>
            </w:pPr>
            <w:r>
              <w:rPr>
                <w:spacing w:val="3"/>
              </w:rPr>
              <w:t>备用</w:t>
            </w:r>
          </w:p>
          <w:p w14:paraId="44E8BC04">
            <w:pPr>
              <w:pStyle w:val="6"/>
              <w:spacing w:before="77" w:line="302" w:lineRule="auto"/>
              <w:ind w:left="220" w:right="115" w:hanging="101"/>
            </w:pPr>
            <w:r>
              <w:rPr>
                <w:spacing w:val="3"/>
              </w:rPr>
              <w:t>发电</w:t>
            </w:r>
            <w:r>
              <w:t xml:space="preserve"> </w:t>
            </w:r>
            <w:r>
              <w:rPr>
                <w:spacing w:val="1"/>
              </w:rPr>
              <w:t>机</w:t>
            </w:r>
          </w:p>
        </w:tc>
        <w:tc>
          <w:tcPr>
            <w:tcW w:w="835" w:type="dxa"/>
            <w:vMerge w:val="restart"/>
            <w:tcBorders>
              <w:bottom w:val="nil"/>
            </w:tcBorders>
            <w:vAlign w:val="top"/>
          </w:tcPr>
          <w:p w14:paraId="3591565D">
            <w:pPr>
              <w:spacing w:line="402" w:lineRule="auto"/>
              <w:rPr>
                <w:rFonts w:ascii="Arial"/>
                <w:sz w:val="21"/>
              </w:rPr>
            </w:pPr>
          </w:p>
          <w:p w14:paraId="178D3E47">
            <w:pPr>
              <w:pStyle w:val="6"/>
              <w:spacing w:before="65" w:line="305" w:lineRule="auto"/>
              <w:ind w:left="317" w:right="208" w:hanging="105"/>
            </w:pPr>
            <w:r>
              <w:rPr>
                <w:spacing w:val="4"/>
              </w:rPr>
              <w:t>有组</w:t>
            </w:r>
            <w:r>
              <w:t xml:space="preserve"> 织</w:t>
            </w:r>
          </w:p>
        </w:tc>
        <w:tc>
          <w:tcPr>
            <w:tcW w:w="742" w:type="dxa"/>
            <w:vAlign w:val="top"/>
          </w:tcPr>
          <w:p w14:paraId="2C1FB1FD">
            <w:pPr>
              <w:spacing w:before="172" w:line="243" w:lineRule="exact"/>
              <w:ind w:left="212"/>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1"/>
                <w:position w:val="1"/>
                <w:sz w:val="13"/>
                <w:szCs w:val="13"/>
              </w:rPr>
              <w:t>2</w:t>
            </w:r>
          </w:p>
        </w:tc>
        <w:tc>
          <w:tcPr>
            <w:tcW w:w="638" w:type="dxa"/>
            <w:vMerge w:val="restart"/>
            <w:tcBorders>
              <w:bottom w:val="nil"/>
            </w:tcBorders>
            <w:vAlign w:val="top"/>
          </w:tcPr>
          <w:p w14:paraId="0B0EC020">
            <w:pPr>
              <w:spacing w:line="403" w:lineRule="auto"/>
              <w:rPr>
                <w:rFonts w:ascii="Arial"/>
                <w:sz w:val="21"/>
              </w:rPr>
            </w:pPr>
          </w:p>
          <w:p w14:paraId="5BD3845C">
            <w:pPr>
              <w:pStyle w:val="6"/>
              <w:spacing w:before="65" w:line="305" w:lineRule="auto"/>
              <w:ind w:left="219" w:right="110" w:hanging="102"/>
            </w:pPr>
            <w:r>
              <w:rPr>
                <w:spacing w:val="2"/>
              </w:rPr>
              <w:t>系数</w:t>
            </w:r>
            <w:r>
              <w:t xml:space="preserve"> 法</w:t>
            </w:r>
          </w:p>
        </w:tc>
        <w:tc>
          <w:tcPr>
            <w:tcW w:w="1108" w:type="dxa"/>
            <w:vAlign w:val="top"/>
          </w:tcPr>
          <w:p w14:paraId="190A031E">
            <w:pPr>
              <w:spacing w:before="105" w:line="275"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9" w:type="dxa"/>
            <w:vAlign w:val="top"/>
          </w:tcPr>
          <w:p w14:paraId="5FEA268D">
            <w:pPr>
              <w:spacing w:before="105" w:line="275"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vAlign w:val="top"/>
          </w:tcPr>
          <w:p w14:paraId="6D891DC6">
            <w:pPr>
              <w:spacing w:before="105" w:line="275"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0.056</w:t>
            </w:r>
          </w:p>
        </w:tc>
        <w:tc>
          <w:tcPr>
            <w:tcW w:w="1188" w:type="dxa"/>
            <w:vMerge w:val="restart"/>
            <w:tcBorders>
              <w:bottom w:val="nil"/>
            </w:tcBorders>
            <w:vAlign w:val="top"/>
          </w:tcPr>
          <w:p w14:paraId="1C7369B7">
            <w:pPr>
              <w:spacing w:line="403" w:lineRule="auto"/>
              <w:rPr>
                <w:rFonts w:ascii="Arial"/>
                <w:sz w:val="21"/>
              </w:rPr>
            </w:pPr>
          </w:p>
          <w:p w14:paraId="024030FD">
            <w:pPr>
              <w:pStyle w:val="6"/>
              <w:spacing w:before="65" w:line="303" w:lineRule="auto"/>
              <w:ind w:left="289" w:right="175" w:hanging="112"/>
            </w:pPr>
            <w:r>
              <w:rPr>
                <w:spacing w:val="7"/>
              </w:rPr>
              <w:t>排气筒高</w:t>
            </w:r>
            <w:r>
              <w:t xml:space="preserve"> </w:t>
            </w:r>
            <w:r>
              <w:rPr>
                <w:spacing w:val="4"/>
              </w:rPr>
              <w:t>空排放</w:t>
            </w:r>
          </w:p>
        </w:tc>
        <w:tc>
          <w:tcPr>
            <w:tcW w:w="593" w:type="dxa"/>
            <w:vAlign w:val="top"/>
          </w:tcPr>
          <w:p w14:paraId="424DBBC8">
            <w:pPr>
              <w:spacing w:before="105" w:line="275"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44" w:type="dxa"/>
            <w:vMerge w:val="restart"/>
            <w:tcBorders>
              <w:bottom w:val="nil"/>
            </w:tcBorders>
            <w:vAlign w:val="top"/>
          </w:tcPr>
          <w:p w14:paraId="7974071E">
            <w:pPr>
              <w:pStyle w:val="6"/>
              <w:spacing w:before="143" w:line="229" w:lineRule="auto"/>
              <w:ind w:left="168"/>
            </w:pPr>
            <w:r>
              <w:rPr>
                <w:spacing w:val="4"/>
              </w:rPr>
              <w:t>物料</w:t>
            </w:r>
          </w:p>
          <w:p w14:paraId="68728D7C">
            <w:pPr>
              <w:pStyle w:val="6"/>
              <w:spacing w:before="241" w:line="384" w:lineRule="auto"/>
              <w:ind w:left="274" w:right="161" w:hanging="106"/>
            </w:pPr>
            <w:r>
              <w:rPr>
                <w:spacing w:val="4"/>
              </w:rPr>
              <w:t>衡算</w:t>
            </w:r>
            <w:r>
              <w:t xml:space="preserve"> 法</w:t>
            </w:r>
          </w:p>
        </w:tc>
        <w:tc>
          <w:tcPr>
            <w:tcW w:w="1300" w:type="dxa"/>
            <w:vAlign w:val="top"/>
          </w:tcPr>
          <w:p w14:paraId="3D913DA4">
            <w:pPr>
              <w:spacing w:before="105" w:line="275"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4" w:type="dxa"/>
            <w:vAlign w:val="top"/>
          </w:tcPr>
          <w:p w14:paraId="463B58D0">
            <w:pPr>
              <w:spacing w:before="105" w:line="275"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14:paraId="51A29B78">
            <w:pPr>
              <w:spacing w:before="105" w:line="275"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0.056</w:t>
            </w:r>
          </w:p>
        </w:tc>
        <w:tc>
          <w:tcPr>
            <w:tcW w:w="648" w:type="dxa"/>
            <w:vMerge w:val="restart"/>
            <w:tcBorders>
              <w:bottom w:val="nil"/>
            </w:tcBorders>
            <w:vAlign w:val="top"/>
          </w:tcPr>
          <w:p w14:paraId="54429089">
            <w:pPr>
              <w:spacing w:line="270" w:lineRule="auto"/>
              <w:rPr>
                <w:rFonts w:ascii="Arial"/>
                <w:sz w:val="21"/>
              </w:rPr>
            </w:pPr>
          </w:p>
          <w:p w14:paraId="76BC39EC">
            <w:pPr>
              <w:spacing w:line="271" w:lineRule="auto"/>
              <w:rPr>
                <w:rFonts w:ascii="Arial"/>
                <w:sz w:val="21"/>
              </w:rPr>
            </w:pPr>
          </w:p>
          <w:p w14:paraId="72B25ED9">
            <w:pPr>
              <w:spacing w:before="58" w:line="274" w:lineRule="exact"/>
              <w:ind w:left="24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3CD62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08" w:type="dxa"/>
            <w:vMerge w:val="continue"/>
            <w:tcBorders>
              <w:top w:val="nil"/>
              <w:bottom w:val="nil"/>
            </w:tcBorders>
            <w:vAlign w:val="top"/>
          </w:tcPr>
          <w:p w14:paraId="14DAE829">
            <w:pPr>
              <w:rPr>
                <w:rFonts w:ascii="Arial"/>
                <w:sz w:val="21"/>
              </w:rPr>
            </w:pPr>
          </w:p>
        </w:tc>
        <w:tc>
          <w:tcPr>
            <w:tcW w:w="646" w:type="dxa"/>
            <w:vMerge w:val="continue"/>
            <w:tcBorders>
              <w:top w:val="nil"/>
              <w:bottom w:val="nil"/>
            </w:tcBorders>
            <w:vAlign w:val="top"/>
          </w:tcPr>
          <w:p w14:paraId="12A71444">
            <w:pPr>
              <w:rPr>
                <w:rFonts w:ascii="Arial"/>
                <w:sz w:val="21"/>
              </w:rPr>
            </w:pPr>
          </w:p>
        </w:tc>
        <w:tc>
          <w:tcPr>
            <w:tcW w:w="835" w:type="dxa"/>
            <w:vMerge w:val="continue"/>
            <w:tcBorders>
              <w:top w:val="nil"/>
              <w:bottom w:val="nil"/>
            </w:tcBorders>
            <w:vAlign w:val="top"/>
          </w:tcPr>
          <w:p w14:paraId="0EC6B9D5">
            <w:pPr>
              <w:rPr>
                <w:rFonts w:ascii="Arial"/>
                <w:sz w:val="21"/>
              </w:rPr>
            </w:pPr>
          </w:p>
        </w:tc>
        <w:tc>
          <w:tcPr>
            <w:tcW w:w="742" w:type="dxa"/>
            <w:vAlign w:val="top"/>
          </w:tcPr>
          <w:p w14:paraId="0DF1CC5D">
            <w:pPr>
              <w:spacing w:before="172" w:line="202" w:lineRule="auto"/>
              <w:ind w:left="163"/>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638" w:type="dxa"/>
            <w:vMerge w:val="continue"/>
            <w:tcBorders>
              <w:top w:val="nil"/>
              <w:bottom w:val="nil"/>
            </w:tcBorders>
            <w:vAlign w:val="top"/>
          </w:tcPr>
          <w:p w14:paraId="492D978A">
            <w:pPr>
              <w:rPr>
                <w:rFonts w:ascii="Arial"/>
                <w:sz w:val="21"/>
              </w:rPr>
            </w:pPr>
          </w:p>
        </w:tc>
        <w:tc>
          <w:tcPr>
            <w:tcW w:w="1108" w:type="dxa"/>
            <w:vAlign w:val="top"/>
          </w:tcPr>
          <w:p w14:paraId="1A653254">
            <w:pPr>
              <w:spacing w:before="105"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9" w:type="dxa"/>
            <w:vAlign w:val="top"/>
          </w:tcPr>
          <w:p w14:paraId="410B053D">
            <w:pPr>
              <w:spacing w:before="105"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vAlign w:val="top"/>
          </w:tcPr>
          <w:p w14:paraId="5F925B03">
            <w:pPr>
              <w:spacing w:before="105" w:line="274"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0.133</w:t>
            </w:r>
          </w:p>
        </w:tc>
        <w:tc>
          <w:tcPr>
            <w:tcW w:w="1188" w:type="dxa"/>
            <w:vMerge w:val="continue"/>
            <w:tcBorders>
              <w:top w:val="nil"/>
              <w:bottom w:val="nil"/>
            </w:tcBorders>
            <w:vAlign w:val="top"/>
          </w:tcPr>
          <w:p w14:paraId="19A863B8">
            <w:pPr>
              <w:rPr>
                <w:rFonts w:ascii="Arial"/>
                <w:sz w:val="21"/>
              </w:rPr>
            </w:pPr>
          </w:p>
        </w:tc>
        <w:tc>
          <w:tcPr>
            <w:tcW w:w="593" w:type="dxa"/>
            <w:vAlign w:val="top"/>
          </w:tcPr>
          <w:p w14:paraId="0DB193E7">
            <w:pPr>
              <w:spacing w:before="105"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44" w:type="dxa"/>
            <w:vMerge w:val="continue"/>
            <w:tcBorders>
              <w:top w:val="nil"/>
              <w:bottom w:val="nil"/>
            </w:tcBorders>
            <w:vAlign w:val="top"/>
          </w:tcPr>
          <w:p w14:paraId="39D8EBC3">
            <w:pPr>
              <w:rPr>
                <w:rFonts w:ascii="Arial"/>
                <w:sz w:val="21"/>
              </w:rPr>
            </w:pPr>
          </w:p>
        </w:tc>
        <w:tc>
          <w:tcPr>
            <w:tcW w:w="1300" w:type="dxa"/>
            <w:vAlign w:val="top"/>
          </w:tcPr>
          <w:p w14:paraId="09F6832F">
            <w:pPr>
              <w:spacing w:before="105"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4" w:type="dxa"/>
            <w:vAlign w:val="top"/>
          </w:tcPr>
          <w:p w14:paraId="79A1FDC2">
            <w:pPr>
              <w:spacing w:before="105" w:line="27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14:paraId="1FC1106F">
            <w:pPr>
              <w:spacing w:before="105"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0.133</w:t>
            </w:r>
          </w:p>
        </w:tc>
        <w:tc>
          <w:tcPr>
            <w:tcW w:w="648" w:type="dxa"/>
            <w:vMerge w:val="continue"/>
            <w:tcBorders>
              <w:top w:val="nil"/>
              <w:bottom w:val="nil"/>
            </w:tcBorders>
            <w:vAlign w:val="top"/>
          </w:tcPr>
          <w:p w14:paraId="13B39373">
            <w:pPr>
              <w:rPr>
                <w:rFonts w:ascii="Arial"/>
                <w:sz w:val="21"/>
              </w:rPr>
            </w:pPr>
          </w:p>
        </w:tc>
      </w:tr>
      <w:tr w14:paraId="1ED88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08" w:type="dxa"/>
            <w:vMerge w:val="continue"/>
            <w:tcBorders>
              <w:top w:val="nil"/>
            </w:tcBorders>
            <w:vAlign w:val="top"/>
          </w:tcPr>
          <w:p w14:paraId="211ABA35">
            <w:pPr>
              <w:rPr>
                <w:rFonts w:ascii="Arial"/>
                <w:sz w:val="21"/>
              </w:rPr>
            </w:pPr>
          </w:p>
        </w:tc>
        <w:tc>
          <w:tcPr>
            <w:tcW w:w="646" w:type="dxa"/>
            <w:vMerge w:val="continue"/>
            <w:tcBorders>
              <w:top w:val="nil"/>
            </w:tcBorders>
            <w:vAlign w:val="top"/>
          </w:tcPr>
          <w:p w14:paraId="7B1AD416">
            <w:pPr>
              <w:rPr>
                <w:rFonts w:ascii="Arial"/>
                <w:sz w:val="21"/>
              </w:rPr>
            </w:pPr>
          </w:p>
        </w:tc>
        <w:tc>
          <w:tcPr>
            <w:tcW w:w="835" w:type="dxa"/>
            <w:vMerge w:val="continue"/>
            <w:tcBorders>
              <w:top w:val="nil"/>
            </w:tcBorders>
            <w:vAlign w:val="top"/>
          </w:tcPr>
          <w:p w14:paraId="6397FDB4">
            <w:pPr>
              <w:rPr>
                <w:rFonts w:ascii="Arial"/>
                <w:sz w:val="21"/>
              </w:rPr>
            </w:pPr>
          </w:p>
        </w:tc>
        <w:tc>
          <w:tcPr>
            <w:tcW w:w="742" w:type="dxa"/>
            <w:vAlign w:val="top"/>
          </w:tcPr>
          <w:p w14:paraId="4498DE03">
            <w:pPr>
              <w:pStyle w:val="6"/>
              <w:spacing w:before="149" w:line="230" w:lineRule="auto"/>
              <w:ind w:left="164"/>
            </w:pPr>
            <w:r>
              <w:rPr>
                <w:spacing w:val="4"/>
              </w:rPr>
              <w:t>烟尘</w:t>
            </w:r>
          </w:p>
        </w:tc>
        <w:tc>
          <w:tcPr>
            <w:tcW w:w="638" w:type="dxa"/>
            <w:vMerge w:val="continue"/>
            <w:tcBorders>
              <w:top w:val="nil"/>
            </w:tcBorders>
            <w:vAlign w:val="top"/>
          </w:tcPr>
          <w:p w14:paraId="7BFADAC4">
            <w:pPr>
              <w:rPr>
                <w:rFonts w:ascii="Arial"/>
                <w:sz w:val="21"/>
              </w:rPr>
            </w:pPr>
          </w:p>
        </w:tc>
        <w:tc>
          <w:tcPr>
            <w:tcW w:w="1108" w:type="dxa"/>
            <w:vAlign w:val="top"/>
          </w:tcPr>
          <w:p w14:paraId="175D0103">
            <w:pPr>
              <w:spacing w:before="119"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9" w:type="dxa"/>
            <w:vAlign w:val="top"/>
          </w:tcPr>
          <w:p w14:paraId="043205E2">
            <w:pPr>
              <w:spacing w:before="119" w:line="274" w:lineRule="exact"/>
              <w:ind w:left="52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58" w:type="dxa"/>
            <w:vAlign w:val="top"/>
          </w:tcPr>
          <w:p w14:paraId="5BBFEB15">
            <w:pPr>
              <w:spacing w:before="119" w:line="274" w:lineRule="exact"/>
              <w:ind w:left="3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0.008</w:t>
            </w:r>
          </w:p>
        </w:tc>
        <w:tc>
          <w:tcPr>
            <w:tcW w:w="1188" w:type="dxa"/>
            <w:vMerge w:val="continue"/>
            <w:tcBorders>
              <w:top w:val="nil"/>
            </w:tcBorders>
            <w:vAlign w:val="top"/>
          </w:tcPr>
          <w:p w14:paraId="5346C224">
            <w:pPr>
              <w:rPr>
                <w:rFonts w:ascii="Arial"/>
                <w:sz w:val="21"/>
              </w:rPr>
            </w:pPr>
          </w:p>
        </w:tc>
        <w:tc>
          <w:tcPr>
            <w:tcW w:w="593" w:type="dxa"/>
            <w:vAlign w:val="top"/>
          </w:tcPr>
          <w:p w14:paraId="7EA64B96">
            <w:pPr>
              <w:spacing w:before="119"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744" w:type="dxa"/>
            <w:vMerge w:val="continue"/>
            <w:tcBorders>
              <w:top w:val="nil"/>
            </w:tcBorders>
            <w:vAlign w:val="top"/>
          </w:tcPr>
          <w:p w14:paraId="03B2DB43">
            <w:pPr>
              <w:rPr>
                <w:rFonts w:ascii="Arial"/>
                <w:sz w:val="21"/>
              </w:rPr>
            </w:pPr>
          </w:p>
        </w:tc>
        <w:tc>
          <w:tcPr>
            <w:tcW w:w="1300" w:type="dxa"/>
            <w:vAlign w:val="top"/>
          </w:tcPr>
          <w:p w14:paraId="5B66DD01">
            <w:pPr>
              <w:spacing w:before="119"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4" w:type="dxa"/>
            <w:vAlign w:val="top"/>
          </w:tcPr>
          <w:p w14:paraId="7A25237A">
            <w:pPr>
              <w:spacing w:before="119" w:line="27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14:paraId="1FD666B5">
            <w:pPr>
              <w:spacing w:before="119"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0.008</w:t>
            </w:r>
          </w:p>
        </w:tc>
        <w:tc>
          <w:tcPr>
            <w:tcW w:w="648" w:type="dxa"/>
            <w:vMerge w:val="continue"/>
            <w:tcBorders>
              <w:top w:val="nil"/>
            </w:tcBorders>
            <w:vAlign w:val="top"/>
          </w:tcPr>
          <w:p w14:paraId="68E45281">
            <w:pPr>
              <w:rPr>
                <w:rFonts w:ascii="Arial"/>
                <w:sz w:val="21"/>
              </w:rPr>
            </w:pPr>
          </w:p>
        </w:tc>
      </w:tr>
    </w:tbl>
    <w:p w14:paraId="3C15F000">
      <w:pPr>
        <w:pStyle w:val="2"/>
      </w:pPr>
    </w:p>
    <w:p w14:paraId="131CA173">
      <w:pPr>
        <w:sectPr>
          <w:footerReference r:id="rId83" w:type="default"/>
          <w:pgSz w:w="16839" w:h="11906"/>
          <w:pgMar w:top="400" w:right="1531" w:bottom="1485" w:left="1305" w:header="0" w:footer="1249" w:gutter="0"/>
          <w:cols w:space="720" w:num="1"/>
        </w:sectPr>
      </w:pPr>
    </w:p>
    <w:p w14:paraId="2CDF1993">
      <w:pPr>
        <w:pStyle w:val="2"/>
        <w:spacing w:line="264" w:lineRule="auto"/>
      </w:pPr>
    </w:p>
    <w:p w14:paraId="1CC8AA69">
      <w:pPr>
        <w:pStyle w:val="2"/>
        <w:spacing w:line="264" w:lineRule="auto"/>
      </w:pPr>
    </w:p>
    <w:p w14:paraId="764951BB">
      <w:pPr>
        <w:pStyle w:val="2"/>
        <w:spacing w:line="264" w:lineRule="auto"/>
      </w:pPr>
    </w:p>
    <w:p w14:paraId="11FCCE3B">
      <w:pPr>
        <w:pStyle w:val="2"/>
        <w:spacing w:line="265" w:lineRule="auto"/>
      </w:pPr>
    </w:p>
    <w:p w14:paraId="231AC16C">
      <w:pPr>
        <w:spacing w:before="78" w:line="221" w:lineRule="auto"/>
        <w:ind w:left="117"/>
        <w:outlineLvl w:val="1"/>
        <w:rPr>
          <w:rFonts w:ascii="宋体" w:hAnsi="宋体" w:eastAsia="宋体" w:cs="宋体"/>
          <w:sz w:val="24"/>
          <w:szCs w:val="24"/>
        </w:rPr>
      </w:pPr>
      <w:r>
        <w:rPr>
          <w:rFonts w:ascii="Times New Roman" w:hAnsi="Times New Roman" w:eastAsia="Times New Roman" w:cs="Times New Roman"/>
          <w:b/>
          <w:bCs/>
          <w:spacing w:val="-2"/>
          <w:sz w:val="24"/>
          <w:szCs w:val="24"/>
        </w:rPr>
        <w:t>3.5.3</w:t>
      </w:r>
      <w:r>
        <w:rPr>
          <w:rFonts w:ascii="宋体" w:hAnsi="宋体" w:eastAsia="宋体" w:cs="宋体"/>
          <w:b/>
          <w:bCs/>
          <w:spacing w:val="-2"/>
          <w:sz w:val="24"/>
          <w:szCs w:val="24"/>
        </w:rPr>
        <w:t>噪声污染源</w:t>
      </w:r>
    </w:p>
    <w:p w14:paraId="6BCFCEB5">
      <w:pPr>
        <w:spacing w:before="114" w:line="368" w:lineRule="auto"/>
        <w:ind w:left="126" w:right="32" w:firstLine="477"/>
        <w:rPr>
          <w:rFonts w:ascii="宋体" w:hAnsi="宋体" w:eastAsia="宋体" w:cs="宋体"/>
          <w:sz w:val="24"/>
          <w:szCs w:val="24"/>
        </w:rPr>
      </w:pPr>
      <w:r>
        <w:rPr>
          <w:rFonts w:ascii="宋体" w:hAnsi="宋体" w:eastAsia="宋体" w:cs="宋体"/>
          <w:spacing w:val="2"/>
          <w:sz w:val="24"/>
          <w:szCs w:val="24"/>
        </w:rPr>
        <w:t>本项目运营期主要的噪声为猪只叫声、猪舍排气扇、水泵、发电机。猪只叫声</w:t>
      </w:r>
      <w:r>
        <w:rPr>
          <w:rFonts w:ascii="宋体" w:hAnsi="宋体" w:eastAsia="宋体" w:cs="宋体"/>
          <w:spacing w:val="9"/>
          <w:sz w:val="24"/>
          <w:szCs w:val="24"/>
        </w:rPr>
        <w:t xml:space="preserve"> </w:t>
      </w:r>
      <w:r>
        <w:rPr>
          <w:rFonts w:ascii="宋体" w:hAnsi="宋体" w:eastAsia="宋体" w:cs="宋体"/>
          <w:spacing w:val="-6"/>
          <w:sz w:val="24"/>
          <w:szCs w:val="24"/>
        </w:rPr>
        <w:t>一般只在喂料的时候发出，持续时间约为</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10-20min</w:t>
      </w:r>
      <w:r>
        <w:rPr>
          <w:rFonts w:ascii="宋体" w:hAnsi="宋体" w:eastAsia="宋体" w:cs="宋体"/>
          <w:spacing w:val="-6"/>
          <w:sz w:val="24"/>
          <w:szCs w:val="24"/>
        </w:rPr>
        <w:t>。主要噪声源排放情况见表</w:t>
      </w:r>
      <w:r>
        <w:rPr>
          <w:rFonts w:ascii="Times New Roman" w:hAnsi="Times New Roman" w:eastAsia="Times New Roman" w:cs="Times New Roman"/>
          <w:spacing w:val="-6"/>
          <w:sz w:val="24"/>
          <w:szCs w:val="24"/>
        </w:rPr>
        <w:t>3.5</w:t>
      </w:r>
      <w:r>
        <w:rPr>
          <w:rFonts w:ascii="Times New Roman" w:hAnsi="Times New Roman" w:eastAsia="Times New Roman" w:cs="Times New Roman"/>
          <w:spacing w:val="-7"/>
          <w:sz w:val="24"/>
          <w:szCs w:val="24"/>
        </w:rPr>
        <w:t>-10</w:t>
      </w:r>
      <w:r>
        <w:rPr>
          <w:rFonts w:ascii="宋体" w:hAnsi="宋体" w:eastAsia="宋体" w:cs="宋体"/>
          <w:spacing w:val="-7"/>
          <w:sz w:val="24"/>
          <w:szCs w:val="24"/>
        </w:rPr>
        <w:t>。</w:t>
      </w:r>
    </w:p>
    <w:p w14:paraId="54070D97">
      <w:pPr>
        <w:spacing w:before="79" w:line="221" w:lineRule="auto"/>
        <w:ind w:left="2420"/>
        <w:rPr>
          <w:rFonts w:ascii="Times New Roman" w:hAnsi="Times New Roman" w:eastAsia="Times New Roman" w:cs="Times New Roman"/>
          <w:sz w:val="20"/>
          <w:szCs w:val="20"/>
        </w:rPr>
      </w:pPr>
      <w:r>
        <w:rPr>
          <w:rFonts w:ascii="宋体" w:hAnsi="宋体" w:eastAsia="宋体" w:cs="宋体"/>
          <w:b/>
          <w:bCs/>
          <w:spacing w:val="6"/>
          <w:sz w:val="20"/>
          <w:szCs w:val="20"/>
        </w:rPr>
        <w:t>表</w:t>
      </w:r>
      <w:r>
        <w:rPr>
          <w:rFonts w:ascii="宋体" w:hAnsi="宋体" w:eastAsia="宋体" w:cs="宋体"/>
          <w:spacing w:val="-26"/>
          <w:sz w:val="20"/>
          <w:szCs w:val="20"/>
        </w:rPr>
        <w:t xml:space="preserve"> </w:t>
      </w:r>
      <w:r>
        <w:rPr>
          <w:rFonts w:ascii="Times New Roman" w:hAnsi="Times New Roman" w:eastAsia="Times New Roman" w:cs="Times New Roman"/>
          <w:b/>
          <w:bCs/>
          <w:spacing w:val="6"/>
          <w:sz w:val="20"/>
          <w:szCs w:val="20"/>
        </w:rPr>
        <w:t xml:space="preserve">3.5-10 </w:t>
      </w:r>
      <w:r>
        <w:rPr>
          <w:rFonts w:ascii="宋体" w:hAnsi="宋体" w:eastAsia="宋体" w:cs="宋体"/>
          <w:b/>
          <w:bCs/>
          <w:spacing w:val="6"/>
          <w:sz w:val="20"/>
          <w:szCs w:val="20"/>
        </w:rPr>
        <w:t>项目噪声污染源一览表单位：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(A)</w:t>
      </w:r>
    </w:p>
    <w:p w14:paraId="439E3798">
      <w:pPr>
        <w:spacing w:line="110" w:lineRule="exact"/>
      </w:pPr>
    </w:p>
    <w:tbl>
      <w:tblPr>
        <w:tblStyle w:val="5"/>
        <w:tblW w:w="8848" w:type="dxa"/>
        <w:tblInd w:w="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1211"/>
        <w:gridCol w:w="1692"/>
        <w:gridCol w:w="1108"/>
        <w:gridCol w:w="1449"/>
        <w:gridCol w:w="2750"/>
      </w:tblGrid>
      <w:tr w14:paraId="286A2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38" w:type="dxa"/>
            <w:vAlign w:val="top"/>
          </w:tcPr>
          <w:p w14:paraId="0FBB2BD5">
            <w:pPr>
              <w:pStyle w:val="6"/>
              <w:spacing w:before="84" w:line="229" w:lineRule="auto"/>
              <w:ind w:left="117"/>
            </w:pPr>
            <w:r>
              <w:rPr>
                <w:b/>
                <w:bCs/>
                <w:spacing w:val="2"/>
              </w:rPr>
              <w:t>项目</w:t>
            </w:r>
          </w:p>
        </w:tc>
        <w:tc>
          <w:tcPr>
            <w:tcW w:w="1211" w:type="dxa"/>
            <w:vAlign w:val="top"/>
          </w:tcPr>
          <w:p w14:paraId="1D7F262F">
            <w:pPr>
              <w:pStyle w:val="6"/>
              <w:spacing w:before="84" w:line="228" w:lineRule="auto"/>
              <w:ind w:left="399"/>
            </w:pPr>
            <w:r>
              <w:rPr>
                <w:b/>
                <w:bCs/>
                <w:spacing w:val="3"/>
              </w:rPr>
              <w:t>种类</w:t>
            </w:r>
          </w:p>
        </w:tc>
        <w:tc>
          <w:tcPr>
            <w:tcW w:w="1692" w:type="dxa"/>
            <w:vAlign w:val="top"/>
          </w:tcPr>
          <w:p w14:paraId="4BAFEC2E">
            <w:pPr>
              <w:pStyle w:val="6"/>
              <w:spacing w:before="84" w:line="229" w:lineRule="auto"/>
              <w:ind w:left="544"/>
            </w:pPr>
            <w:r>
              <w:rPr>
                <w:b/>
                <w:bCs/>
                <w:spacing w:val="2"/>
              </w:rPr>
              <w:t>噪声源</w:t>
            </w:r>
          </w:p>
        </w:tc>
        <w:tc>
          <w:tcPr>
            <w:tcW w:w="1108" w:type="dxa"/>
            <w:vAlign w:val="top"/>
          </w:tcPr>
          <w:p w14:paraId="777BBF30">
            <w:pPr>
              <w:pStyle w:val="6"/>
              <w:spacing w:before="84" w:line="228" w:lineRule="auto"/>
              <w:ind w:left="139"/>
            </w:pPr>
            <w:r>
              <w:rPr>
                <w:b/>
                <w:bCs/>
                <w:spacing w:val="6"/>
              </w:rPr>
              <w:t>产生方式</w:t>
            </w:r>
          </w:p>
        </w:tc>
        <w:tc>
          <w:tcPr>
            <w:tcW w:w="1449" w:type="dxa"/>
            <w:vAlign w:val="top"/>
          </w:tcPr>
          <w:p w14:paraId="78280C3E">
            <w:pPr>
              <w:pStyle w:val="6"/>
              <w:spacing w:before="84" w:line="229" w:lineRule="auto"/>
              <w:ind w:left="525"/>
            </w:pPr>
            <w:r>
              <w:rPr>
                <w:b/>
                <w:bCs/>
                <w:spacing w:val="1"/>
              </w:rPr>
              <w:t>声级</w:t>
            </w:r>
          </w:p>
        </w:tc>
        <w:tc>
          <w:tcPr>
            <w:tcW w:w="2750" w:type="dxa"/>
            <w:vAlign w:val="top"/>
          </w:tcPr>
          <w:p w14:paraId="4E911071">
            <w:pPr>
              <w:pStyle w:val="6"/>
              <w:spacing w:before="84" w:line="229" w:lineRule="auto"/>
              <w:ind w:left="963"/>
            </w:pPr>
            <w:r>
              <w:rPr>
                <w:b/>
                <w:bCs/>
                <w:spacing w:val="5"/>
              </w:rPr>
              <w:t>治理措施</w:t>
            </w:r>
          </w:p>
        </w:tc>
      </w:tr>
      <w:tr w14:paraId="166AA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38" w:type="dxa"/>
            <w:vMerge w:val="restart"/>
            <w:tcBorders>
              <w:bottom w:val="nil"/>
            </w:tcBorders>
            <w:vAlign w:val="top"/>
          </w:tcPr>
          <w:p w14:paraId="7067A8DB">
            <w:pPr>
              <w:spacing w:line="328" w:lineRule="auto"/>
              <w:rPr>
                <w:rFonts w:ascii="Arial"/>
                <w:sz w:val="21"/>
              </w:rPr>
            </w:pPr>
          </w:p>
          <w:p w14:paraId="7B93490D">
            <w:pPr>
              <w:spacing w:line="328" w:lineRule="auto"/>
              <w:rPr>
                <w:rFonts w:ascii="Arial"/>
                <w:sz w:val="21"/>
              </w:rPr>
            </w:pPr>
          </w:p>
          <w:p w14:paraId="751DCD10">
            <w:pPr>
              <w:pStyle w:val="6"/>
              <w:spacing w:before="65" w:line="229" w:lineRule="auto"/>
              <w:ind w:left="123"/>
            </w:pPr>
            <w:r>
              <w:rPr>
                <w:spacing w:val="-1"/>
              </w:rPr>
              <w:t>噪声</w:t>
            </w:r>
          </w:p>
        </w:tc>
        <w:tc>
          <w:tcPr>
            <w:tcW w:w="1211" w:type="dxa"/>
            <w:vAlign w:val="top"/>
          </w:tcPr>
          <w:p w14:paraId="642F7651">
            <w:pPr>
              <w:pStyle w:val="6"/>
              <w:spacing w:before="222" w:line="229" w:lineRule="auto"/>
              <w:ind w:left="188"/>
            </w:pPr>
            <w:r>
              <w:rPr>
                <w:spacing w:val="7"/>
              </w:rPr>
              <w:t>猪只叫声</w:t>
            </w:r>
          </w:p>
        </w:tc>
        <w:tc>
          <w:tcPr>
            <w:tcW w:w="1692" w:type="dxa"/>
            <w:vAlign w:val="top"/>
          </w:tcPr>
          <w:p w14:paraId="39DF7D57">
            <w:pPr>
              <w:pStyle w:val="6"/>
              <w:spacing w:before="222" w:line="228" w:lineRule="auto"/>
              <w:ind w:left="535"/>
            </w:pPr>
            <w:r>
              <w:rPr>
                <w:spacing w:val="6"/>
              </w:rPr>
              <w:t>养殖区</w:t>
            </w:r>
          </w:p>
        </w:tc>
        <w:tc>
          <w:tcPr>
            <w:tcW w:w="1108" w:type="dxa"/>
            <w:vAlign w:val="top"/>
          </w:tcPr>
          <w:p w14:paraId="3530C2AB">
            <w:pPr>
              <w:pStyle w:val="6"/>
              <w:spacing w:before="221" w:line="228" w:lineRule="auto"/>
              <w:ind w:left="348"/>
            </w:pPr>
            <w:r>
              <w:rPr>
                <w:spacing w:val="4"/>
              </w:rPr>
              <w:t>偶尔</w:t>
            </w:r>
          </w:p>
        </w:tc>
        <w:tc>
          <w:tcPr>
            <w:tcW w:w="1449" w:type="dxa"/>
            <w:vAlign w:val="top"/>
          </w:tcPr>
          <w:p w14:paraId="3FA8A2D4">
            <w:pPr>
              <w:pStyle w:val="6"/>
              <w:spacing w:before="191" w:line="274" w:lineRule="exact"/>
              <w:ind w:left="415"/>
              <w:rPr>
                <w:rFonts w:ascii="Times New Roman" w:hAnsi="Times New Roman" w:eastAsia="Times New Roman" w:cs="Times New Roman"/>
              </w:rPr>
            </w:pPr>
            <w:r>
              <w:rPr>
                <w:rFonts w:ascii="Times New Roman" w:hAnsi="Times New Roman" w:eastAsia="Times New Roman" w:cs="Times New Roman"/>
                <w:spacing w:val="4"/>
                <w:position w:val="2"/>
              </w:rPr>
              <w:t>70</w:t>
            </w:r>
            <w:r>
              <w:rPr>
                <w:spacing w:val="4"/>
                <w:position w:val="2"/>
              </w:rPr>
              <w:t>～</w:t>
            </w:r>
            <w:r>
              <w:rPr>
                <w:rFonts w:ascii="Times New Roman" w:hAnsi="Times New Roman" w:eastAsia="Times New Roman" w:cs="Times New Roman"/>
                <w:spacing w:val="4"/>
                <w:position w:val="2"/>
              </w:rPr>
              <w:t>80</w:t>
            </w:r>
          </w:p>
        </w:tc>
        <w:tc>
          <w:tcPr>
            <w:tcW w:w="2750" w:type="dxa"/>
            <w:vAlign w:val="top"/>
          </w:tcPr>
          <w:p w14:paraId="2991BB29">
            <w:pPr>
              <w:pStyle w:val="6"/>
              <w:spacing w:before="57" w:line="271" w:lineRule="auto"/>
              <w:ind w:left="647" w:right="58" w:hanging="573"/>
            </w:pPr>
            <w:r>
              <w:t>喂足饲料和水，避免饥渴及突</w:t>
            </w:r>
            <w:r>
              <w:rPr>
                <w:spacing w:val="10"/>
              </w:rPr>
              <w:t xml:space="preserve"> </w:t>
            </w:r>
            <w:r>
              <w:rPr>
                <w:spacing w:val="8"/>
              </w:rPr>
              <w:t>发性噪声、隔声</w:t>
            </w:r>
          </w:p>
        </w:tc>
      </w:tr>
      <w:tr w14:paraId="06391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38" w:type="dxa"/>
            <w:vMerge w:val="continue"/>
            <w:tcBorders>
              <w:top w:val="nil"/>
              <w:bottom w:val="nil"/>
            </w:tcBorders>
            <w:vAlign w:val="top"/>
          </w:tcPr>
          <w:p w14:paraId="6361BE9F">
            <w:pPr>
              <w:rPr>
                <w:rFonts w:ascii="Arial"/>
                <w:sz w:val="21"/>
              </w:rPr>
            </w:pPr>
          </w:p>
        </w:tc>
        <w:tc>
          <w:tcPr>
            <w:tcW w:w="1211" w:type="dxa"/>
            <w:vAlign w:val="top"/>
          </w:tcPr>
          <w:p w14:paraId="2B9BA15D">
            <w:pPr>
              <w:pStyle w:val="6"/>
              <w:spacing w:before="60" w:line="230" w:lineRule="auto"/>
              <w:ind w:left="294"/>
            </w:pPr>
            <w:r>
              <w:rPr>
                <w:spacing w:val="6"/>
              </w:rPr>
              <w:t>排气扇</w:t>
            </w:r>
          </w:p>
        </w:tc>
        <w:tc>
          <w:tcPr>
            <w:tcW w:w="1692" w:type="dxa"/>
            <w:vAlign w:val="top"/>
          </w:tcPr>
          <w:p w14:paraId="33B70BF5">
            <w:pPr>
              <w:pStyle w:val="6"/>
              <w:spacing w:before="61" w:line="228" w:lineRule="auto"/>
              <w:ind w:left="535"/>
            </w:pPr>
            <w:r>
              <w:rPr>
                <w:spacing w:val="6"/>
              </w:rPr>
              <w:t>养殖区</w:t>
            </w:r>
          </w:p>
        </w:tc>
        <w:tc>
          <w:tcPr>
            <w:tcW w:w="1108" w:type="dxa"/>
            <w:vAlign w:val="top"/>
          </w:tcPr>
          <w:p w14:paraId="6ABAC423">
            <w:pPr>
              <w:pStyle w:val="6"/>
              <w:spacing w:before="61" w:line="229" w:lineRule="auto"/>
              <w:ind w:left="348"/>
            </w:pPr>
            <w:r>
              <w:rPr>
                <w:spacing w:val="4"/>
              </w:rPr>
              <w:t>连续</w:t>
            </w:r>
          </w:p>
        </w:tc>
        <w:tc>
          <w:tcPr>
            <w:tcW w:w="1449" w:type="dxa"/>
            <w:vAlign w:val="top"/>
          </w:tcPr>
          <w:p w14:paraId="76ADF5FD">
            <w:pPr>
              <w:pStyle w:val="6"/>
              <w:spacing w:before="30" w:line="274" w:lineRule="exact"/>
              <w:ind w:left="415"/>
              <w:rPr>
                <w:rFonts w:ascii="Times New Roman" w:hAnsi="Times New Roman" w:eastAsia="Times New Roman" w:cs="Times New Roman"/>
              </w:rPr>
            </w:pPr>
            <w:r>
              <w:rPr>
                <w:rFonts w:ascii="Times New Roman" w:hAnsi="Times New Roman" w:eastAsia="Times New Roman" w:cs="Times New Roman"/>
                <w:spacing w:val="4"/>
                <w:position w:val="2"/>
              </w:rPr>
              <w:t>75</w:t>
            </w:r>
            <w:r>
              <w:rPr>
                <w:spacing w:val="4"/>
                <w:position w:val="2"/>
              </w:rPr>
              <w:t>～</w:t>
            </w:r>
            <w:r>
              <w:rPr>
                <w:rFonts w:ascii="Times New Roman" w:hAnsi="Times New Roman" w:eastAsia="Times New Roman" w:cs="Times New Roman"/>
                <w:spacing w:val="4"/>
                <w:position w:val="2"/>
              </w:rPr>
              <w:t>85</w:t>
            </w:r>
          </w:p>
        </w:tc>
        <w:tc>
          <w:tcPr>
            <w:tcW w:w="2750" w:type="dxa"/>
            <w:vAlign w:val="top"/>
          </w:tcPr>
          <w:p w14:paraId="26230885">
            <w:pPr>
              <w:pStyle w:val="6"/>
              <w:spacing w:before="61" w:line="229" w:lineRule="auto"/>
              <w:ind w:left="329"/>
            </w:pPr>
            <w:r>
              <w:rPr>
                <w:spacing w:val="9"/>
              </w:rPr>
              <w:t>选择低噪声设备，隔声</w:t>
            </w:r>
          </w:p>
        </w:tc>
      </w:tr>
      <w:tr w14:paraId="09566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38" w:type="dxa"/>
            <w:vMerge w:val="continue"/>
            <w:tcBorders>
              <w:top w:val="nil"/>
              <w:bottom w:val="nil"/>
            </w:tcBorders>
            <w:vAlign w:val="top"/>
          </w:tcPr>
          <w:p w14:paraId="62F62043">
            <w:pPr>
              <w:rPr>
                <w:rFonts w:ascii="Arial"/>
                <w:sz w:val="21"/>
              </w:rPr>
            </w:pPr>
          </w:p>
        </w:tc>
        <w:tc>
          <w:tcPr>
            <w:tcW w:w="1211" w:type="dxa"/>
            <w:vAlign w:val="top"/>
          </w:tcPr>
          <w:p w14:paraId="572FAB7D">
            <w:pPr>
              <w:pStyle w:val="6"/>
              <w:spacing w:before="62" w:line="228" w:lineRule="auto"/>
              <w:ind w:left="402"/>
            </w:pPr>
            <w:r>
              <w:rPr>
                <w:spacing w:val="3"/>
              </w:rPr>
              <w:t>水泵</w:t>
            </w:r>
          </w:p>
        </w:tc>
        <w:tc>
          <w:tcPr>
            <w:tcW w:w="1692" w:type="dxa"/>
            <w:vAlign w:val="top"/>
          </w:tcPr>
          <w:p w14:paraId="513885A6">
            <w:pPr>
              <w:pStyle w:val="6"/>
              <w:spacing w:before="62" w:line="228" w:lineRule="auto"/>
              <w:ind w:left="222"/>
            </w:pPr>
            <w:r>
              <w:rPr>
                <w:spacing w:val="7"/>
              </w:rPr>
              <w:t>污水处理系统</w:t>
            </w:r>
          </w:p>
        </w:tc>
        <w:tc>
          <w:tcPr>
            <w:tcW w:w="1108" w:type="dxa"/>
            <w:vAlign w:val="top"/>
          </w:tcPr>
          <w:p w14:paraId="4C10D3DD">
            <w:pPr>
              <w:pStyle w:val="6"/>
              <w:spacing w:before="62" w:line="229" w:lineRule="auto"/>
              <w:ind w:left="348"/>
            </w:pPr>
            <w:r>
              <w:rPr>
                <w:spacing w:val="4"/>
              </w:rPr>
              <w:t>连续</w:t>
            </w:r>
          </w:p>
        </w:tc>
        <w:tc>
          <w:tcPr>
            <w:tcW w:w="1449" w:type="dxa"/>
            <w:vAlign w:val="top"/>
          </w:tcPr>
          <w:p w14:paraId="358216FF">
            <w:pPr>
              <w:pStyle w:val="6"/>
              <w:spacing w:before="31" w:line="274" w:lineRule="exact"/>
              <w:ind w:left="420"/>
              <w:rPr>
                <w:rFonts w:ascii="Times New Roman" w:hAnsi="Times New Roman" w:eastAsia="Times New Roman" w:cs="Times New Roman"/>
              </w:rPr>
            </w:pPr>
            <w:r>
              <w:rPr>
                <w:rFonts w:ascii="Times New Roman" w:hAnsi="Times New Roman" w:eastAsia="Times New Roman" w:cs="Times New Roman"/>
                <w:spacing w:val="3"/>
                <w:position w:val="2"/>
              </w:rPr>
              <w:t>80</w:t>
            </w:r>
            <w:r>
              <w:rPr>
                <w:spacing w:val="3"/>
                <w:position w:val="2"/>
              </w:rPr>
              <w:t>～</w:t>
            </w:r>
            <w:r>
              <w:rPr>
                <w:rFonts w:ascii="Times New Roman" w:hAnsi="Times New Roman" w:eastAsia="Times New Roman" w:cs="Times New Roman"/>
                <w:spacing w:val="3"/>
                <w:position w:val="2"/>
              </w:rPr>
              <w:t>90</w:t>
            </w:r>
          </w:p>
        </w:tc>
        <w:tc>
          <w:tcPr>
            <w:tcW w:w="2750" w:type="dxa"/>
            <w:vAlign w:val="top"/>
          </w:tcPr>
          <w:p w14:paraId="76FEC712">
            <w:pPr>
              <w:pStyle w:val="6"/>
              <w:spacing w:before="62" w:line="229" w:lineRule="auto"/>
              <w:ind w:left="329"/>
            </w:pPr>
            <w:r>
              <w:rPr>
                <w:spacing w:val="9"/>
              </w:rPr>
              <w:t>选择低噪声设备、减振</w:t>
            </w:r>
          </w:p>
        </w:tc>
      </w:tr>
      <w:tr w14:paraId="278B8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38" w:type="dxa"/>
            <w:vMerge w:val="continue"/>
            <w:tcBorders>
              <w:top w:val="nil"/>
            </w:tcBorders>
            <w:vAlign w:val="top"/>
          </w:tcPr>
          <w:p w14:paraId="73EE5A95">
            <w:pPr>
              <w:rPr>
                <w:rFonts w:ascii="Arial"/>
                <w:sz w:val="21"/>
              </w:rPr>
            </w:pPr>
          </w:p>
        </w:tc>
        <w:tc>
          <w:tcPr>
            <w:tcW w:w="1211" w:type="dxa"/>
            <w:vAlign w:val="top"/>
          </w:tcPr>
          <w:p w14:paraId="20F8C515">
            <w:pPr>
              <w:pStyle w:val="6"/>
              <w:spacing w:before="62" w:line="228" w:lineRule="auto"/>
              <w:ind w:left="297"/>
            </w:pPr>
            <w:r>
              <w:rPr>
                <w:spacing w:val="5"/>
              </w:rPr>
              <w:t>发电机</w:t>
            </w:r>
          </w:p>
        </w:tc>
        <w:tc>
          <w:tcPr>
            <w:tcW w:w="1692" w:type="dxa"/>
            <w:vAlign w:val="top"/>
          </w:tcPr>
          <w:p w14:paraId="2C32C33C">
            <w:pPr>
              <w:pStyle w:val="6"/>
              <w:spacing w:before="63" w:line="229" w:lineRule="auto"/>
              <w:ind w:left="535"/>
            </w:pPr>
            <w:r>
              <w:rPr>
                <w:spacing w:val="6"/>
              </w:rPr>
              <w:t>配电房</w:t>
            </w:r>
          </w:p>
        </w:tc>
        <w:tc>
          <w:tcPr>
            <w:tcW w:w="1108" w:type="dxa"/>
            <w:vAlign w:val="top"/>
          </w:tcPr>
          <w:p w14:paraId="09C17EB2">
            <w:pPr>
              <w:pStyle w:val="6"/>
              <w:spacing w:before="63" w:line="229" w:lineRule="auto"/>
              <w:ind w:left="348"/>
            </w:pPr>
            <w:r>
              <w:rPr>
                <w:spacing w:val="4"/>
              </w:rPr>
              <w:t>连续</w:t>
            </w:r>
          </w:p>
        </w:tc>
        <w:tc>
          <w:tcPr>
            <w:tcW w:w="1449" w:type="dxa"/>
            <w:vAlign w:val="top"/>
          </w:tcPr>
          <w:p w14:paraId="4AAA3386">
            <w:pPr>
              <w:pStyle w:val="6"/>
              <w:spacing w:before="32" w:line="274" w:lineRule="exact"/>
              <w:ind w:left="420"/>
              <w:rPr>
                <w:rFonts w:ascii="Times New Roman" w:hAnsi="Times New Roman" w:eastAsia="Times New Roman" w:cs="Times New Roman"/>
              </w:rPr>
            </w:pPr>
            <w:r>
              <w:rPr>
                <w:rFonts w:ascii="Times New Roman" w:hAnsi="Times New Roman" w:eastAsia="Times New Roman" w:cs="Times New Roman"/>
                <w:spacing w:val="3"/>
                <w:position w:val="2"/>
              </w:rPr>
              <w:t>80</w:t>
            </w:r>
            <w:r>
              <w:rPr>
                <w:spacing w:val="3"/>
                <w:position w:val="2"/>
              </w:rPr>
              <w:t>～</w:t>
            </w:r>
            <w:r>
              <w:rPr>
                <w:rFonts w:ascii="Times New Roman" w:hAnsi="Times New Roman" w:eastAsia="Times New Roman" w:cs="Times New Roman"/>
                <w:spacing w:val="3"/>
                <w:position w:val="2"/>
              </w:rPr>
              <w:t>90</w:t>
            </w:r>
          </w:p>
        </w:tc>
        <w:tc>
          <w:tcPr>
            <w:tcW w:w="2750" w:type="dxa"/>
            <w:vAlign w:val="top"/>
          </w:tcPr>
          <w:p w14:paraId="117B17DA">
            <w:pPr>
              <w:pStyle w:val="6"/>
              <w:spacing w:before="63" w:line="229" w:lineRule="auto"/>
              <w:ind w:left="62"/>
            </w:pPr>
            <w:r>
              <w:rPr>
                <w:spacing w:val="1"/>
              </w:rPr>
              <w:t>选择低噪声设备、减振、隔声</w:t>
            </w:r>
          </w:p>
        </w:tc>
      </w:tr>
    </w:tbl>
    <w:p w14:paraId="0689A971">
      <w:pPr>
        <w:spacing w:before="88" w:line="366" w:lineRule="auto"/>
        <w:ind w:left="127" w:right="113" w:firstLine="475"/>
        <w:rPr>
          <w:rFonts w:ascii="宋体" w:hAnsi="宋体" w:eastAsia="宋体" w:cs="宋体"/>
          <w:sz w:val="24"/>
          <w:szCs w:val="24"/>
        </w:rPr>
      </w:pPr>
      <w:r>
        <w:rPr>
          <w:rFonts w:ascii="宋体" w:hAnsi="宋体" w:eastAsia="宋体" w:cs="宋体"/>
          <w:spacing w:val="2"/>
          <w:sz w:val="24"/>
          <w:szCs w:val="24"/>
        </w:rPr>
        <w:t>排气扇、水泵正常情况下</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24h </w:t>
      </w:r>
      <w:r>
        <w:rPr>
          <w:rFonts w:ascii="宋体" w:hAnsi="宋体" w:eastAsia="宋体" w:cs="宋体"/>
          <w:spacing w:val="2"/>
          <w:sz w:val="24"/>
          <w:szCs w:val="24"/>
        </w:rPr>
        <w:t>运行，本项目设备选用低噪声设备，对水泵、无</w:t>
      </w:r>
      <w:r>
        <w:rPr>
          <w:rFonts w:ascii="宋体" w:hAnsi="宋体" w:eastAsia="宋体" w:cs="宋体"/>
          <w:sz w:val="24"/>
          <w:szCs w:val="24"/>
        </w:rPr>
        <w:t xml:space="preserve"> </w:t>
      </w:r>
      <w:r>
        <w:rPr>
          <w:rFonts w:ascii="宋体" w:hAnsi="宋体" w:eastAsia="宋体" w:cs="宋体"/>
          <w:spacing w:val="-1"/>
          <w:sz w:val="24"/>
          <w:szCs w:val="24"/>
        </w:rPr>
        <w:t>害化降解机、发电机等采取减振、墙壁隔声措施。</w:t>
      </w:r>
    </w:p>
    <w:p w14:paraId="2CDD144F">
      <w:pPr>
        <w:spacing w:before="77" w:line="228" w:lineRule="auto"/>
        <w:ind w:left="2067"/>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6"/>
          <w:sz w:val="20"/>
          <w:szCs w:val="20"/>
        </w:rPr>
        <w:t>3.5-11</w:t>
      </w:r>
      <w:r>
        <w:rPr>
          <w:rFonts w:ascii="Times New Roman" w:hAnsi="Times New Roman" w:eastAsia="Times New Roman" w:cs="Times New Roman"/>
          <w:b/>
          <w:bCs/>
          <w:spacing w:val="19"/>
          <w:w w:val="101"/>
          <w:sz w:val="20"/>
          <w:szCs w:val="20"/>
        </w:rPr>
        <w:t xml:space="preserve"> </w:t>
      </w:r>
      <w:r>
        <w:rPr>
          <w:rFonts w:ascii="宋体" w:hAnsi="宋体" w:eastAsia="宋体" w:cs="宋体"/>
          <w:b/>
          <w:bCs/>
          <w:spacing w:val="6"/>
          <w:sz w:val="20"/>
          <w:szCs w:val="20"/>
        </w:rPr>
        <w:t>噪声污染源源强核算结果及相关参数一览表</w:t>
      </w:r>
    </w:p>
    <w:p w14:paraId="500AA741">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2"/>
        <w:gridCol w:w="474"/>
        <w:gridCol w:w="1214"/>
        <w:gridCol w:w="719"/>
        <w:gridCol w:w="732"/>
        <w:gridCol w:w="833"/>
        <w:gridCol w:w="750"/>
        <w:gridCol w:w="1030"/>
        <w:gridCol w:w="719"/>
        <w:gridCol w:w="988"/>
        <w:gridCol w:w="829"/>
      </w:tblGrid>
      <w:tr w14:paraId="1468C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62" w:type="dxa"/>
            <w:vMerge w:val="restart"/>
            <w:tcBorders>
              <w:bottom w:val="nil"/>
            </w:tcBorders>
            <w:vAlign w:val="top"/>
          </w:tcPr>
          <w:p w14:paraId="17670FDC">
            <w:pPr>
              <w:pStyle w:val="6"/>
              <w:spacing w:before="229" w:line="230" w:lineRule="auto"/>
              <w:ind w:left="128"/>
            </w:pPr>
            <w:r>
              <w:rPr>
                <w:spacing w:val="3"/>
              </w:rPr>
              <w:t>工序</w:t>
            </w:r>
          </w:p>
          <w:p w14:paraId="67E669D8">
            <w:pPr>
              <w:pStyle w:val="6"/>
              <w:spacing w:before="46" w:line="274" w:lineRule="exact"/>
              <w:ind w:left="195"/>
            </w:pPr>
            <w:r>
              <w:rPr>
                <w:rFonts w:ascii="Times New Roman" w:hAnsi="Times New Roman" w:eastAsia="Times New Roman" w:cs="Times New Roman"/>
                <w:spacing w:val="5"/>
              </w:rPr>
              <w:t>/</w:t>
            </w:r>
            <w:r>
              <w:rPr>
                <w:spacing w:val="5"/>
              </w:rPr>
              <w:t>生</w:t>
            </w:r>
          </w:p>
          <w:p w14:paraId="25A7B0AE">
            <w:pPr>
              <w:pStyle w:val="6"/>
              <w:spacing w:before="83" w:line="228" w:lineRule="auto"/>
              <w:ind w:left="126"/>
            </w:pPr>
            <w:r>
              <w:rPr>
                <w:spacing w:val="4"/>
              </w:rPr>
              <w:t>产线</w:t>
            </w:r>
          </w:p>
        </w:tc>
        <w:tc>
          <w:tcPr>
            <w:tcW w:w="474" w:type="dxa"/>
            <w:vMerge w:val="restart"/>
            <w:tcBorders>
              <w:bottom w:val="nil"/>
            </w:tcBorders>
            <w:textDirection w:val="tbRlV"/>
            <w:vAlign w:val="top"/>
          </w:tcPr>
          <w:p w14:paraId="651B2E37">
            <w:pPr>
              <w:pStyle w:val="6"/>
              <w:spacing w:before="131" w:line="218" w:lineRule="auto"/>
              <w:ind w:left="393"/>
            </w:pPr>
            <w:r>
              <w:rPr>
                <w:spacing w:val="9"/>
              </w:rPr>
              <w:t>装</w:t>
            </w:r>
            <w:r>
              <w:rPr>
                <w:spacing w:val="17"/>
              </w:rPr>
              <w:t xml:space="preserve"> </w:t>
            </w:r>
            <w:r>
              <w:rPr>
                <w:spacing w:val="9"/>
              </w:rPr>
              <w:t>置</w:t>
            </w:r>
          </w:p>
        </w:tc>
        <w:tc>
          <w:tcPr>
            <w:tcW w:w="1214" w:type="dxa"/>
            <w:vMerge w:val="restart"/>
            <w:tcBorders>
              <w:bottom w:val="nil"/>
            </w:tcBorders>
            <w:vAlign w:val="top"/>
          </w:tcPr>
          <w:p w14:paraId="2F939A09">
            <w:pPr>
              <w:spacing w:line="244" w:lineRule="auto"/>
              <w:rPr>
                <w:rFonts w:ascii="Arial"/>
                <w:sz w:val="21"/>
              </w:rPr>
            </w:pPr>
          </w:p>
          <w:p w14:paraId="11E3D3F5">
            <w:pPr>
              <w:spacing w:line="244" w:lineRule="auto"/>
              <w:rPr>
                <w:rFonts w:ascii="Arial"/>
                <w:sz w:val="21"/>
              </w:rPr>
            </w:pPr>
          </w:p>
          <w:p w14:paraId="346EC886">
            <w:pPr>
              <w:pStyle w:val="6"/>
              <w:spacing w:before="65" w:line="229" w:lineRule="auto"/>
              <w:ind w:left="305"/>
            </w:pPr>
            <w:r>
              <w:rPr>
                <w:spacing w:val="3"/>
              </w:rPr>
              <w:t>噪声源</w:t>
            </w:r>
          </w:p>
        </w:tc>
        <w:tc>
          <w:tcPr>
            <w:tcW w:w="719" w:type="dxa"/>
            <w:vMerge w:val="restart"/>
            <w:tcBorders>
              <w:bottom w:val="nil"/>
            </w:tcBorders>
            <w:vAlign w:val="top"/>
          </w:tcPr>
          <w:p w14:paraId="27454612">
            <w:pPr>
              <w:spacing w:line="326" w:lineRule="auto"/>
              <w:rPr>
                <w:rFonts w:ascii="Arial"/>
                <w:sz w:val="21"/>
              </w:rPr>
            </w:pPr>
          </w:p>
          <w:p w14:paraId="26756624">
            <w:pPr>
              <w:pStyle w:val="6"/>
              <w:spacing w:before="65" w:line="229" w:lineRule="auto"/>
              <w:ind w:left="158"/>
            </w:pPr>
            <w:r>
              <w:rPr>
                <w:spacing w:val="2"/>
              </w:rPr>
              <w:t>声源</w:t>
            </w:r>
          </w:p>
          <w:p w14:paraId="6DC4CFAC">
            <w:pPr>
              <w:pStyle w:val="6"/>
              <w:spacing w:before="78" w:line="228" w:lineRule="auto"/>
              <w:ind w:left="154"/>
            </w:pPr>
            <w:r>
              <w:rPr>
                <w:spacing w:val="4"/>
              </w:rPr>
              <w:t>类别</w:t>
            </w:r>
          </w:p>
        </w:tc>
        <w:tc>
          <w:tcPr>
            <w:tcW w:w="1565" w:type="dxa"/>
            <w:gridSpan w:val="2"/>
            <w:vAlign w:val="top"/>
          </w:tcPr>
          <w:p w14:paraId="4A4A0A3F">
            <w:pPr>
              <w:pStyle w:val="6"/>
              <w:spacing w:before="62" w:line="229" w:lineRule="auto"/>
              <w:ind w:left="376"/>
            </w:pPr>
            <w:r>
              <w:rPr>
                <w:spacing w:val="4"/>
              </w:rPr>
              <w:t>噪声源强</w:t>
            </w:r>
          </w:p>
        </w:tc>
        <w:tc>
          <w:tcPr>
            <w:tcW w:w="1780" w:type="dxa"/>
            <w:gridSpan w:val="2"/>
            <w:vAlign w:val="top"/>
          </w:tcPr>
          <w:p w14:paraId="6CD6C127">
            <w:pPr>
              <w:pStyle w:val="6"/>
              <w:spacing w:before="62" w:line="228" w:lineRule="auto"/>
              <w:ind w:left="491"/>
            </w:pPr>
            <w:r>
              <w:rPr>
                <w:spacing w:val="3"/>
              </w:rPr>
              <w:t>降噪措施</w:t>
            </w:r>
          </w:p>
        </w:tc>
        <w:tc>
          <w:tcPr>
            <w:tcW w:w="1707" w:type="dxa"/>
            <w:gridSpan w:val="2"/>
            <w:vAlign w:val="top"/>
          </w:tcPr>
          <w:p w14:paraId="73057531">
            <w:pPr>
              <w:pStyle w:val="6"/>
              <w:spacing w:before="62" w:line="228" w:lineRule="auto"/>
              <w:ind w:left="346"/>
            </w:pPr>
            <w:r>
              <w:rPr>
                <w:spacing w:val="6"/>
              </w:rPr>
              <w:t>噪声排放值</w:t>
            </w:r>
          </w:p>
        </w:tc>
        <w:tc>
          <w:tcPr>
            <w:tcW w:w="829" w:type="dxa"/>
            <w:vMerge w:val="restart"/>
            <w:tcBorders>
              <w:bottom w:val="nil"/>
            </w:tcBorders>
            <w:vAlign w:val="top"/>
          </w:tcPr>
          <w:p w14:paraId="440549F2">
            <w:pPr>
              <w:spacing w:line="326" w:lineRule="auto"/>
              <w:rPr>
                <w:rFonts w:ascii="Arial"/>
                <w:sz w:val="21"/>
              </w:rPr>
            </w:pPr>
          </w:p>
          <w:p w14:paraId="76B01569">
            <w:pPr>
              <w:pStyle w:val="6"/>
              <w:spacing w:before="65" w:line="301" w:lineRule="auto"/>
              <w:ind w:left="139" w:right="120" w:firstLine="71"/>
              <w:rPr>
                <w:rFonts w:ascii="Times New Roman" w:hAnsi="Times New Roman" w:eastAsia="Times New Roman" w:cs="Times New Roman"/>
              </w:rPr>
            </w:pPr>
            <w:r>
              <w:rPr>
                <w:spacing w:val="4"/>
              </w:rPr>
              <w:t>排放</w:t>
            </w:r>
            <w:r>
              <w:t xml:space="preserve">  </w:t>
            </w:r>
            <w:r>
              <w:rPr>
                <w:spacing w:val="2"/>
              </w:rPr>
              <w:t>时间</w:t>
            </w:r>
            <w:r>
              <w:rPr>
                <w:rFonts w:ascii="Times New Roman" w:hAnsi="Times New Roman" w:eastAsia="Times New Roman" w:cs="Times New Roman"/>
                <w:spacing w:val="2"/>
              </w:rPr>
              <w:t>/h</w:t>
            </w:r>
          </w:p>
        </w:tc>
      </w:tr>
      <w:tr w14:paraId="634EA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662" w:type="dxa"/>
            <w:vMerge w:val="continue"/>
            <w:tcBorders>
              <w:top w:val="nil"/>
            </w:tcBorders>
            <w:vAlign w:val="top"/>
          </w:tcPr>
          <w:p w14:paraId="3C6BFA7E">
            <w:pPr>
              <w:rPr>
                <w:rFonts w:ascii="Arial"/>
                <w:sz w:val="21"/>
              </w:rPr>
            </w:pPr>
          </w:p>
        </w:tc>
        <w:tc>
          <w:tcPr>
            <w:tcW w:w="474" w:type="dxa"/>
            <w:vMerge w:val="continue"/>
            <w:tcBorders>
              <w:top w:val="nil"/>
            </w:tcBorders>
            <w:textDirection w:val="tbRlV"/>
            <w:vAlign w:val="top"/>
          </w:tcPr>
          <w:p w14:paraId="5721F793">
            <w:pPr>
              <w:rPr>
                <w:rFonts w:ascii="Arial"/>
                <w:sz w:val="21"/>
              </w:rPr>
            </w:pPr>
          </w:p>
        </w:tc>
        <w:tc>
          <w:tcPr>
            <w:tcW w:w="1214" w:type="dxa"/>
            <w:vMerge w:val="continue"/>
            <w:tcBorders>
              <w:top w:val="nil"/>
            </w:tcBorders>
            <w:vAlign w:val="top"/>
          </w:tcPr>
          <w:p w14:paraId="632B4121">
            <w:pPr>
              <w:rPr>
                <w:rFonts w:ascii="Arial"/>
                <w:sz w:val="21"/>
              </w:rPr>
            </w:pPr>
          </w:p>
        </w:tc>
        <w:tc>
          <w:tcPr>
            <w:tcW w:w="719" w:type="dxa"/>
            <w:vMerge w:val="continue"/>
            <w:tcBorders>
              <w:top w:val="nil"/>
            </w:tcBorders>
            <w:vAlign w:val="top"/>
          </w:tcPr>
          <w:p w14:paraId="456CF225">
            <w:pPr>
              <w:rPr>
                <w:rFonts w:ascii="Arial"/>
                <w:sz w:val="21"/>
              </w:rPr>
            </w:pPr>
          </w:p>
        </w:tc>
        <w:tc>
          <w:tcPr>
            <w:tcW w:w="732" w:type="dxa"/>
            <w:vAlign w:val="top"/>
          </w:tcPr>
          <w:p w14:paraId="4D7D3CFB">
            <w:pPr>
              <w:pStyle w:val="6"/>
              <w:spacing w:before="221" w:line="228" w:lineRule="auto"/>
              <w:ind w:left="163"/>
            </w:pPr>
            <w:r>
              <w:rPr>
                <w:spacing w:val="3"/>
              </w:rPr>
              <w:t>核算</w:t>
            </w:r>
          </w:p>
          <w:p w14:paraId="27D923C5">
            <w:pPr>
              <w:pStyle w:val="6"/>
              <w:spacing w:before="78" w:line="230" w:lineRule="auto"/>
              <w:ind w:left="161"/>
            </w:pPr>
            <w:r>
              <w:rPr>
                <w:spacing w:val="4"/>
              </w:rPr>
              <w:t>方法</w:t>
            </w:r>
          </w:p>
        </w:tc>
        <w:tc>
          <w:tcPr>
            <w:tcW w:w="833" w:type="dxa"/>
            <w:vAlign w:val="top"/>
          </w:tcPr>
          <w:p w14:paraId="6EF6CBDC">
            <w:pPr>
              <w:pStyle w:val="6"/>
              <w:spacing w:before="58" w:line="229" w:lineRule="auto"/>
              <w:ind w:left="220"/>
            </w:pPr>
            <w:r>
              <w:rPr>
                <w:spacing w:val="-1"/>
              </w:rPr>
              <w:t>噪声</w:t>
            </w:r>
          </w:p>
          <w:p w14:paraId="27B84BFA">
            <w:pPr>
              <w:pStyle w:val="6"/>
              <w:spacing w:before="78" w:line="228" w:lineRule="auto"/>
              <w:ind w:left="316"/>
            </w:pPr>
            <w:r>
              <w:t>值</w:t>
            </w:r>
          </w:p>
          <w:p w14:paraId="79910C9B">
            <w:pPr>
              <w:spacing w:before="48" w:line="274" w:lineRule="exact"/>
              <w:ind w:left="119"/>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dB</w:t>
            </w:r>
            <w:r>
              <w:rPr>
                <w:rFonts w:ascii="Times New Roman" w:hAnsi="Times New Roman" w:eastAsia="Times New Roman" w:cs="Times New Roman"/>
                <w:spacing w:val="6"/>
                <w:position w:val="3"/>
                <w:sz w:val="20"/>
                <w:szCs w:val="20"/>
              </w:rPr>
              <w:t>(A)</w:t>
            </w:r>
          </w:p>
        </w:tc>
        <w:tc>
          <w:tcPr>
            <w:tcW w:w="750" w:type="dxa"/>
            <w:vAlign w:val="top"/>
          </w:tcPr>
          <w:p w14:paraId="5860D468">
            <w:pPr>
              <w:spacing w:line="316" w:lineRule="auto"/>
              <w:rPr>
                <w:rFonts w:ascii="Arial"/>
                <w:sz w:val="21"/>
              </w:rPr>
            </w:pPr>
          </w:p>
          <w:p w14:paraId="6C94A545">
            <w:pPr>
              <w:pStyle w:val="6"/>
              <w:spacing w:before="65" w:line="239" w:lineRule="auto"/>
              <w:ind w:left="172"/>
            </w:pPr>
            <w:r>
              <w:rPr>
                <w:spacing w:val="3"/>
              </w:rPr>
              <w:t>工艺</w:t>
            </w:r>
          </w:p>
        </w:tc>
        <w:tc>
          <w:tcPr>
            <w:tcW w:w="1030" w:type="dxa"/>
            <w:vAlign w:val="top"/>
          </w:tcPr>
          <w:p w14:paraId="28E900EB">
            <w:pPr>
              <w:pStyle w:val="6"/>
              <w:spacing w:before="222" w:line="289" w:lineRule="auto"/>
              <w:ind w:left="124" w:right="110" w:firstLine="96"/>
              <w:rPr>
                <w:rFonts w:ascii="Times New Roman" w:hAnsi="Times New Roman" w:eastAsia="Times New Roman" w:cs="Times New Roman"/>
              </w:rPr>
            </w:pPr>
            <w:r>
              <w:rPr>
                <w:spacing w:val="1"/>
              </w:rPr>
              <w:t>降噪效</w:t>
            </w:r>
            <w:r>
              <w:t xml:space="preserve">  </w:t>
            </w:r>
            <w:r>
              <w:rPr>
                <w:spacing w:val="4"/>
              </w:rPr>
              <w:t>果</w:t>
            </w:r>
            <w:r>
              <w:rPr>
                <w:rFonts w:ascii="Times New Roman" w:hAnsi="Times New Roman" w:eastAsia="Times New Roman" w:cs="Times New Roman"/>
                <w:spacing w:val="4"/>
              </w:rPr>
              <w:t>/</w:t>
            </w:r>
            <w:r>
              <w:rPr>
                <w:rFonts w:ascii="Times New Roman" w:hAnsi="Times New Roman" w:eastAsia="Times New Roman" w:cs="Times New Roman"/>
              </w:rPr>
              <w:t>dB</w:t>
            </w:r>
            <w:r>
              <w:rPr>
                <w:rFonts w:ascii="Times New Roman" w:hAnsi="Times New Roman" w:eastAsia="Times New Roman" w:cs="Times New Roman"/>
                <w:spacing w:val="4"/>
              </w:rPr>
              <w:t>(A)</w:t>
            </w:r>
          </w:p>
        </w:tc>
        <w:tc>
          <w:tcPr>
            <w:tcW w:w="719" w:type="dxa"/>
            <w:vAlign w:val="top"/>
          </w:tcPr>
          <w:p w14:paraId="127BEA46">
            <w:pPr>
              <w:pStyle w:val="6"/>
              <w:spacing w:before="221" w:line="228" w:lineRule="auto"/>
              <w:ind w:left="158"/>
            </w:pPr>
            <w:r>
              <w:rPr>
                <w:spacing w:val="3"/>
              </w:rPr>
              <w:t>核算</w:t>
            </w:r>
          </w:p>
          <w:p w14:paraId="729DCA09">
            <w:pPr>
              <w:pStyle w:val="6"/>
              <w:spacing w:before="78" w:line="230" w:lineRule="auto"/>
              <w:ind w:left="157"/>
            </w:pPr>
            <w:r>
              <w:rPr>
                <w:spacing w:val="4"/>
              </w:rPr>
              <w:t>方法</w:t>
            </w:r>
          </w:p>
        </w:tc>
        <w:tc>
          <w:tcPr>
            <w:tcW w:w="988" w:type="dxa"/>
            <w:vAlign w:val="top"/>
          </w:tcPr>
          <w:p w14:paraId="23C6D2DC">
            <w:pPr>
              <w:pStyle w:val="6"/>
              <w:spacing w:before="221" w:line="300" w:lineRule="auto"/>
              <w:ind w:left="196" w:right="176" w:hanging="1"/>
              <w:rPr>
                <w:rFonts w:ascii="Times New Roman" w:hAnsi="Times New Roman" w:eastAsia="Times New Roman" w:cs="Times New Roman"/>
              </w:rPr>
            </w:pPr>
            <w:r>
              <w:rPr>
                <w:spacing w:val="3"/>
              </w:rPr>
              <w:t>噪声值</w:t>
            </w:r>
            <w:r>
              <w:rPr>
                <w:spacing w:val="1"/>
              </w:rPr>
              <w:t xml:space="preserve"> </w:t>
            </w:r>
            <w:r>
              <w:rPr>
                <w:rFonts w:ascii="Times New Roman" w:hAnsi="Times New Roman" w:eastAsia="Times New Roman" w:cs="Times New Roman"/>
                <w:spacing w:val="6"/>
              </w:rPr>
              <w:t>/</w:t>
            </w:r>
            <w:r>
              <w:rPr>
                <w:rFonts w:ascii="Times New Roman" w:hAnsi="Times New Roman" w:eastAsia="Times New Roman" w:cs="Times New Roman"/>
              </w:rPr>
              <w:t>dB</w:t>
            </w:r>
            <w:r>
              <w:rPr>
                <w:rFonts w:ascii="Times New Roman" w:hAnsi="Times New Roman" w:eastAsia="Times New Roman" w:cs="Times New Roman"/>
                <w:spacing w:val="6"/>
              </w:rPr>
              <w:t>(A)</w:t>
            </w:r>
          </w:p>
        </w:tc>
        <w:tc>
          <w:tcPr>
            <w:tcW w:w="829" w:type="dxa"/>
            <w:vMerge w:val="continue"/>
            <w:tcBorders>
              <w:top w:val="nil"/>
            </w:tcBorders>
            <w:vAlign w:val="top"/>
          </w:tcPr>
          <w:p w14:paraId="1DC1492B">
            <w:pPr>
              <w:rPr>
                <w:rFonts w:ascii="Arial"/>
                <w:sz w:val="21"/>
              </w:rPr>
            </w:pPr>
          </w:p>
        </w:tc>
      </w:tr>
      <w:tr w14:paraId="09BE0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36" w:type="dxa"/>
            <w:gridSpan w:val="2"/>
            <w:vMerge w:val="restart"/>
            <w:tcBorders>
              <w:bottom w:val="nil"/>
            </w:tcBorders>
            <w:vAlign w:val="top"/>
          </w:tcPr>
          <w:p w14:paraId="3E74BF25">
            <w:pPr>
              <w:pStyle w:val="6"/>
              <w:spacing w:before="228" w:line="228" w:lineRule="auto"/>
              <w:ind w:left="259"/>
            </w:pPr>
            <w:r>
              <w:rPr>
                <w:spacing w:val="6"/>
              </w:rPr>
              <w:t>养殖区</w:t>
            </w:r>
          </w:p>
        </w:tc>
        <w:tc>
          <w:tcPr>
            <w:tcW w:w="1214" w:type="dxa"/>
            <w:vAlign w:val="top"/>
          </w:tcPr>
          <w:p w14:paraId="152CEDE5">
            <w:pPr>
              <w:pStyle w:val="6"/>
              <w:spacing w:before="60" w:line="229" w:lineRule="auto"/>
              <w:ind w:left="190"/>
            </w:pPr>
            <w:r>
              <w:rPr>
                <w:spacing w:val="7"/>
              </w:rPr>
              <w:t>猪只叫声</w:t>
            </w:r>
          </w:p>
        </w:tc>
        <w:tc>
          <w:tcPr>
            <w:tcW w:w="719" w:type="dxa"/>
            <w:vAlign w:val="top"/>
          </w:tcPr>
          <w:p w14:paraId="25DFEF8A">
            <w:pPr>
              <w:pStyle w:val="6"/>
              <w:spacing w:before="60" w:line="229" w:lineRule="auto"/>
              <w:ind w:left="155"/>
            </w:pPr>
            <w:r>
              <w:rPr>
                <w:spacing w:val="4"/>
              </w:rPr>
              <w:t>频发</w:t>
            </w:r>
          </w:p>
        </w:tc>
        <w:tc>
          <w:tcPr>
            <w:tcW w:w="732" w:type="dxa"/>
            <w:vMerge w:val="restart"/>
            <w:tcBorders>
              <w:bottom w:val="nil"/>
            </w:tcBorders>
            <w:vAlign w:val="top"/>
          </w:tcPr>
          <w:p w14:paraId="119E05FD">
            <w:pPr>
              <w:spacing w:line="273" w:lineRule="auto"/>
              <w:rPr>
                <w:rFonts w:ascii="Arial"/>
                <w:sz w:val="21"/>
              </w:rPr>
            </w:pPr>
          </w:p>
          <w:p w14:paraId="66CB5B8E">
            <w:pPr>
              <w:spacing w:line="273" w:lineRule="auto"/>
              <w:rPr>
                <w:rFonts w:ascii="Arial"/>
                <w:sz w:val="21"/>
              </w:rPr>
            </w:pPr>
          </w:p>
          <w:p w14:paraId="199A8B6B">
            <w:pPr>
              <w:spacing w:line="274" w:lineRule="auto"/>
              <w:rPr>
                <w:rFonts w:ascii="Arial"/>
                <w:sz w:val="21"/>
              </w:rPr>
            </w:pPr>
          </w:p>
          <w:p w14:paraId="26877CAB">
            <w:pPr>
              <w:pStyle w:val="6"/>
              <w:spacing w:before="65" w:line="303" w:lineRule="auto"/>
              <w:ind w:left="266" w:right="156" w:hanging="106"/>
            </w:pPr>
            <w:r>
              <w:rPr>
                <w:spacing w:val="4"/>
              </w:rPr>
              <w:t>类比</w:t>
            </w:r>
            <w:r>
              <w:t xml:space="preserve"> 法</w:t>
            </w:r>
          </w:p>
        </w:tc>
        <w:tc>
          <w:tcPr>
            <w:tcW w:w="833" w:type="dxa"/>
            <w:vAlign w:val="top"/>
          </w:tcPr>
          <w:p w14:paraId="4C3EF70B">
            <w:pPr>
              <w:spacing w:before="98" w:line="192"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750" w:type="dxa"/>
            <w:vAlign w:val="top"/>
          </w:tcPr>
          <w:p w14:paraId="393446EF">
            <w:pPr>
              <w:pStyle w:val="6"/>
              <w:spacing w:before="60" w:line="229" w:lineRule="auto"/>
              <w:ind w:left="182"/>
            </w:pPr>
            <w:r>
              <w:rPr>
                <w:spacing w:val="-2"/>
              </w:rPr>
              <w:t>隔声</w:t>
            </w:r>
          </w:p>
        </w:tc>
        <w:tc>
          <w:tcPr>
            <w:tcW w:w="1030" w:type="dxa"/>
            <w:vAlign w:val="top"/>
          </w:tcPr>
          <w:p w14:paraId="3E7E544B">
            <w:pPr>
              <w:spacing w:before="29"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19" w:type="dxa"/>
            <w:vMerge w:val="restart"/>
            <w:tcBorders>
              <w:bottom w:val="nil"/>
            </w:tcBorders>
            <w:vAlign w:val="top"/>
          </w:tcPr>
          <w:p w14:paraId="45093021">
            <w:pPr>
              <w:spacing w:line="329" w:lineRule="auto"/>
              <w:rPr>
                <w:rFonts w:ascii="Arial"/>
                <w:sz w:val="21"/>
              </w:rPr>
            </w:pPr>
          </w:p>
          <w:p w14:paraId="11AB278D">
            <w:pPr>
              <w:spacing w:line="329" w:lineRule="auto"/>
              <w:rPr>
                <w:rFonts w:ascii="Arial"/>
                <w:sz w:val="21"/>
              </w:rPr>
            </w:pPr>
          </w:p>
          <w:p w14:paraId="2156809F">
            <w:pPr>
              <w:pStyle w:val="6"/>
              <w:spacing w:before="65" w:line="229" w:lineRule="auto"/>
              <w:ind w:left="156"/>
            </w:pPr>
            <w:r>
              <w:rPr>
                <w:spacing w:val="4"/>
              </w:rPr>
              <w:t>物料</w:t>
            </w:r>
          </w:p>
          <w:p w14:paraId="3368408C">
            <w:pPr>
              <w:pStyle w:val="6"/>
              <w:spacing w:before="78" w:line="303" w:lineRule="auto"/>
              <w:ind w:left="262" w:right="148" w:hanging="106"/>
            </w:pPr>
            <w:r>
              <w:rPr>
                <w:spacing w:val="4"/>
              </w:rPr>
              <w:t>衡算</w:t>
            </w:r>
            <w:r>
              <w:t xml:space="preserve"> 法</w:t>
            </w:r>
          </w:p>
        </w:tc>
        <w:tc>
          <w:tcPr>
            <w:tcW w:w="988" w:type="dxa"/>
            <w:vAlign w:val="top"/>
          </w:tcPr>
          <w:p w14:paraId="307EBCA3">
            <w:pPr>
              <w:spacing w:before="29" w:line="274" w:lineRule="exact"/>
              <w:ind w:left="39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829" w:type="dxa"/>
            <w:vMerge w:val="restart"/>
            <w:tcBorders>
              <w:bottom w:val="nil"/>
            </w:tcBorders>
            <w:vAlign w:val="top"/>
          </w:tcPr>
          <w:p w14:paraId="2BCD67C7">
            <w:pPr>
              <w:spacing w:line="465" w:lineRule="auto"/>
              <w:rPr>
                <w:rFonts w:ascii="Arial"/>
                <w:sz w:val="21"/>
              </w:rPr>
            </w:pPr>
          </w:p>
          <w:p w14:paraId="7A87BB5C">
            <w:pPr>
              <w:spacing w:before="58" w:line="274" w:lineRule="exact"/>
              <w:ind w:left="21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8760</w:t>
            </w:r>
          </w:p>
        </w:tc>
      </w:tr>
      <w:tr w14:paraId="3D7F1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136" w:type="dxa"/>
            <w:gridSpan w:val="2"/>
            <w:vMerge w:val="continue"/>
            <w:tcBorders>
              <w:top w:val="nil"/>
            </w:tcBorders>
            <w:vAlign w:val="top"/>
          </w:tcPr>
          <w:p w14:paraId="5D391EBF">
            <w:pPr>
              <w:rPr>
                <w:rFonts w:ascii="Arial"/>
                <w:sz w:val="21"/>
              </w:rPr>
            </w:pPr>
          </w:p>
        </w:tc>
        <w:tc>
          <w:tcPr>
            <w:tcW w:w="1214" w:type="dxa"/>
            <w:vAlign w:val="top"/>
          </w:tcPr>
          <w:p w14:paraId="217D368A">
            <w:pPr>
              <w:pStyle w:val="6"/>
              <w:spacing w:before="60" w:line="230" w:lineRule="auto"/>
              <w:ind w:left="295"/>
            </w:pPr>
            <w:r>
              <w:rPr>
                <w:spacing w:val="6"/>
              </w:rPr>
              <w:t>排气扇</w:t>
            </w:r>
          </w:p>
        </w:tc>
        <w:tc>
          <w:tcPr>
            <w:tcW w:w="719" w:type="dxa"/>
            <w:vAlign w:val="top"/>
          </w:tcPr>
          <w:p w14:paraId="4FAC8C86">
            <w:pPr>
              <w:pStyle w:val="6"/>
              <w:spacing w:before="60" w:line="229" w:lineRule="auto"/>
              <w:ind w:left="155"/>
            </w:pPr>
            <w:r>
              <w:rPr>
                <w:spacing w:val="4"/>
              </w:rPr>
              <w:t>频发</w:t>
            </w:r>
          </w:p>
        </w:tc>
        <w:tc>
          <w:tcPr>
            <w:tcW w:w="732" w:type="dxa"/>
            <w:vMerge w:val="continue"/>
            <w:tcBorders>
              <w:top w:val="nil"/>
              <w:bottom w:val="nil"/>
            </w:tcBorders>
            <w:vAlign w:val="top"/>
          </w:tcPr>
          <w:p w14:paraId="731D81C9">
            <w:pPr>
              <w:rPr>
                <w:rFonts w:ascii="Arial"/>
                <w:sz w:val="21"/>
              </w:rPr>
            </w:pPr>
          </w:p>
        </w:tc>
        <w:tc>
          <w:tcPr>
            <w:tcW w:w="833" w:type="dxa"/>
            <w:vAlign w:val="top"/>
          </w:tcPr>
          <w:p w14:paraId="342C27A7">
            <w:pPr>
              <w:spacing w:before="30" w:line="274" w:lineRule="exact"/>
              <w:ind w:left="3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750" w:type="dxa"/>
            <w:vAlign w:val="top"/>
          </w:tcPr>
          <w:p w14:paraId="0F8135A7">
            <w:pPr>
              <w:pStyle w:val="6"/>
              <w:spacing w:before="60" w:line="229" w:lineRule="auto"/>
              <w:ind w:left="182"/>
            </w:pPr>
            <w:r>
              <w:rPr>
                <w:spacing w:val="-2"/>
              </w:rPr>
              <w:t>隔声</w:t>
            </w:r>
          </w:p>
        </w:tc>
        <w:tc>
          <w:tcPr>
            <w:tcW w:w="1030" w:type="dxa"/>
            <w:vAlign w:val="top"/>
          </w:tcPr>
          <w:p w14:paraId="0094A18C">
            <w:pPr>
              <w:spacing w:before="30"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19" w:type="dxa"/>
            <w:vMerge w:val="continue"/>
            <w:tcBorders>
              <w:top w:val="nil"/>
              <w:bottom w:val="nil"/>
            </w:tcBorders>
            <w:vAlign w:val="top"/>
          </w:tcPr>
          <w:p w14:paraId="3BAC7217">
            <w:pPr>
              <w:rPr>
                <w:rFonts w:ascii="Arial"/>
                <w:sz w:val="21"/>
              </w:rPr>
            </w:pPr>
          </w:p>
        </w:tc>
        <w:tc>
          <w:tcPr>
            <w:tcW w:w="988" w:type="dxa"/>
            <w:vAlign w:val="top"/>
          </w:tcPr>
          <w:p w14:paraId="3D5A0517">
            <w:pPr>
              <w:spacing w:before="30"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829" w:type="dxa"/>
            <w:vMerge w:val="continue"/>
            <w:tcBorders>
              <w:top w:val="nil"/>
              <w:bottom w:val="nil"/>
            </w:tcBorders>
            <w:vAlign w:val="top"/>
          </w:tcPr>
          <w:p w14:paraId="42930561">
            <w:pPr>
              <w:rPr>
                <w:rFonts w:ascii="Arial"/>
                <w:sz w:val="21"/>
              </w:rPr>
            </w:pPr>
          </w:p>
        </w:tc>
      </w:tr>
      <w:tr w14:paraId="127E6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136" w:type="dxa"/>
            <w:gridSpan w:val="2"/>
            <w:vAlign w:val="top"/>
          </w:tcPr>
          <w:p w14:paraId="34449F19">
            <w:pPr>
              <w:pStyle w:val="6"/>
              <w:spacing w:before="60" w:line="228" w:lineRule="auto"/>
              <w:ind w:left="153"/>
            </w:pPr>
            <w:r>
              <w:rPr>
                <w:spacing w:val="7"/>
              </w:rPr>
              <w:t>有机肥发</w:t>
            </w:r>
          </w:p>
          <w:p w14:paraId="042878EA">
            <w:pPr>
              <w:pStyle w:val="6"/>
              <w:spacing w:before="80" w:line="228" w:lineRule="auto"/>
              <w:ind w:left="259"/>
            </w:pPr>
            <w:r>
              <w:rPr>
                <w:spacing w:val="6"/>
              </w:rPr>
              <w:t>酵车间</w:t>
            </w:r>
          </w:p>
        </w:tc>
        <w:tc>
          <w:tcPr>
            <w:tcW w:w="1214" w:type="dxa"/>
            <w:vAlign w:val="top"/>
          </w:tcPr>
          <w:p w14:paraId="7A94E0F9">
            <w:pPr>
              <w:pStyle w:val="6"/>
              <w:spacing w:before="222" w:line="228" w:lineRule="auto"/>
              <w:ind w:left="404"/>
            </w:pPr>
            <w:r>
              <w:rPr>
                <w:spacing w:val="3"/>
              </w:rPr>
              <w:t>水泵</w:t>
            </w:r>
          </w:p>
        </w:tc>
        <w:tc>
          <w:tcPr>
            <w:tcW w:w="719" w:type="dxa"/>
            <w:vAlign w:val="top"/>
          </w:tcPr>
          <w:p w14:paraId="2F552079">
            <w:pPr>
              <w:pStyle w:val="6"/>
              <w:spacing w:before="224" w:line="229" w:lineRule="auto"/>
              <w:ind w:left="155"/>
            </w:pPr>
            <w:r>
              <w:rPr>
                <w:spacing w:val="4"/>
              </w:rPr>
              <w:t>频发</w:t>
            </w:r>
          </w:p>
        </w:tc>
        <w:tc>
          <w:tcPr>
            <w:tcW w:w="732" w:type="dxa"/>
            <w:vMerge w:val="continue"/>
            <w:tcBorders>
              <w:top w:val="nil"/>
              <w:bottom w:val="nil"/>
            </w:tcBorders>
            <w:vAlign w:val="top"/>
          </w:tcPr>
          <w:p w14:paraId="11967CFA">
            <w:pPr>
              <w:rPr>
                <w:rFonts w:ascii="Arial"/>
                <w:sz w:val="21"/>
              </w:rPr>
            </w:pPr>
          </w:p>
        </w:tc>
        <w:tc>
          <w:tcPr>
            <w:tcW w:w="833" w:type="dxa"/>
            <w:vAlign w:val="top"/>
          </w:tcPr>
          <w:p w14:paraId="0F9F7DCC">
            <w:pPr>
              <w:spacing w:before="193" w:line="274" w:lineRule="exact"/>
              <w:ind w:left="3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750" w:type="dxa"/>
            <w:vAlign w:val="top"/>
          </w:tcPr>
          <w:p w14:paraId="2360A9BE">
            <w:pPr>
              <w:pStyle w:val="6"/>
              <w:spacing w:before="60" w:line="270" w:lineRule="auto"/>
              <w:ind w:left="276" w:right="165" w:hanging="107"/>
            </w:pPr>
            <w:r>
              <w:rPr>
                <w:spacing w:val="4"/>
              </w:rPr>
              <w:t>减震</w:t>
            </w:r>
            <w:r>
              <w:t xml:space="preserve"> 垫</w:t>
            </w:r>
          </w:p>
        </w:tc>
        <w:tc>
          <w:tcPr>
            <w:tcW w:w="1030" w:type="dxa"/>
            <w:vAlign w:val="top"/>
          </w:tcPr>
          <w:p w14:paraId="484FA6AA">
            <w:pPr>
              <w:spacing w:before="193"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19" w:type="dxa"/>
            <w:vMerge w:val="continue"/>
            <w:tcBorders>
              <w:top w:val="nil"/>
              <w:bottom w:val="nil"/>
            </w:tcBorders>
            <w:vAlign w:val="top"/>
          </w:tcPr>
          <w:p w14:paraId="05F6F023">
            <w:pPr>
              <w:rPr>
                <w:rFonts w:ascii="Arial"/>
                <w:sz w:val="21"/>
              </w:rPr>
            </w:pPr>
          </w:p>
        </w:tc>
        <w:tc>
          <w:tcPr>
            <w:tcW w:w="988" w:type="dxa"/>
            <w:vAlign w:val="top"/>
          </w:tcPr>
          <w:p w14:paraId="791F7201">
            <w:pPr>
              <w:spacing w:before="262" w:line="192"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829" w:type="dxa"/>
            <w:vMerge w:val="continue"/>
            <w:tcBorders>
              <w:top w:val="nil"/>
            </w:tcBorders>
            <w:vAlign w:val="top"/>
          </w:tcPr>
          <w:p w14:paraId="7F8AE2FF">
            <w:pPr>
              <w:rPr>
                <w:rFonts w:ascii="Arial"/>
                <w:sz w:val="21"/>
              </w:rPr>
            </w:pPr>
          </w:p>
        </w:tc>
      </w:tr>
      <w:tr w14:paraId="0B097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6" w:hRule="atLeast"/>
        </w:trPr>
        <w:tc>
          <w:tcPr>
            <w:tcW w:w="1136" w:type="dxa"/>
            <w:gridSpan w:val="2"/>
            <w:vAlign w:val="top"/>
          </w:tcPr>
          <w:p w14:paraId="62065545">
            <w:pPr>
              <w:spacing w:line="319" w:lineRule="auto"/>
              <w:rPr>
                <w:rFonts w:ascii="Arial"/>
                <w:sz w:val="21"/>
              </w:rPr>
            </w:pPr>
          </w:p>
          <w:p w14:paraId="1F08B2E1">
            <w:pPr>
              <w:pStyle w:val="6"/>
              <w:spacing w:before="65" w:line="229" w:lineRule="auto"/>
              <w:ind w:left="258"/>
            </w:pPr>
            <w:r>
              <w:rPr>
                <w:spacing w:val="6"/>
              </w:rPr>
              <w:t>配电房</w:t>
            </w:r>
          </w:p>
        </w:tc>
        <w:tc>
          <w:tcPr>
            <w:tcW w:w="1214" w:type="dxa"/>
            <w:vAlign w:val="top"/>
          </w:tcPr>
          <w:p w14:paraId="47561CF5">
            <w:pPr>
              <w:spacing w:line="318" w:lineRule="auto"/>
              <w:rPr>
                <w:rFonts w:ascii="Arial"/>
                <w:sz w:val="21"/>
              </w:rPr>
            </w:pPr>
          </w:p>
          <w:p w14:paraId="7A25CB92">
            <w:pPr>
              <w:pStyle w:val="6"/>
              <w:spacing w:before="65" w:line="228" w:lineRule="auto"/>
              <w:ind w:left="299"/>
            </w:pPr>
            <w:r>
              <w:rPr>
                <w:spacing w:val="5"/>
              </w:rPr>
              <w:t>发电机</w:t>
            </w:r>
          </w:p>
        </w:tc>
        <w:tc>
          <w:tcPr>
            <w:tcW w:w="719" w:type="dxa"/>
            <w:vAlign w:val="top"/>
          </w:tcPr>
          <w:p w14:paraId="11D59E93">
            <w:pPr>
              <w:spacing w:line="319" w:lineRule="auto"/>
              <w:rPr>
                <w:rFonts w:ascii="Arial"/>
                <w:sz w:val="21"/>
              </w:rPr>
            </w:pPr>
          </w:p>
          <w:p w14:paraId="6A6AB6B9">
            <w:pPr>
              <w:pStyle w:val="6"/>
              <w:spacing w:before="65" w:line="229" w:lineRule="auto"/>
              <w:ind w:left="155"/>
            </w:pPr>
            <w:r>
              <w:rPr>
                <w:spacing w:val="4"/>
              </w:rPr>
              <w:t>频发</w:t>
            </w:r>
          </w:p>
        </w:tc>
        <w:tc>
          <w:tcPr>
            <w:tcW w:w="732" w:type="dxa"/>
            <w:vMerge w:val="continue"/>
            <w:tcBorders>
              <w:top w:val="nil"/>
            </w:tcBorders>
            <w:vAlign w:val="top"/>
          </w:tcPr>
          <w:p w14:paraId="4A28B2CD">
            <w:pPr>
              <w:rPr>
                <w:rFonts w:ascii="Arial"/>
                <w:sz w:val="21"/>
              </w:rPr>
            </w:pPr>
          </w:p>
        </w:tc>
        <w:tc>
          <w:tcPr>
            <w:tcW w:w="833" w:type="dxa"/>
            <w:vAlign w:val="top"/>
          </w:tcPr>
          <w:p w14:paraId="5100A97F">
            <w:pPr>
              <w:spacing w:line="296" w:lineRule="auto"/>
              <w:rPr>
                <w:rFonts w:ascii="Arial"/>
                <w:sz w:val="21"/>
              </w:rPr>
            </w:pPr>
          </w:p>
          <w:p w14:paraId="3747A274">
            <w:pPr>
              <w:spacing w:before="57" w:line="274" w:lineRule="exact"/>
              <w:ind w:left="3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750" w:type="dxa"/>
            <w:vAlign w:val="top"/>
          </w:tcPr>
          <w:p w14:paraId="3EE382E7">
            <w:pPr>
              <w:pStyle w:val="6"/>
              <w:spacing w:before="62" w:line="229" w:lineRule="auto"/>
              <w:ind w:left="169"/>
            </w:pPr>
            <w:r>
              <w:rPr>
                <w:spacing w:val="4"/>
              </w:rPr>
              <w:t>减震</w:t>
            </w:r>
          </w:p>
          <w:p w14:paraId="21A11D07">
            <w:pPr>
              <w:pStyle w:val="6"/>
              <w:spacing w:before="75" w:line="230" w:lineRule="auto"/>
              <w:ind w:left="116"/>
            </w:pPr>
            <w:r>
              <w:rPr>
                <w:spacing w:val="-22"/>
              </w:rPr>
              <w:t>垫、隔</w:t>
            </w:r>
          </w:p>
          <w:p w14:paraId="17F4DDA0">
            <w:pPr>
              <w:pStyle w:val="6"/>
              <w:spacing w:before="77" w:line="229" w:lineRule="auto"/>
              <w:ind w:left="279"/>
            </w:pPr>
            <w:r>
              <w:t>声</w:t>
            </w:r>
          </w:p>
        </w:tc>
        <w:tc>
          <w:tcPr>
            <w:tcW w:w="1030" w:type="dxa"/>
            <w:vAlign w:val="top"/>
          </w:tcPr>
          <w:p w14:paraId="5E1E0ADE">
            <w:pPr>
              <w:spacing w:line="296" w:lineRule="auto"/>
              <w:rPr>
                <w:rFonts w:ascii="Arial"/>
                <w:sz w:val="21"/>
              </w:rPr>
            </w:pPr>
          </w:p>
          <w:p w14:paraId="37D53886">
            <w:pPr>
              <w:spacing w:before="57"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719" w:type="dxa"/>
            <w:vMerge w:val="continue"/>
            <w:tcBorders>
              <w:top w:val="nil"/>
            </w:tcBorders>
            <w:vAlign w:val="top"/>
          </w:tcPr>
          <w:p w14:paraId="60DA2DDA">
            <w:pPr>
              <w:rPr>
                <w:rFonts w:ascii="Arial"/>
                <w:sz w:val="21"/>
              </w:rPr>
            </w:pPr>
          </w:p>
        </w:tc>
        <w:tc>
          <w:tcPr>
            <w:tcW w:w="988" w:type="dxa"/>
            <w:vAlign w:val="top"/>
          </w:tcPr>
          <w:p w14:paraId="6FB90F93">
            <w:pPr>
              <w:spacing w:line="296" w:lineRule="auto"/>
              <w:rPr>
                <w:rFonts w:ascii="Arial"/>
                <w:sz w:val="21"/>
              </w:rPr>
            </w:pPr>
          </w:p>
          <w:p w14:paraId="474B1D02">
            <w:pPr>
              <w:spacing w:before="57"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829" w:type="dxa"/>
            <w:vAlign w:val="top"/>
          </w:tcPr>
          <w:p w14:paraId="2A181626">
            <w:pPr>
              <w:spacing w:line="296" w:lineRule="auto"/>
              <w:rPr>
                <w:rFonts w:ascii="Arial"/>
                <w:sz w:val="21"/>
              </w:rPr>
            </w:pPr>
          </w:p>
          <w:p w14:paraId="74F87713">
            <w:pPr>
              <w:spacing w:before="57"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365</w:t>
            </w:r>
          </w:p>
        </w:tc>
      </w:tr>
    </w:tbl>
    <w:p w14:paraId="6C72BC1B">
      <w:pPr>
        <w:pStyle w:val="2"/>
        <w:spacing w:line="266" w:lineRule="auto"/>
      </w:pPr>
    </w:p>
    <w:p w14:paraId="6E312FF8">
      <w:pPr>
        <w:pStyle w:val="2"/>
        <w:spacing w:line="266" w:lineRule="auto"/>
      </w:pPr>
    </w:p>
    <w:p w14:paraId="195047AA">
      <w:pPr>
        <w:spacing w:before="79" w:line="220" w:lineRule="auto"/>
        <w:ind w:left="117"/>
        <w:outlineLvl w:val="1"/>
        <w:rPr>
          <w:rFonts w:ascii="宋体" w:hAnsi="宋体" w:eastAsia="宋体" w:cs="宋体"/>
          <w:sz w:val="24"/>
          <w:szCs w:val="24"/>
        </w:rPr>
      </w:pPr>
      <w:r>
        <w:rPr>
          <w:rFonts w:ascii="Times New Roman" w:hAnsi="Times New Roman" w:eastAsia="Times New Roman" w:cs="Times New Roman"/>
          <w:b/>
          <w:bCs/>
          <w:spacing w:val="-2"/>
          <w:sz w:val="24"/>
          <w:szCs w:val="24"/>
        </w:rPr>
        <w:t>3.5.4</w:t>
      </w:r>
      <w:r>
        <w:rPr>
          <w:rFonts w:ascii="宋体" w:hAnsi="宋体" w:eastAsia="宋体" w:cs="宋体"/>
          <w:b/>
          <w:bCs/>
          <w:spacing w:val="-2"/>
          <w:sz w:val="24"/>
          <w:szCs w:val="24"/>
        </w:rPr>
        <w:t>固体废弃物污染源</w:t>
      </w:r>
    </w:p>
    <w:p w14:paraId="10915A87">
      <w:pPr>
        <w:spacing w:before="204" w:line="362" w:lineRule="auto"/>
        <w:ind w:left="124" w:right="113" w:firstLine="479"/>
        <w:rPr>
          <w:rFonts w:ascii="宋体" w:hAnsi="宋体" w:eastAsia="宋体" w:cs="宋体"/>
          <w:sz w:val="24"/>
          <w:szCs w:val="24"/>
        </w:rPr>
      </w:pPr>
      <w:r>
        <w:rPr>
          <w:rFonts w:ascii="宋体" w:hAnsi="宋体" w:eastAsia="宋体" w:cs="宋体"/>
          <w:spacing w:val="2"/>
          <w:sz w:val="24"/>
          <w:szCs w:val="24"/>
        </w:rPr>
        <w:t>本项目固体废物主要包括粪便、病死猪尸体、员工的办公生活垃圾、废包装物</w:t>
      </w:r>
      <w:r>
        <w:rPr>
          <w:rFonts w:ascii="宋体" w:hAnsi="宋体" w:eastAsia="宋体" w:cs="宋体"/>
          <w:spacing w:val="9"/>
          <w:sz w:val="24"/>
          <w:szCs w:val="24"/>
        </w:rPr>
        <w:t xml:space="preserve"> </w:t>
      </w:r>
      <w:r>
        <w:rPr>
          <w:rFonts w:ascii="宋体" w:hAnsi="宋体" w:eastAsia="宋体" w:cs="宋体"/>
          <w:sz w:val="24"/>
          <w:szCs w:val="24"/>
        </w:rPr>
        <w:t>等。此外，猪只检疫、生病时使用医疗设备会产生少</w:t>
      </w:r>
      <w:r>
        <w:rPr>
          <w:rFonts w:ascii="宋体" w:hAnsi="宋体" w:eastAsia="宋体" w:cs="宋体"/>
          <w:spacing w:val="-1"/>
          <w:sz w:val="24"/>
          <w:szCs w:val="24"/>
        </w:rPr>
        <w:t>量医疗垃圾，属于危险废物。</w:t>
      </w:r>
    </w:p>
    <w:p w14:paraId="65162114">
      <w:pPr>
        <w:spacing w:line="360" w:lineRule="exact"/>
        <w:ind w:left="621"/>
        <w:rPr>
          <w:rFonts w:ascii="宋体" w:hAnsi="宋体" w:eastAsia="宋体" w:cs="宋体"/>
          <w:sz w:val="24"/>
          <w:szCs w:val="24"/>
        </w:rPr>
      </w:pPr>
      <w:r>
        <w:rPr>
          <w:rFonts w:ascii="Times New Roman" w:hAnsi="Times New Roman" w:eastAsia="Times New Roman" w:cs="Times New Roman"/>
          <w:spacing w:val="-14"/>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14"/>
          <w:position w:val="2"/>
          <w:sz w:val="24"/>
          <w:szCs w:val="24"/>
        </w:rPr>
        <w:t>、粪便</w:t>
      </w:r>
    </w:p>
    <w:p w14:paraId="7E4AFE2E">
      <w:pPr>
        <w:spacing w:before="128" w:line="363" w:lineRule="auto"/>
        <w:ind w:left="122" w:right="32" w:firstLine="482"/>
        <w:rPr>
          <w:rFonts w:ascii="宋体" w:hAnsi="宋体" w:eastAsia="宋体" w:cs="宋体"/>
          <w:sz w:val="24"/>
          <w:szCs w:val="24"/>
        </w:rPr>
      </w:pPr>
      <w:r>
        <w:rPr>
          <w:rFonts w:ascii="宋体" w:hAnsi="宋体" w:eastAsia="宋体" w:cs="宋体"/>
          <w:spacing w:val="-1"/>
          <w:sz w:val="24"/>
          <w:szCs w:val="24"/>
        </w:rPr>
        <w:t>参照《畜禽养殖业污染治理工程技术规范》（</w:t>
      </w:r>
      <w:r>
        <w:rPr>
          <w:rFonts w:ascii="Times New Roman" w:hAnsi="Times New Roman" w:eastAsia="Times New Roman" w:cs="Times New Roman"/>
          <w:spacing w:val="-1"/>
          <w:sz w:val="24"/>
          <w:szCs w:val="24"/>
        </w:rPr>
        <w:t>HJ497-2009</w:t>
      </w:r>
      <w:r>
        <w:rPr>
          <w:rFonts w:ascii="宋体" w:hAnsi="宋体" w:eastAsia="宋体" w:cs="宋体"/>
          <w:spacing w:val="-1"/>
          <w:sz w:val="24"/>
          <w:szCs w:val="24"/>
        </w:rPr>
        <w:t>）表</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头成年猪</w:t>
      </w:r>
      <w:r>
        <w:rPr>
          <w:rFonts w:ascii="宋体" w:hAnsi="宋体" w:eastAsia="宋体" w:cs="宋体"/>
          <w:sz w:val="24"/>
          <w:szCs w:val="24"/>
        </w:rPr>
        <w:t xml:space="preserve"> </w:t>
      </w:r>
      <w:r>
        <w:rPr>
          <w:rFonts w:ascii="宋体" w:hAnsi="宋体" w:eastAsia="宋体" w:cs="宋体"/>
          <w:spacing w:val="-10"/>
          <w:sz w:val="24"/>
          <w:szCs w:val="24"/>
        </w:rPr>
        <w:t>平均每天的粪排量为</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2kg</w:t>
      </w:r>
      <w:r>
        <w:rPr>
          <w:rFonts w:ascii="宋体" w:hAnsi="宋体" w:eastAsia="宋体" w:cs="宋体"/>
          <w:spacing w:val="-10"/>
          <w:sz w:val="24"/>
          <w:szCs w:val="24"/>
        </w:rPr>
        <w:t>，本项目存栏成年</w:t>
      </w:r>
      <w:r>
        <w:rPr>
          <w:rFonts w:ascii="宋体" w:hAnsi="宋体" w:eastAsia="宋体" w:cs="宋体"/>
          <w:spacing w:val="-11"/>
          <w:sz w:val="24"/>
          <w:szCs w:val="24"/>
        </w:rPr>
        <w:t>猪</w:t>
      </w:r>
      <w:r>
        <w:rPr>
          <w:rFonts w:ascii="宋体" w:hAnsi="宋体" w:eastAsia="宋体" w:cs="宋体"/>
          <w:spacing w:val="-51"/>
          <w:sz w:val="24"/>
          <w:szCs w:val="24"/>
        </w:rPr>
        <w:t xml:space="preserve"> </w:t>
      </w:r>
      <w:r>
        <w:rPr>
          <w:rFonts w:ascii="Times New Roman" w:hAnsi="Times New Roman" w:eastAsia="Times New Roman" w:cs="Times New Roman"/>
          <w:spacing w:val="-11"/>
          <w:sz w:val="24"/>
          <w:szCs w:val="24"/>
        </w:rPr>
        <w:t>7000</w:t>
      </w:r>
      <w:r>
        <w:rPr>
          <w:rFonts w:ascii="Times New Roman" w:hAnsi="Times New Roman" w:eastAsia="Times New Roman" w:cs="Times New Roman"/>
          <w:spacing w:val="13"/>
          <w:sz w:val="24"/>
          <w:szCs w:val="24"/>
        </w:rPr>
        <w:t xml:space="preserve"> </w:t>
      </w:r>
      <w:r>
        <w:rPr>
          <w:rFonts w:ascii="宋体" w:hAnsi="宋体" w:eastAsia="宋体" w:cs="宋体"/>
          <w:spacing w:val="-11"/>
          <w:sz w:val="24"/>
          <w:szCs w:val="24"/>
        </w:rPr>
        <w:t>头，则粪便产生量</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14t/d</w:t>
      </w:r>
      <w:r>
        <w:rPr>
          <w:rFonts w:ascii="宋体" w:hAnsi="宋体" w:eastAsia="宋体" w:cs="宋体"/>
          <w:spacing w:val="-11"/>
          <w:sz w:val="24"/>
          <w:szCs w:val="24"/>
        </w:rPr>
        <w:t>（</w:t>
      </w:r>
      <w:r>
        <w:rPr>
          <w:rFonts w:ascii="Times New Roman" w:hAnsi="Times New Roman" w:eastAsia="Times New Roman" w:cs="Times New Roman"/>
          <w:spacing w:val="-11"/>
          <w:sz w:val="24"/>
          <w:szCs w:val="24"/>
        </w:rPr>
        <w:t>5110t/a</w:t>
      </w:r>
      <w:r>
        <w:rPr>
          <w:rFonts w:ascii="宋体" w:hAnsi="宋体" w:eastAsia="宋体" w:cs="宋体"/>
          <w:spacing w:val="-11"/>
          <w:sz w:val="24"/>
          <w:szCs w:val="24"/>
        </w:rPr>
        <w:t>）。</w:t>
      </w:r>
    </w:p>
    <w:p w14:paraId="549D6F15">
      <w:pPr>
        <w:spacing w:before="69" w:line="345" w:lineRule="auto"/>
        <w:ind w:left="124" w:right="113" w:firstLine="478"/>
        <w:rPr>
          <w:rFonts w:ascii="宋体" w:hAnsi="宋体" w:eastAsia="宋体" w:cs="宋体"/>
          <w:sz w:val="24"/>
          <w:szCs w:val="24"/>
        </w:rPr>
      </w:pPr>
      <w:r>
        <w:rPr>
          <w:rFonts w:ascii="宋体" w:hAnsi="宋体" w:eastAsia="宋体" w:cs="宋体"/>
          <w:spacing w:val="2"/>
          <w:sz w:val="24"/>
          <w:szCs w:val="24"/>
        </w:rPr>
        <w:t>清理出来粪便放置在有机肥车间制肥，达到《畜禽养殖业污染物排放标准》中</w:t>
      </w:r>
      <w:r>
        <w:rPr>
          <w:rFonts w:ascii="宋体" w:hAnsi="宋体" w:eastAsia="宋体" w:cs="宋体"/>
          <w:spacing w:val="10"/>
          <w:sz w:val="24"/>
          <w:szCs w:val="24"/>
        </w:rPr>
        <w:t xml:space="preserve"> </w:t>
      </w:r>
      <w:r>
        <w:rPr>
          <w:rFonts w:ascii="宋体" w:hAnsi="宋体" w:eastAsia="宋体" w:cs="宋体"/>
          <w:sz w:val="24"/>
          <w:szCs w:val="24"/>
        </w:rPr>
        <w:t>畜禽养殖业废渣无害化标准中蛔虫卵死亡率≥</w:t>
      </w:r>
      <w:r>
        <w:rPr>
          <w:rFonts w:ascii="Times New Roman" w:hAnsi="Times New Roman" w:eastAsia="Times New Roman" w:cs="Times New Roman"/>
          <w:sz w:val="24"/>
          <w:szCs w:val="24"/>
        </w:rPr>
        <w:t>95</w:t>
      </w:r>
      <w:r>
        <w:rPr>
          <w:rFonts w:ascii="宋体" w:hAnsi="宋体" w:eastAsia="宋体" w:cs="宋体"/>
          <w:spacing w:val="17"/>
          <w:sz w:val="24"/>
          <w:szCs w:val="24"/>
        </w:rPr>
        <w:t>％，</w:t>
      </w:r>
      <w:r>
        <w:rPr>
          <w:rFonts w:ascii="宋体" w:hAnsi="宋体" w:eastAsia="宋体" w:cs="宋体"/>
          <w:sz w:val="24"/>
          <w:szCs w:val="24"/>
        </w:rPr>
        <w:t>粪大肠菌群数≤</w:t>
      </w:r>
      <w:r>
        <w:rPr>
          <w:rFonts w:ascii="Times New Roman" w:hAnsi="Times New Roman" w:eastAsia="Times New Roman" w:cs="Times New Roman"/>
          <w:sz w:val="24"/>
          <w:szCs w:val="24"/>
        </w:rPr>
        <w:t>10</w:t>
      </w:r>
      <w:r>
        <w:rPr>
          <w:rFonts w:ascii="Times New Roman" w:hAnsi="Times New Roman" w:eastAsia="Times New Roman" w:cs="Times New Roman"/>
          <w:position w:val="8"/>
          <w:sz w:val="15"/>
          <w:szCs w:val="15"/>
        </w:rPr>
        <w:t>5</w:t>
      </w:r>
      <w:r>
        <w:rPr>
          <w:rFonts w:ascii="Times New Roman" w:hAnsi="Times New Roman" w:eastAsia="Times New Roman" w:cs="Times New Roman"/>
          <w:spacing w:val="11"/>
          <w:w w:val="102"/>
          <w:position w:val="8"/>
          <w:sz w:val="15"/>
          <w:szCs w:val="15"/>
        </w:rPr>
        <w:t xml:space="preserve"> </w:t>
      </w:r>
      <w:r>
        <w:rPr>
          <w:rFonts w:ascii="宋体" w:hAnsi="宋体" w:eastAsia="宋体" w:cs="宋体"/>
          <w:sz w:val="24"/>
          <w:szCs w:val="24"/>
        </w:rPr>
        <w:t>个</w:t>
      </w:r>
      <w:r>
        <w:rPr>
          <w:rFonts w:ascii="Times New Roman" w:hAnsi="Times New Roman" w:eastAsia="Times New Roman" w:cs="Times New Roman"/>
          <w:sz w:val="24"/>
          <w:szCs w:val="24"/>
        </w:rPr>
        <w:t>/kg</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 xml:space="preserve">的要 </w:t>
      </w:r>
      <w:r>
        <w:rPr>
          <w:rFonts w:ascii="宋体" w:hAnsi="宋体" w:eastAsia="宋体" w:cs="宋体"/>
          <w:spacing w:val="-2"/>
          <w:sz w:val="24"/>
          <w:szCs w:val="24"/>
        </w:rPr>
        <w:t>求后作为农用肥料。</w:t>
      </w:r>
    </w:p>
    <w:p w14:paraId="53B74D8E">
      <w:pPr>
        <w:spacing w:line="345" w:lineRule="auto"/>
        <w:rPr>
          <w:rFonts w:ascii="宋体" w:hAnsi="宋体" w:eastAsia="宋体" w:cs="宋体"/>
          <w:sz w:val="24"/>
          <w:szCs w:val="24"/>
        </w:rPr>
        <w:sectPr>
          <w:footerReference r:id="rId84" w:type="default"/>
          <w:pgSz w:w="11906" w:h="16839"/>
          <w:pgMar w:top="400" w:right="1475" w:bottom="1425" w:left="1475" w:header="0" w:footer="1265" w:gutter="0"/>
          <w:cols w:space="720" w:num="1"/>
        </w:sectPr>
      </w:pPr>
    </w:p>
    <w:p w14:paraId="215F533F">
      <w:pPr>
        <w:pStyle w:val="2"/>
        <w:spacing w:line="264" w:lineRule="auto"/>
      </w:pPr>
    </w:p>
    <w:p w14:paraId="2424FCCE">
      <w:pPr>
        <w:pStyle w:val="2"/>
        <w:spacing w:line="265" w:lineRule="auto"/>
      </w:pPr>
    </w:p>
    <w:p w14:paraId="125BEBC9">
      <w:pPr>
        <w:pStyle w:val="2"/>
        <w:spacing w:line="265" w:lineRule="auto"/>
      </w:pPr>
    </w:p>
    <w:p w14:paraId="3093FD19">
      <w:pPr>
        <w:pStyle w:val="2"/>
        <w:spacing w:line="265" w:lineRule="auto"/>
      </w:pPr>
    </w:p>
    <w:p w14:paraId="4213F18F">
      <w:pPr>
        <w:spacing w:before="78" w:line="369" w:lineRule="auto"/>
        <w:ind w:right="27" w:firstLine="481"/>
        <w:jc w:val="both"/>
        <w:rPr>
          <w:rFonts w:ascii="宋体" w:hAnsi="宋体" w:eastAsia="宋体" w:cs="宋体"/>
          <w:sz w:val="24"/>
          <w:szCs w:val="24"/>
        </w:rPr>
      </w:pPr>
      <w:r>
        <w:rPr>
          <w:rFonts w:ascii="宋体" w:hAnsi="宋体" w:eastAsia="宋体" w:cs="宋体"/>
          <w:spacing w:val="2"/>
          <w:sz w:val="24"/>
          <w:szCs w:val="24"/>
        </w:rPr>
        <w:t>堆肥发酵是目前畜禽养殖常用的处理方法，通过发酵使粪便中的有机物氧化分</w:t>
      </w:r>
      <w:r>
        <w:rPr>
          <w:rFonts w:ascii="宋体" w:hAnsi="宋体" w:eastAsia="宋体" w:cs="宋体"/>
          <w:spacing w:val="9"/>
          <w:sz w:val="24"/>
          <w:szCs w:val="24"/>
        </w:rPr>
        <w:t xml:space="preserve"> </w:t>
      </w:r>
      <w:r>
        <w:rPr>
          <w:rFonts w:ascii="宋体" w:hAnsi="宋体" w:eastAsia="宋体" w:cs="宋体"/>
          <w:spacing w:val="2"/>
          <w:sz w:val="24"/>
          <w:szCs w:val="24"/>
        </w:rPr>
        <w:t>解，得到无臭、无虫（卵）及病原菌的优质有机肥料和再生饲料。畜禽粪便中易分</w:t>
      </w:r>
      <w:r>
        <w:rPr>
          <w:rFonts w:ascii="宋体" w:hAnsi="宋体" w:eastAsia="宋体" w:cs="宋体"/>
          <w:spacing w:val="7"/>
          <w:sz w:val="24"/>
          <w:szCs w:val="24"/>
        </w:rPr>
        <w:t xml:space="preserve"> </w:t>
      </w:r>
      <w:r>
        <w:rPr>
          <w:rFonts w:ascii="宋体" w:hAnsi="宋体" w:eastAsia="宋体" w:cs="宋体"/>
          <w:spacing w:val="2"/>
          <w:sz w:val="24"/>
          <w:szCs w:val="24"/>
        </w:rPr>
        <w:t>解的有机物大部分被分解，既抑制臭气产生，又分解了对农作物不利的物质。制成</w:t>
      </w:r>
      <w:r>
        <w:rPr>
          <w:rFonts w:ascii="宋体" w:hAnsi="宋体" w:eastAsia="宋体" w:cs="宋体"/>
          <w:spacing w:val="7"/>
          <w:sz w:val="24"/>
          <w:szCs w:val="24"/>
        </w:rPr>
        <w:t xml:space="preserve"> </w:t>
      </w:r>
      <w:r>
        <w:rPr>
          <w:rFonts w:ascii="宋体" w:hAnsi="宋体" w:eastAsia="宋体" w:cs="宋体"/>
          <w:sz w:val="24"/>
          <w:szCs w:val="24"/>
        </w:rPr>
        <w:t>有机肥料后部分回用于项目区域内果树及周边山林种植物的</w:t>
      </w:r>
      <w:r>
        <w:rPr>
          <w:rFonts w:ascii="宋体" w:hAnsi="宋体" w:eastAsia="宋体" w:cs="宋体"/>
          <w:spacing w:val="-1"/>
          <w:sz w:val="24"/>
          <w:szCs w:val="24"/>
        </w:rPr>
        <w:t>施肥，其余部分外售。</w:t>
      </w:r>
    </w:p>
    <w:p w14:paraId="00AE8A15">
      <w:pPr>
        <w:spacing w:line="361" w:lineRule="exact"/>
        <w:ind w:left="477"/>
        <w:rPr>
          <w:rFonts w:ascii="宋体" w:hAnsi="宋体" w:eastAsia="宋体" w:cs="宋体"/>
          <w:sz w:val="24"/>
          <w:szCs w:val="24"/>
        </w:rPr>
      </w:pPr>
      <w:r>
        <w:rPr>
          <w:rFonts w:ascii="Times New Roman" w:hAnsi="Times New Roman" w:eastAsia="Times New Roman" w:cs="Times New Roman"/>
          <w:spacing w:val="-5"/>
          <w:position w:val="2"/>
          <w:sz w:val="24"/>
          <w:szCs w:val="24"/>
        </w:rPr>
        <w:t>2</w:t>
      </w:r>
      <w:r>
        <w:rPr>
          <w:rFonts w:ascii="Times New Roman" w:hAnsi="Times New Roman" w:eastAsia="Times New Roman" w:cs="Times New Roman"/>
          <w:spacing w:val="-32"/>
          <w:position w:val="2"/>
          <w:sz w:val="24"/>
          <w:szCs w:val="24"/>
        </w:rPr>
        <w:t xml:space="preserve"> </w:t>
      </w:r>
      <w:r>
        <w:rPr>
          <w:rFonts w:ascii="宋体" w:hAnsi="宋体" w:eastAsia="宋体" w:cs="宋体"/>
          <w:spacing w:val="-5"/>
          <w:position w:val="2"/>
          <w:sz w:val="24"/>
          <w:szCs w:val="24"/>
        </w:rPr>
        <w:t>、病死猪尸体</w:t>
      </w:r>
    </w:p>
    <w:p w14:paraId="3A055ED0">
      <w:pPr>
        <w:spacing w:before="129" w:line="366" w:lineRule="auto"/>
        <w:ind w:left="1" w:firstLine="479"/>
        <w:rPr>
          <w:rFonts w:ascii="宋体" w:hAnsi="宋体" w:eastAsia="宋体" w:cs="宋体"/>
          <w:sz w:val="24"/>
          <w:szCs w:val="24"/>
        </w:rPr>
      </w:pPr>
      <w:r>
        <w:rPr>
          <w:rFonts w:ascii="宋体" w:hAnsi="宋体" w:eastAsia="宋体" w:cs="宋体"/>
          <w:spacing w:val="1"/>
          <w:sz w:val="24"/>
          <w:szCs w:val="24"/>
        </w:rPr>
        <w:t>在无传染病的情况下，类比同规模养殖场生产情况，死亡率取</w:t>
      </w:r>
      <w:r>
        <w:rPr>
          <w:rFonts w:ascii="Times New Roman" w:hAnsi="Times New Roman" w:eastAsia="Times New Roman" w:cs="Times New Roman"/>
          <w:spacing w:val="1"/>
          <w:sz w:val="24"/>
          <w:szCs w:val="24"/>
        </w:rPr>
        <w:t>0.5%</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，则每</w:t>
      </w:r>
      <w:r>
        <w:rPr>
          <w:rFonts w:ascii="宋体" w:hAnsi="宋体" w:eastAsia="宋体" w:cs="宋体"/>
          <w:sz w:val="24"/>
          <w:szCs w:val="24"/>
        </w:rPr>
        <w:t>年死 猪约</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75</w:t>
      </w:r>
      <w:r>
        <w:rPr>
          <w:rFonts w:ascii="Times New Roman" w:hAnsi="Times New Roman" w:eastAsia="Times New Roman" w:cs="Times New Roman"/>
          <w:spacing w:val="26"/>
          <w:sz w:val="24"/>
          <w:szCs w:val="24"/>
        </w:rPr>
        <w:t xml:space="preserve"> </w:t>
      </w:r>
      <w:r>
        <w:rPr>
          <w:rFonts w:ascii="宋体" w:hAnsi="宋体" w:eastAsia="宋体" w:cs="宋体"/>
          <w:sz w:val="24"/>
          <w:szCs w:val="24"/>
        </w:rPr>
        <w:t>只，平均体重按</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 xml:space="preserve">50kg </w:t>
      </w:r>
      <w:r>
        <w:rPr>
          <w:rFonts w:ascii="宋体" w:hAnsi="宋体" w:eastAsia="宋体" w:cs="宋体"/>
          <w:sz w:val="24"/>
          <w:szCs w:val="24"/>
        </w:rPr>
        <w:t>计，约</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pacing w:val="-1"/>
          <w:sz w:val="24"/>
          <w:szCs w:val="24"/>
        </w:rPr>
        <w:t>75t/a</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。根据《畜禽病害肉尸及其产品无害化</w:t>
      </w:r>
      <w:r>
        <w:rPr>
          <w:rFonts w:ascii="宋体" w:hAnsi="宋体" w:eastAsia="宋体" w:cs="宋体"/>
          <w:sz w:val="24"/>
          <w:szCs w:val="24"/>
        </w:rPr>
        <w:t xml:space="preserve"> 处理规程》（</w:t>
      </w:r>
      <w:r>
        <w:rPr>
          <w:rFonts w:ascii="Times New Roman" w:hAnsi="Times New Roman" w:eastAsia="Times New Roman" w:cs="Times New Roman"/>
          <w:sz w:val="24"/>
          <w:szCs w:val="24"/>
        </w:rPr>
        <w:t>GB16548-1996</w:t>
      </w:r>
      <w:r>
        <w:rPr>
          <w:rFonts w:ascii="宋体" w:hAnsi="宋体" w:eastAsia="宋体" w:cs="宋体"/>
          <w:sz w:val="24"/>
          <w:szCs w:val="24"/>
        </w:rPr>
        <w:t>）和</w:t>
      </w:r>
      <w:r>
        <w:rPr>
          <w:rFonts w:ascii="宋体" w:hAnsi="宋体" w:eastAsia="宋体" w:cs="宋体"/>
          <w:spacing w:val="-1"/>
          <w:sz w:val="24"/>
          <w:szCs w:val="24"/>
        </w:rPr>
        <w:t>《畜禽养殖业污染防治技术规范》（</w:t>
      </w:r>
      <w:r>
        <w:rPr>
          <w:rFonts w:ascii="Times New Roman" w:hAnsi="Times New Roman" w:eastAsia="Times New Roman" w:cs="Times New Roman"/>
          <w:spacing w:val="-1"/>
          <w:sz w:val="24"/>
          <w:szCs w:val="24"/>
        </w:rPr>
        <w:t>HJ/T81-2001</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1"/>
          <w:sz w:val="24"/>
          <w:szCs w:val="24"/>
        </w:rPr>
        <w:t>相关要求处理，项目病死猪采用安全填埋井进行填埋处理。</w:t>
      </w:r>
    </w:p>
    <w:p w14:paraId="2C58DE9D">
      <w:pPr>
        <w:spacing w:before="82" w:line="369" w:lineRule="auto"/>
        <w:ind w:right="24" w:firstLine="482"/>
        <w:rPr>
          <w:rFonts w:ascii="宋体" w:hAnsi="宋体" w:eastAsia="宋体" w:cs="宋体"/>
          <w:sz w:val="24"/>
          <w:szCs w:val="24"/>
        </w:rPr>
      </w:pPr>
      <w:r>
        <w:rPr>
          <w:rFonts w:ascii="宋体" w:hAnsi="宋体" w:eastAsia="宋体" w:cs="宋体"/>
          <w:spacing w:val="2"/>
          <w:sz w:val="24"/>
          <w:szCs w:val="24"/>
        </w:rPr>
        <w:t>本项目拟选择安全填埋井（化尸池）的处理方法处理病死猪。根据《病死动物</w:t>
      </w:r>
      <w:r>
        <w:rPr>
          <w:rFonts w:ascii="宋体" w:hAnsi="宋体" w:eastAsia="宋体" w:cs="宋体"/>
          <w:spacing w:val="9"/>
          <w:sz w:val="24"/>
          <w:szCs w:val="24"/>
        </w:rPr>
        <w:t xml:space="preserve"> </w:t>
      </w:r>
      <w:r>
        <w:rPr>
          <w:rFonts w:ascii="宋体" w:hAnsi="宋体" w:eastAsia="宋体" w:cs="宋体"/>
          <w:spacing w:val="1"/>
          <w:sz w:val="24"/>
          <w:szCs w:val="24"/>
        </w:rPr>
        <w:t>无害化处理技术规范》的通知（农医发〔</w:t>
      </w:r>
      <w:r>
        <w:rPr>
          <w:rFonts w:ascii="Times New Roman" w:hAnsi="Times New Roman" w:eastAsia="Times New Roman" w:cs="Times New Roman"/>
          <w:spacing w:val="1"/>
          <w:sz w:val="24"/>
          <w:szCs w:val="24"/>
        </w:rPr>
        <w:t>2013</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34  </w:t>
      </w:r>
      <w:r>
        <w:rPr>
          <w:rFonts w:ascii="宋体" w:hAnsi="宋体" w:eastAsia="宋体" w:cs="宋体"/>
          <w:spacing w:val="1"/>
          <w:sz w:val="24"/>
          <w:szCs w:val="24"/>
        </w:rPr>
        <w:t>号）“</w:t>
      </w:r>
      <w:r>
        <w:rPr>
          <w:rFonts w:ascii="Times New Roman" w:hAnsi="Times New Roman" w:eastAsia="Times New Roman" w:cs="Times New Roman"/>
          <w:spacing w:val="1"/>
          <w:sz w:val="24"/>
          <w:szCs w:val="24"/>
        </w:rPr>
        <w:t xml:space="preserve">4.3.2  </w:t>
      </w:r>
      <w:r>
        <w:rPr>
          <w:rFonts w:ascii="宋体" w:hAnsi="宋体" w:eastAsia="宋体" w:cs="宋体"/>
          <w:spacing w:val="1"/>
          <w:sz w:val="24"/>
          <w:szCs w:val="24"/>
        </w:rPr>
        <w:t>化尸窖</w:t>
      </w:r>
      <w:r>
        <w:rPr>
          <w:rFonts w:ascii="宋体" w:hAnsi="宋体" w:eastAsia="宋体" w:cs="宋体"/>
          <w:spacing w:val="-85"/>
          <w:sz w:val="24"/>
          <w:szCs w:val="24"/>
        </w:rPr>
        <w:t xml:space="preserve"> </w:t>
      </w:r>
      <w:r>
        <w:rPr>
          <w:rFonts w:ascii="宋体" w:hAnsi="宋体" w:eastAsia="宋体" w:cs="宋体"/>
          <w:spacing w:val="1"/>
          <w:sz w:val="24"/>
          <w:szCs w:val="24"/>
        </w:rPr>
        <w:t>”的技术工</w:t>
      </w:r>
      <w:r>
        <w:rPr>
          <w:rFonts w:ascii="宋体" w:hAnsi="宋体" w:eastAsia="宋体" w:cs="宋体"/>
          <w:sz w:val="24"/>
          <w:szCs w:val="24"/>
        </w:rPr>
        <w:t xml:space="preserve"> </w:t>
      </w:r>
      <w:r>
        <w:rPr>
          <w:rFonts w:ascii="宋体" w:hAnsi="宋体" w:eastAsia="宋体" w:cs="宋体"/>
          <w:spacing w:val="-3"/>
          <w:sz w:val="24"/>
          <w:szCs w:val="24"/>
        </w:rPr>
        <w:t>艺及《畜禽养殖业污染防治技术规范》（</w:t>
      </w:r>
      <w:r>
        <w:rPr>
          <w:rFonts w:ascii="Times New Roman" w:hAnsi="Times New Roman" w:eastAsia="Times New Roman" w:cs="Times New Roman"/>
          <w:spacing w:val="-3"/>
          <w:sz w:val="24"/>
          <w:szCs w:val="24"/>
        </w:rPr>
        <w:t>HJ/T81-2001</w:t>
      </w:r>
      <w:r>
        <w:rPr>
          <w:rFonts w:ascii="宋体" w:hAnsi="宋体" w:eastAsia="宋体" w:cs="宋体"/>
          <w:spacing w:val="-3"/>
          <w:sz w:val="24"/>
          <w:szCs w:val="24"/>
        </w:rPr>
        <w:t xml:space="preserve">）第 </w:t>
      </w:r>
      <w:r>
        <w:rPr>
          <w:rFonts w:ascii="Times New Roman" w:hAnsi="Times New Roman" w:eastAsia="Times New Roman" w:cs="Times New Roman"/>
          <w:spacing w:val="-3"/>
          <w:sz w:val="24"/>
          <w:szCs w:val="24"/>
        </w:rPr>
        <w:t xml:space="preserve">9  </w:t>
      </w:r>
      <w:r>
        <w:rPr>
          <w:rFonts w:ascii="宋体" w:hAnsi="宋体" w:eastAsia="宋体" w:cs="宋体"/>
          <w:spacing w:val="-3"/>
          <w:sz w:val="24"/>
          <w:szCs w:val="24"/>
        </w:rPr>
        <w:t>条要求，化尸池为密闭</w:t>
      </w:r>
      <w:r>
        <w:rPr>
          <w:rFonts w:ascii="宋体" w:hAnsi="宋体" w:eastAsia="宋体" w:cs="宋体"/>
          <w:spacing w:val="17"/>
          <w:sz w:val="24"/>
          <w:szCs w:val="24"/>
        </w:rPr>
        <w:t xml:space="preserve"> </w:t>
      </w:r>
      <w:r>
        <w:rPr>
          <w:rFonts w:ascii="宋体" w:hAnsi="宋体" w:eastAsia="宋体" w:cs="宋体"/>
          <w:sz w:val="24"/>
          <w:szCs w:val="24"/>
        </w:rPr>
        <w:t xml:space="preserve">砖混结构，设井盖盖，坑壁 </w:t>
      </w:r>
      <w:r>
        <w:rPr>
          <w:rFonts w:ascii="Times New Roman" w:hAnsi="Times New Roman" w:eastAsia="Times New Roman" w:cs="Times New Roman"/>
          <w:sz w:val="24"/>
          <w:szCs w:val="24"/>
        </w:rPr>
        <w:t xml:space="preserve">30cm  </w:t>
      </w:r>
      <w:r>
        <w:rPr>
          <w:rFonts w:ascii="宋体" w:hAnsi="宋体" w:eastAsia="宋体" w:cs="宋体"/>
          <w:sz w:val="24"/>
          <w:szCs w:val="24"/>
        </w:rPr>
        <w:t>厚</w:t>
      </w:r>
      <w:r>
        <w:rPr>
          <w:rFonts w:ascii="宋体" w:hAnsi="宋体" w:eastAsia="宋体" w:cs="宋体"/>
          <w:spacing w:val="-1"/>
          <w:sz w:val="24"/>
          <w:szCs w:val="24"/>
        </w:rPr>
        <w:t xml:space="preserve">防渗混凝土，坑底为 </w:t>
      </w:r>
      <w:r>
        <w:rPr>
          <w:rFonts w:ascii="Times New Roman" w:hAnsi="Times New Roman" w:eastAsia="Times New Roman" w:cs="Times New Roman"/>
          <w:spacing w:val="-1"/>
          <w:sz w:val="24"/>
          <w:szCs w:val="24"/>
        </w:rPr>
        <w:t xml:space="preserve">20cm  </w:t>
      </w:r>
      <w:r>
        <w:rPr>
          <w:rFonts w:ascii="宋体" w:hAnsi="宋体" w:eastAsia="宋体" w:cs="宋体"/>
          <w:spacing w:val="-1"/>
          <w:sz w:val="24"/>
          <w:szCs w:val="24"/>
        </w:rPr>
        <w:t>厚的防渗混凝土；</w:t>
      </w:r>
      <w:r>
        <w:rPr>
          <w:rFonts w:ascii="宋体" w:hAnsi="宋体" w:eastAsia="宋体" w:cs="宋体"/>
          <w:sz w:val="24"/>
          <w:szCs w:val="24"/>
        </w:rPr>
        <w:t xml:space="preserve"> </w:t>
      </w:r>
      <w:r>
        <w:rPr>
          <w:rFonts w:ascii="宋体" w:hAnsi="宋体" w:eastAsia="宋体" w:cs="宋体"/>
          <w:spacing w:val="-1"/>
          <w:sz w:val="24"/>
          <w:szCs w:val="24"/>
        </w:rPr>
        <w:t xml:space="preserve">进行填埋时，每次投入畜禽尸体后，覆盖一层厚度 </w:t>
      </w:r>
      <w:r>
        <w:rPr>
          <w:rFonts w:ascii="Times New Roman" w:hAnsi="Times New Roman" w:eastAsia="Times New Roman" w:cs="Times New Roman"/>
          <w:spacing w:val="-1"/>
          <w:sz w:val="24"/>
          <w:szCs w:val="24"/>
        </w:rPr>
        <w:t xml:space="preserve">12cm   </w:t>
      </w:r>
      <w:r>
        <w:rPr>
          <w:rFonts w:ascii="宋体" w:hAnsi="宋体" w:eastAsia="宋体" w:cs="宋体"/>
          <w:spacing w:val="-1"/>
          <w:sz w:val="24"/>
          <w:szCs w:val="24"/>
        </w:rPr>
        <w:t>的熟石灰。当化尸池内动</w:t>
      </w:r>
      <w:r>
        <w:rPr>
          <w:rFonts w:ascii="宋体" w:hAnsi="宋体" w:eastAsia="宋体" w:cs="宋体"/>
          <w:spacing w:val="10"/>
          <w:sz w:val="24"/>
          <w:szCs w:val="24"/>
        </w:rPr>
        <w:t xml:space="preserve"> </w:t>
      </w:r>
      <w:r>
        <w:rPr>
          <w:rFonts w:ascii="宋体" w:hAnsi="宋体" w:eastAsia="宋体" w:cs="宋体"/>
          <w:sz w:val="24"/>
          <w:szCs w:val="24"/>
        </w:rPr>
        <w:t xml:space="preserve">物尸体达到容积的 </w:t>
      </w:r>
      <w:r>
        <w:rPr>
          <w:rFonts w:ascii="Times New Roman" w:hAnsi="Times New Roman" w:eastAsia="Times New Roman" w:cs="Times New Roman"/>
          <w:sz w:val="24"/>
          <w:szCs w:val="24"/>
        </w:rPr>
        <w:t xml:space="preserve">3/4  </w:t>
      </w:r>
      <w:r>
        <w:rPr>
          <w:rFonts w:ascii="宋体" w:hAnsi="宋体" w:eastAsia="宋体" w:cs="宋体"/>
          <w:sz w:val="24"/>
          <w:szCs w:val="24"/>
        </w:rPr>
        <w:t>时，应停止使用并密封。当封闭化尸窖内的动物尸体完全分</w:t>
      </w:r>
      <w:r>
        <w:rPr>
          <w:rFonts w:ascii="宋体" w:hAnsi="宋体" w:eastAsia="宋体" w:cs="宋体"/>
          <w:spacing w:val="13"/>
          <w:sz w:val="24"/>
          <w:szCs w:val="24"/>
        </w:rPr>
        <w:t xml:space="preserve"> </w:t>
      </w:r>
      <w:r>
        <w:rPr>
          <w:rFonts w:ascii="宋体" w:hAnsi="宋体" w:eastAsia="宋体" w:cs="宋体"/>
          <w:spacing w:val="2"/>
          <w:sz w:val="24"/>
          <w:szCs w:val="24"/>
        </w:rPr>
        <w:t>解后，应当对残留物进行清理，清理出的残留物进行焚烧或者掩埋处理，化尸窖池</w:t>
      </w:r>
      <w:r>
        <w:rPr>
          <w:rFonts w:ascii="宋体" w:hAnsi="宋体" w:eastAsia="宋体" w:cs="宋体"/>
          <w:spacing w:val="8"/>
          <w:sz w:val="24"/>
          <w:szCs w:val="24"/>
        </w:rPr>
        <w:t xml:space="preserve"> </w:t>
      </w:r>
      <w:r>
        <w:rPr>
          <w:rFonts w:ascii="宋体" w:hAnsi="宋体" w:eastAsia="宋体" w:cs="宋体"/>
          <w:spacing w:val="-1"/>
          <w:sz w:val="24"/>
          <w:szCs w:val="24"/>
        </w:rPr>
        <w:t>进行彻底消毒后，方可重新启用。</w:t>
      </w:r>
    </w:p>
    <w:p w14:paraId="6AFEB860">
      <w:pPr>
        <w:spacing w:before="44" w:line="360" w:lineRule="exact"/>
        <w:ind w:left="482"/>
        <w:rPr>
          <w:rFonts w:ascii="宋体" w:hAnsi="宋体" w:eastAsia="宋体" w:cs="宋体"/>
          <w:sz w:val="24"/>
          <w:szCs w:val="24"/>
        </w:rPr>
      </w:pPr>
      <w:r>
        <w:rPr>
          <w:rFonts w:ascii="Times New Roman" w:hAnsi="Times New Roman" w:eastAsia="Times New Roman" w:cs="Times New Roman"/>
          <w:spacing w:val="-4"/>
          <w:position w:val="2"/>
          <w:sz w:val="24"/>
          <w:szCs w:val="24"/>
        </w:rPr>
        <w:t>3</w:t>
      </w:r>
      <w:r>
        <w:rPr>
          <w:rFonts w:ascii="Times New Roman" w:hAnsi="Times New Roman" w:eastAsia="Times New Roman" w:cs="Times New Roman"/>
          <w:spacing w:val="-31"/>
          <w:position w:val="2"/>
          <w:sz w:val="24"/>
          <w:szCs w:val="24"/>
        </w:rPr>
        <w:t xml:space="preserve"> </w:t>
      </w:r>
      <w:r>
        <w:rPr>
          <w:rFonts w:ascii="宋体" w:hAnsi="宋体" w:eastAsia="宋体" w:cs="宋体"/>
          <w:spacing w:val="-4"/>
          <w:position w:val="2"/>
          <w:sz w:val="24"/>
          <w:szCs w:val="24"/>
        </w:rPr>
        <w:t>、员工办公生活垃圾</w:t>
      </w:r>
    </w:p>
    <w:p w14:paraId="090C1E23">
      <w:pPr>
        <w:spacing w:before="127" w:line="375" w:lineRule="auto"/>
        <w:ind w:left="2" w:right="27" w:firstLine="480"/>
        <w:rPr>
          <w:rFonts w:ascii="宋体" w:hAnsi="宋体" w:eastAsia="宋体" w:cs="宋体"/>
          <w:sz w:val="24"/>
          <w:szCs w:val="24"/>
        </w:rPr>
      </w:pPr>
      <w:r>
        <w:rPr>
          <w:rFonts w:ascii="宋体" w:hAnsi="宋体" w:eastAsia="宋体" w:cs="宋体"/>
          <w:sz w:val="24"/>
          <w:szCs w:val="24"/>
        </w:rPr>
        <w:t>本项目共有员工</w:t>
      </w:r>
      <w:r>
        <w:rPr>
          <w:rFonts w:ascii="宋体" w:hAnsi="宋体" w:eastAsia="宋体" w:cs="宋体"/>
          <w:spacing w:val="-32"/>
          <w:sz w:val="24"/>
          <w:szCs w:val="24"/>
        </w:rPr>
        <w:t xml:space="preserve"> </w:t>
      </w:r>
      <w:r>
        <w:rPr>
          <w:rFonts w:ascii="Times New Roman" w:hAnsi="Times New Roman" w:eastAsia="Times New Roman" w:cs="Times New Roman"/>
          <w:sz w:val="24"/>
          <w:szCs w:val="24"/>
        </w:rPr>
        <w:t xml:space="preserve">12 </w:t>
      </w:r>
      <w:r>
        <w:rPr>
          <w:rFonts w:ascii="宋体" w:hAnsi="宋体" w:eastAsia="宋体" w:cs="宋体"/>
          <w:sz w:val="24"/>
          <w:szCs w:val="24"/>
        </w:rPr>
        <w:t>人，其中</w:t>
      </w:r>
      <w:r>
        <w:rPr>
          <w:rFonts w:ascii="Times New Roman" w:hAnsi="Times New Roman" w:eastAsia="Times New Roman" w:cs="Times New Roman"/>
          <w:sz w:val="24"/>
          <w:szCs w:val="24"/>
        </w:rPr>
        <w:t xml:space="preserve">4 </w:t>
      </w:r>
      <w:r>
        <w:rPr>
          <w:rFonts w:ascii="宋体" w:hAnsi="宋体" w:eastAsia="宋体" w:cs="宋体"/>
          <w:sz w:val="24"/>
          <w:szCs w:val="24"/>
        </w:rPr>
        <w:t>人在厂区内住宿，住宿</w:t>
      </w:r>
      <w:r>
        <w:rPr>
          <w:rFonts w:ascii="宋体" w:hAnsi="宋体" w:eastAsia="宋体" w:cs="宋体"/>
          <w:spacing w:val="-1"/>
          <w:sz w:val="24"/>
          <w:szCs w:val="24"/>
        </w:rPr>
        <w:t>员工每人每日产生生活垃</w:t>
      </w:r>
      <w:r>
        <w:rPr>
          <w:rFonts w:ascii="宋体" w:hAnsi="宋体" w:eastAsia="宋体" w:cs="宋体"/>
          <w:sz w:val="24"/>
          <w:szCs w:val="24"/>
        </w:rPr>
        <w:t xml:space="preserve"> </w:t>
      </w:r>
      <w:r>
        <w:rPr>
          <w:rFonts w:ascii="宋体" w:hAnsi="宋体" w:eastAsia="宋体" w:cs="宋体"/>
          <w:spacing w:val="1"/>
          <w:sz w:val="24"/>
          <w:szCs w:val="24"/>
        </w:rPr>
        <w:t>圾按</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kg</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计，不在厂区内住宿员工每人每日产</w:t>
      </w:r>
      <w:r>
        <w:rPr>
          <w:rFonts w:ascii="宋体" w:hAnsi="宋体" w:eastAsia="宋体" w:cs="宋体"/>
          <w:sz w:val="24"/>
          <w:szCs w:val="24"/>
        </w:rPr>
        <w:t>生生活垃圾按</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 xml:space="preserve">0.5kg </w:t>
      </w:r>
      <w:r>
        <w:rPr>
          <w:rFonts w:ascii="宋体" w:hAnsi="宋体" w:eastAsia="宋体" w:cs="宋体"/>
          <w:sz w:val="24"/>
          <w:szCs w:val="24"/>
        </w:rPr>
        <w:t>计，年工作</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 xml:space="preserve">365 </w:t>
      </w:r>
      <w:r>
        <w:rPr>
          <w:rFonts w:ascii="宋体" w:hAnsi="宋体" w:eastAsia="宋体" w:cs="宋体"/>
          <w:spacing w:val="-1"/>
          <w:sz w:val="24"/>
          <w:szCs w:val="24"/>
        </w:rPr>
        <w:t>天，则生活垃圾量</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0.008t/d</w:t>
      </w:r>
      <w:r>
        <w:rPr>
          <w:rFonts w:ascii="宋体" w:hAnsi="宋体" w:eastAsia="宋体" w:cs="宋体"/>
          <w:spacing w:val="-1"/>
          <w:sz w:val="24"/>
          <w:szCs w:val="24"/>
        </w:rPr>
        <w:t>（</w:t>
      </w:r>
      <w:r>
        <w:rPr>
          <w:rFonts w:ascii="Times New Roman" w:hAnsi="Times New Roman" w:eastAsia="Times New Roman" w:cs="Times New Roman"/>
          <w:spacing w:val="-1"/>
          <w:sz w:val="24"/>
          <w:szCs w:val="24"/>
        </w:rPr>
        <w:t>2.92t/a</w:t>
      </w:r>
      <w:r>
        <w:rPr>
          <w:rFonts w:ascii="宋体" w:hAnsi="宋体" w:eastAsia="宋体" w:cs="宋体"/>
          <w:spacing w:val="-1"/>
          <w:sz w:val="24"/>
          <w:szCs w:val="24"/>
        </w:rPr>
        <w:t>）。</w:t>
      </w:r>
    </w:p>
    <w:p w14:paraId="50AB2D30">
      <w:pPr>
        <w:spacing w:before="6" w:line="361" w:lineRule="exact"/>
        <w:ind w:left="476"/>
        <w:rPr>
          <w:rFonts w:ascii="宋体" w:hAnsi="宋体" w:eastAsia="宋体" w:cs="宋体"/>
          <w:sz w:val="24"/>
          <w:szCs w:val="24"/>
        </w:rPr>
      </w:pPr>
      <w:r>
        <w:rPr>
          <w:rFonts w:ascii="Times New Roman" w:hAnsi="Times New Roman" w:eastAsia="Times New Roman" w:cs="Times New Roman"/>
          <w:spacing w:val="-5"/>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5"/>
          <w:position w:val="2"/>
          <w:sz w:val="24"/>
          <w:szCs w:val="24"/>
        </w:rPr>
        <w:t>、医疗废物</w:t>
      </w:r>
    </w:p>
    <w:p w14:paraId="55188154">
      <w:pPr>
        <w:spacing w:before="163" w:line="373" w:lineRule="auto"/>
        <w:ind w:left="1" w:right="24" w:firstLine="479"/>
        <w:rPr>
          <w:rFonts w:ascii="宋体" w:hAnsi="宋体" w:eastAsia="宋体" w:cs="宋体"/>
          <w:sz w:val="24"/>
          <w:szCs w:val="24"/>
        </w:rPr>
      </w:pPr>
      <w:r>
        <w:rPr>
          <w:rFonts w:ascii="宋体" w:hAnsi="宋体" w:eastAsia="宋体" w:cs="宋体"/>
          <w:spacing w:val="2"/>
          <w:sz w:val="24"/>
          <w:szCs w:val="24"/>
        </w:rPr>
        <w:t>在养殖过程中牲畜需要注射一些疫苗，会产生少量针头、感染过的包装袋等。</w:t>
      </w:r>
      <w:r>
        <w:rPr>
          <w:rFonts w:ascii="宋体" w:hAnsi="宋体" w:eastAsia="宋体" w:cs="宋体"/>
          <w:spacing w:val="13"/>
          <w:sz w:val="24"/>
          <w:szCs w:val="24"/>
        </w:rPr>
        <w:t xml:space="preserve"> </w:t>
      </w:r>
      <w:r>
        <w:rPr>
          <w:rFonts w:ascii="宋体" w:hAnsi="宋体" w:eastAsia="宋体" w:cs="宋体"/>
          <w:sz w:val="24"/>
          <w:szCs w:val="24"/>
        </w:rPr>
        <w:t>类比同类型规模化养殖场，本项目运营期医疗废物的产生量为</w:t>
      </w:r>
      <w:r>
        <w:rPr>
          <w:rFonts w:ascii="Times New Roman" w:hAnsi="Times New Roman" w:eastAsia="Times New Roman" w:cs="Times New Roman"/>
          <w:sz w:val="24"/>
          <w:szCs w:val="24"/>
        </w:rPr>
        <w:t>0.2t/a</w:t>
      </w:r>
      <w:r>
        <w:rPr>
          <w:rFonts w:ascii="Times New Roman" w:hAnsi="Times New Roman" w:eastAsia="Times New Roman" w:cs="Times New Roman"/>
          <w:spacing w:val="-35"/>
          <w:sz w:val="24"/>
          <w:szCs w:val="24"/>
        </w:rPr>
        <w:t xml:space="preserve"> </w:t>
      </w:r>
      <w:r>
        <w:rPr>
          <w:rFonts w:ascii="宋体" w:hAnsi="宋体" w:eastAsia="宋体" w:cs="宋体"/>
          <w:sz w:val="24"/>
          <w:szCs w:val="24"/>
        </w:rPr>
        <w:t>，该</w:t>
      </w:r>
      <w:r>
        <w:rPr>
          <w:rFonts w:ascii="宋体" w:hAnsi="宋体" w:eastAsia="宋体" w:cs="宋体"/>
          <w:spacing w:val="-1"/>
          <w:sz w:val="24"/>
          <w:szCs w:val="24"/>
        </w:rPr>
        <w:t>部分固废属</w:t>
      </w:r>
      <w:r>
        <w:rPr>
          <w:rFonts w:ascii="宋体" w:hAnsi="宋体" w:eastAsia="宋体" w:cs="宋体"/>
          <w:sz w:val="24"/>
          <w:szCs w:val="24"/>
        </w:rPr>
        <w:t xml:space="preserve"> </w:t>
      </w:r>
      <w:r>
        <w:rPr>
          <w:rFonts w:ascii="宋体" w:hAnsi="宋体" w:eastAsia="宋体" w:cs="宋体"/>
          <w:spacing w:val="-1"/>
          <w:sz w:val="24"/>
          <w:szCs w:val="24"/>
        </w:rPr>
        <w:t>于危险废物，废物代码为</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HW01</w:t>
      </w:r>
      <w:r>
        <w:rPr>
          <w:rFonts w:ascii="宋体" w:hAnsi="宋体" w:eastAsia="宋体" w:cs="宋体"/>
          <w:spacing w:val="-1"/>
          <w:sz w:val="24"/>
          <w:szCs w:val="24"/>
        </w:rPr>
        <w:t>，收集后交由有资质的单位处理。</w:t>
      </w:r>
    </w:p>
    <w:p w14:paraId="1E266E28">
      <w:pPr>
        <w:spacing w:before="12" w:line="221" w:lineRule="auto"/>
        <w:ind w:left="484"/>
        <w:rPr>
          <w:rFonts w:ascii="宋体" w:hAnsi="宋体" w:eastAsia="宋体" w:cs="宋体"/>
          <w:sz w:val="24"/>
          <w:szCs w:val="24"/>
        </w:rPr>
      </w:pPr>
      <w:r>
        <w:rPr>
          <w:rFonts w:ascii="Times New Roman" w:hAnsi="Times New Roman" w:eastAsia="Times New Roman" w:cs="Times New Roman"/>
          <w:spacing w:val="-7"/>
          <w:sz w:val="24"/>
          <w:szCs w:val="24"/>
        </w:rPr>
        <w:t>5</w:t>
      </w:r>
      <w:r>
        <w:rPr>
          <w:rFonts w:ascii="Times New Roman" w:hAnsi="Times New Roman" w:eastAsia="Times New Roman" w:cs="Times New Roman"/>
          <w:spacing w:val="-31"/>
          <w:sz w:val="24"/>
          <w:szCs w:val="24"/>
        </w:rPr>
        <w:t xml:space="preserve"> </w:t>
      </w:r>
      <w:r>
        <w:rPr>
          <w:rFonts w:ascii="宋体" w:hAnsi="宋体" w:eastAsia="宋体" w:cs="宋体"/>
          <w:spacing w:val="-7"/>
          <w:sz w:val="24"/>
          <w:szCs w:val="24"/>
        </w:rPr>
        <w:t>、废包装物</w:t>
      </w:r>
    </w:p>
    <w:p w14:paraId="6F864289">
      <w:pPr>
        <w:spacing w:before="203" w:line="387" w:lineRule="auto"/>
        <w:ind w:left="47" w:right="27" w:firstLine="438"/>
        <w:rPr>
          <w:rFonts w:ascii="宋体" w:hAnsi="宋体" w:eastAsia="宋体" w:cs="宋体"/>
          <w:sz w:val="24"/>
          <w:szCs w:val="24"/>
        </w:rPr>
      </w:pPr>
      <w:r>
        <w:rPr>
          <w:rFonts w:ascii="宋体" w:hAnsi="宋体" w:eastAsia="宋体" w:cs="宋体"/>
          <w:spacing w:val="2"/>
          <w:sz w:val="24"/>
          <w:szCs w:val="24"/>
        </w:rPr>
        <w:t>项目运营过程将产生饲料等包装箱、包装袋等废包装，类比同类型项目，本项</w:t>
      </w:r>
      <w:r>
        <w:rPr>
          <w:rFonts w:ascii="宋体" w:hAnsi="宋体" w:eastAsia="宋体" w:cs="宋体"/>
          <w:spacing w:val="6"/>
          <w:sz w:val="24"/>
          <w:szCs w:val="24"/>
        </w:rPr>
        <w:t xml:space="preserve"> </w:t>
      </w:r>
      <w:r>
        <w:rPr>
          <w:rFonts w:ascii="宋体" w:hAnsi="宋体" w:eastAsia="宋体" w:cs="宋体"/>
          <w:sz w:val="24"/>
          <w:szCs w:val="24"/>
        </w:rPr>
        <w:t>目废包装产生量约为</w:t>
      </w:r>
      <w:r>
        <w:rPr>
          <w:rFonts w:ascii="Times New Roman" w:hAnsi="Times New Roman" w:eastAsia="Times New Roman" w:cs="Times New Roman"/>
          <w:sz w:val="24"/>
          <w:szCs w:val="24"/>
        </w:rPr>
        <w:t>2t/a</w:t>
      </w:r>
      <w:r>
        <w:rPr>
          <w:rFonts w:ascii="宋体" w:hAnsi="宋体" w:eastAsia="宋体" w:cs="宋体"/>
          <w:sz w:val="24"/>
          <w:szCs w:val="24"/>
        </w:rPr>
        <w:t>。</w:t>
      </w:r>
    </w:p>
    <w:p w14:paraId="1ECDFFA2">
      <w:pPr>
        <w:spacing w:line="387" w:lineRule="auto"/>
        <w:rPr>
          <w:rFonts w:ascii="宋体" w:hAnsi="宋体" w:eastAsia="宋体" w:cs="宋体"/>
          <w:sz w:val="24"/>
          <w:szCs w:val="24"/>
        </w:rPr>
        <w:sectPr>
          <w:footerReference r:id="rId85" w:type="default"/>
          <w:pgSz w:w="11906" w:h="16839"/>
          <w:pgMar w:top="400" w:right="1561" w:bottom="1485" w:left="1596" w:header="0" w:footer="1249" w:gutter="0"/>
          <w:cols w:space="720" w:num="1"/>
        </w:sectPr>
      </w:pPr>
    </w:p>
    <w:p w14:paraId="5FA8F9D4">
      <w:pPr>
        <w:pStyle w:val="2"/>
        <w:spacing w:line="264" w:lineRule="auto"/>
      </w:pPr>
    </w:p>
    <w:p w14:paraId="32141C20">
      <w:pPr>
        <w:pStyle w:val="2"/>
        <w:spacing w:line="264" w:lineRule="auto"/>
      </w:pPr>
    </w:p>
    <w:p w14:paraId="27120003">
      <w:pPr>
        <w:pStyle w:val="2"/>
        <w:spacing w:line="264" w:lineRule="auto"/>
      </w:pPr>
    </w:p>
    <w:p w14:paraId="216EC936">
      <w:pPr>
        <w:pStyle w:val="2"/>
        <w:spacing w:line="265" w:lineRule="auto"/>
      </w:pPr>
    </w:p>
    <w:p w14:paraId="0322B253">
      <w:pPr>
        <w:spacing w:before="78" w:line="219" w:lineRule="auto"/>
        <w:ind w:left="605"/>
        <w:rPr>
          <w:rFonts w:ascii="宋体" w:hAnsi="宋体" w:eastAsia="宋体" w:cs="宋体"/>
          <w:sz w:val="24"/>
          <w:szCs w:val="24"/>
        </w:rPr>
      </w:pPr>
      <w:r>
        <w:rPr>
          <w:rFonts w:ascii="宋体" w:hAnsi="宋体" w:eastAsia="宋体" w:cs="宋体"/>
          <w:spacing w:val="-1"/>
          <w:sz w:val="24"/>
          <w:szCs w:val="24"/>
        </w:rPr>
        <w:t>综上所述，本项目运营期固体废物产生情况见下表。</w:t>
      </w:r>
    </w:p>
    <w:p w14:paraId="75A049BA">
      <w:pPr>
        <w:spacing w:before="219" w:line="228" w:lineRule="auto"/>
        <w:ind w:left="2470"/>
        <w:rPr>
          <w:rFonts w:ascii="Times New Roman" w:hAnsi="Times New Roman" w:eastAsia="Times New Roman" w:cs="Times New Roman"/>
          <w:sz w:val="20"/>
          <w:szCs w:val="20"/>
        </w:rPr>
      </w:pP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 xml:space="preserve">3.5-12 </w:t>
      </w:r>
      <w:r>
        <w:rPr>
          <w:rFonts w:ascii="宋体" w:hAnsi="宋体" w:eastAsia="宋体" w:cs="宋体"/>
          <w:b/>
          <w:bCs/>
          <w:spacing w:val="6"/>
          <w:sz w:val="20"/>
          <w:szCs w:val="20"/>
        </w:rPr>
        <w:t>项目固体废物产生情况表单位：</w:t>
      </w:r>
      <w:r>
        <w:rPr>
          <w:rFonts w:ascii="Times New Roman" w:hAnsi="Times New Roman" w:eastAsia="Times New Roman" w:cs="Times New Roman"/>
          <w:b/>
          <w:bCs/>
          <w:spacing w:val="6"/>
          <w:sz w:val="20"/>
          <w:szCs w:val="20"/>
        </w:rPr>
        <w:t>t/a</w:t>
      </w:r>
    </w:p>
    <w:p w14:paraId="61A825B3">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3117"/>
        <w:gridCol w:w="1275"/>
        <w:gridCol w:w="3879"/>
      </w:tblGrid>
      <w:tr w14:paraId="77BBC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vAlign w:val="top"/>
          </w:tcPr>
          <w:p w14:paraId="0928BE76">
            <w:pPr>
              <w:pStyle w:val="6"/>
              <w:spacing w:before="62" w:line="230" w:lineRule="auto"/>
              <w:ind w:left="135"/>
            </w:pPr>
            <w:r>
              <w:rPr>
                <w:b/>
                <w:bCs/>
                <w:spacing w:val="4"/>
              </w:rPr>
              <w:t>序号</w:t>
            </w:r>
          </w:p>
        </w:tc>
        <w:tc>
          <w:tcPr>
            <w:tcW w:w="3117" w:type="dxa"/>
            <w:vAlign w:val="top"/>
          </w:tcPr>
          <w:p w14:paraId="4B8220FC">
            <w:pPr>
              <w:pStyle w:val="6"/>
              <w:spacing w:before="63" w:line="229" w:lineRule="auto"/>
              <w:ind w:left="1140"/>
            </w:pPr>
            <w:r>
              <w:rPr>
                <w:b/>
                <w:bCs/>
                <w:spacing w:val="6"/>
              </w:rPr>
              <w:t>废物名称</w:t>
            </w:r>
          </w:p>
        </w:tc>
        <w:tc>
          <w:tcPr>
            <w:tcW w:w="1275" w:type="dxa"/>
            <w:vAlign w:val="top"/>
          </w:tcPr>
          <w:p w14:paraId="2E1930C9">
            <w:pPr>
              <w:pStyle w:val="6"/>
              <w:spacing w:before="63" w:line="228" w:lineRule="auto"/>
              <w:ind w:left="328"/>
            </w:pPr>
            <w:r>
              <w:rPr>
                <w:b/>
                <w:bCs/>
                <w:spacing w:val="5"/>
              </w:rPr>
              <w:t>产生量</w:t>
            </w:r>
          </w:p>
        </w:tc>
        <w:tc>
          <w:tcPr>
            <w:tcW w:w="3879" w:type="dxa"/>
            <w:vAlign w:val="top"/>
          </w:tcPr>
          <w:p w14:paraId="3065ACD3">
            <w:pPr>
              <w:pStyle w:val="6"/>
              <w:spacing w:before="62" w:line="230" w:lineRule="auto"/>
              <w:ind w:left="1529"/>
            </w:pPr>
            <w:r>
              <w:rPr>
                <w:b/>
                <w:bCs/>
                <w:spacing w:val="5"/>
              </w:rPr>
              <w:t>处理方式</w:t>
            </w:r>
          </w:p>
        </w:tc>
      </w:tr>
      <w:tr w14:paraId="5A16C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79" w:type="dxa"/>
            <w:vAlign w:val="top"/>
          </w:tcPr>
          <w:p w14:paraId="685B7D11">
            <w:pPr>
              <w:spacing w:before="90" w:line="274" w:lineRule="exact"/>
              <w:ind w:left="3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3117" w:type="dxa"/>
            <w:vAlign w:val="top"/>
          </w:tcPr>
          <w:p w14:paraId="3FF8209A">
            <w:pPr>
              <w:pStyle w:val="6"/>
              <w:spacing w:before="121" w:line="228" w:lineRule="auto"/>
              <w:ind w:left="1354"/>
            </w:pPr>
            <w:r>
              <w:rPr>
                <w:spacing w:val="3"/>
              </w:rPr>
              <w:t>粪便</w:t>
            </w:r>
          </w:p>
        </w:tc>
        <w:tc>
          <w:tcPr>
            <w:tcW w:w="1275" w:type="dxa"/>
            <w:vAlign w:val="top"/>
          </w:tcPr>
          <w:p w14:paraId="7E113030">
            <w:pPr>
              <w:spacing w:before="90" w:line="274" w:lineRule="exact"/>
              <w:ind w:left="43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5110</w:t>
            </w:r>
          </w:p>
        </w:tc>
        <w:tc>
          <w:tcPr>
            <w:tcW w:w="3879" w:type="dxa"/>
            <w:vAlign w:val="top"/>
          </w:tcPr>
          <w:p w14:paraId="388DA962">
            <w:pPr>
              <w:pStyle w:val="6"/>
              <w:spacing w:before="120" w:line="228" w:lineRule="auto"/>
              <w:ind w:left="686"/>
            </w:pPr>
            <w:r>
              <w:rPr>
                <w:spacing w:val="9"/>
              </w:rPr>
              <w:t>转移至有机肥发酵车间制肥</w:t>
            </w:r>
          </w:p>
        </w:tc>
      </w:tr>
      <w:tr w14:paraId="4EDBD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79" w:type="dxa"/>
            <w:vAlign w:val="top"/>
          </w:tcPr>
          <w:p w14:paraId="719A2AFC">
            <w:pPr>
              <w:spacing w:before="28"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3117" w:type="dxa"/>
            <w:vAlign w:val="top"/>
          </w:tcPr>
          <w:p w14:paraId="1F82242C">
            <w:pPr>
              <w:pStyle w:val="6"/>
              <w:spacing w:before="59" w:line="229" w:lineRule="auto"/>
              <w:ind w:left="1037"/>
            </w:pPr>
            <w:r>
              <w:rPr>
                <w:spacing w:val="8"/>
              </w:rPr>
              <w:t>病死猪尸体</w:t>
            </w:r>
          </w:p>
        </w:tc>
        <w:tc>
          <w:tcPr>
            <w:tcW w:w="1275" w:type="dxa"/>
            <w:vAlign w:val="top"/>
          </w:tcPr>
          <w:p w14:paraId="50FC8DC1">
            <w:pPr>
              <w:spacing w:before="28"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3.75</w:t>
            </w:r>
          </w:p>
        </w:tc>
        <w:tc>
          <w:tcPr>
            <w:tcW w:w="3879" w:type="dxa"/>
            <w:vAlign w:val="top"/>
          </w:tcPr>
          <w:p w14:paraId="65340A88">
            <w:pPr>
              <w:pStyle w:val="6"/>
              <w:spacing w:before="59" w:line="229" w:lineRule="auto"/>
              <w:ind w:left="367"/>
            </w:pPr>
            <w:r>
              <w:rPr>
                <w:spacing w:val="9"/>
              </w:rPr>
              <w:t>进安全填埋井进行无害化处理填埋</w:t>
            </w:r>
          </w:p>
        </w:tc>
      </w:tr>
      <w:tr w14:paraId="0CE92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79" w:type="dxa"/>
            <w:vAlign w:val="top"/>
          </w:tcPr>
          <w:p w14:paraId="070C09E8">
            <w:pPr>
              <w:spacing w:before="29"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3117" w:type="dxa"/>
            <w:vAlign w:val="top"/>
          </w:tcPr>
          <w:p w14:paraId="1D7016B4">
            <w:pPr>
              <w:pStyle w:val="6"/>
              <w:spacing w:before="60" w:line="228" w:lineRule="auto"/>
              <w:ind w:left="937"/>
            </w:pPr>
            <w:r>
              <w:rPr>
                <w:spacing w:val="7"/>
              </w:rPr>
              <w:t>办公生活垃圾</w:t>
            </w:r>
          </w:p>
        </w:tc>
        <w:tc>
          <w:tcPr>
            <w:tcW w:w="1275" w:type="dxa"/>
            <w:vAlign w:val="top"/>
          </w:tcPr>
          <w:p w14:paraId="42BC23ED">
            <w:pPr>
              <w:spacing w:before="29" w:line="274" w:lineRule="exact"/>
              <w:ind w:left="4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3879" w:type="dxa"/>
            <w:vAlign w:val="top"/>
          </w:tcPr>
          <w:p w14:paraId="774823CA">
            <w:pPr>
              <w:pStyle w:val="6"/>
              <w:spacing w:before="60" w:line="228" w:lineRule="auto"/>
              <w:ind w:left="689"/>
            </w:pPr>
            <w:r>
              <w:rPr>
                <w:spacing w:val="8"/>
              </w:rPr>
              <w:t>交由环卫部门定期清运处理</w:t>
            </w:r>
          </w:p>
        </w:tc>
      </w:tr>
      <w:tr w14:paraId="305D6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79" w:type="dxa"/>
            <w:vAlign w:val="top"/>
          </w:tcPr>
          <w:p w14:paraId="7D1B0334">
            <w:pPr>
              <w:spacing w:before="100" w:line="192"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117" w:type="dxa"/>
            <w:vAlign w:val="top"/>
          </w:tcPr>
          <w:p w14:paraId="471EF5E5">
            <w:pPr>
              <w:pStyle w:val="6"/>
              <w:spacing w:before="61" w:line="229" w:lineRule="auto"/>
              <w:ind w:left="1151"/>
            </w:pPr>
            <w:r>
              <w:rPr>
                <w:spacing w:val="4"/>
              </w:rPr>
              <w:t>医疗废物</w:t>
            </w:r>
          </w:p>
        </w:tc>
        <w:tc>
          <w:tcPr>
            <w:tcW w:w="1275" w:type="dxa"/>
            <w:vAlign w:val="top"/>
          </w:tcPr>
          <w:p w14:paraId="6B70F74B">
            <w:pPr>
              <w:spacing w:before="30" w:line="274" w:lineRule="exact"/>
              <w:ind w:left="51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3879" w:type="dxa"/>
            <w:vAlign w:val="top"/>
          </w:tcPr>
          <w:p w14:paraId="3C6D09BD">
            <w:pPr>
              <w:pStyle w:val="6"/>
              <w:spacing w:before="61" w:line="229" w:lineRule="auto"/>
              <w:ind w:left="999"/>
            </w:pPr>
            <w:r>
              <w:rPr>
                <w:spacing w:val="9"/>
              </w:rPr>
              <w:t>委托有资质单位处理</w:t>
            </w:r>
          </w:p>
        </w:tc>
      </w:tr>
      <w:tr w14:paraId="50AD5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vAlign w:val="top"/>
          </w:tcPr>
          <w:p w14:paraId="09B86CA9">
            <w:pPr>
              <w:spacing w:before="31"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3117" w:type="dxa"/>
            <w:vAlign w:val="top"/>
          </w:tcPr>
          <w:p w14:paraId="10DDEBA2">
            <w:pPr>
              <w:pStyle w:val="6"/>
              <w:spacing w:before="62" w:line="229" w:lineRule="auto"/>
              <w:ind w:left="1140"/>
            </w:pPr>
            <w:r>
              <w:rPr>
                <w:spacing w:val="7"/>
              </w:rPr>
              <w:t>废包装物</w:t>
            </w:r>
          </w:p>
        </w:tc>
        <w:tc>
          <w:tcPr>
            <w:tcW w:w="1275" w:type="dxa"/>
            <w:vAlign w:val="top"/>
          </w:tcPr>
          <w:p w14:paraId="2A1D69E0">
            <w:pPr>
              <w:spacing w:before="31" w:line="274" w:lineRule="exact"/>
              <w:ind w:left="58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3879" w:type="dxa"/>
            <w:vAlign w:val="top"/>
          </w:tcPr>
          <w:p w14:paraId="62659A25">
            <w:pPr>
              <w:pStyle w:val="6"/>
              <w:spacing w:before="61" w:line="228" w:lineRule="auto"/>
              <w:ind w:left="901"/>
            </w:pPr>
            <w:r>
              <w:rPr>
                <w:spacing w:val="8"/>
              </w:rPr>
              <w:t>收集后交由供应商回收</w:t>
            </w:r>
          </w:p>
        </w:tc>
      </w:tr>
    </w:tbl>
    <w:p w14:paraId="3C5558C6">
      <w:pPr>
        <w:pStyle w:val="2"/>
      </w:pPr>
    </w:p>
    <w:p w14:paraId="5DFA4455">
      <w:pPr>
        <w:sectPr>
          <w:footerReference r:id="rId86" w:type="default"/>
          <w:pgSz w:w="11906" w:h="16839"/>
          <w:pgMar w:top="400" w:right="1475" w:bottom="1425" w:left="1475" w:header="0" w:footer="1265" w:gutter="0"/>
          <w:cols w:space="720" w:num="1"/>
        </w:sectPr>
      </w:pPr>
    </w:p>
    <w:p w14:paraId="77FE277C">
      <w:pPr>
        <w:pStyle w:val="2"/>
        <w:spacing w:line="250" w:lineRule="auto"/>
      </w:pPr>
    </w:p>
    <w:p w14:paraId="5048546A">
      <w:pPr>
        <w:pStyle w:val="2"/>
        <w:spacing w:line="251" w:lineRule="auto"/>
      </w:pPr>
    </w:p>
    <w:p w14:paraId="1E042503">
      <w:pPr>
        <w:pStyle w:val="2"/>
        <w:spacing w:line="251" w:lineRule="auto"/>
      </w:pPr>
    </w:p>
    <w:p w14:paraId="18F71851">
      <w:pPr>
        <w:pStyle w:val="2"/>
        <w:spacing w:line="251" w:lineRule="auto"/>
      </w:pPr>
    </w:p>
    <w:p w14:paraId="63CBA83F">
      <w:pPr>
        <w:pStyle w:val="2"/>
        <w:spacing w:line="251" w:lineRule="auto"/>
      </w:pPr>
    </w:p>
    <w:p w14:paraId="18C9B8FC">
      <w:pPr>
        <w:spacing w:before="65" w:line="228" w:lineRule="auto"/>
        <w:ind w:left="4697"/>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6"/>
          <w:sz w:val="20"/>
          <w:szCs w:val="20"/>
        </w:rPr>
        <w:t>3.5-13</w:t>
      </w:r>
      <w:r>
        <w:rPr>
          <w:rFonts w:ascii="Times New Roman" w:hAnsi="Times New Roman" w:eastAsia="Times New Roman" w:cs="Times New Roman"/>
          <w:b/>
          <w:bCs/>
          <w:spacing w:val="30"/>
          <w:w w:val="101"/>
          <w:sz w:val="20"/>
          <w:szCs w:val="20"/>
        </w:rPr>
        <w:t xml:space="preserve"> </w:t>
      </w:r>
      <w:r>
        <w:rPr>
          <w:rFonts w:ascii="宋体" w:hAnsi="宋体" w:eastAsia="宋体" w:cs="宋体"/>
          <w:b/>
          <w:bCs/>
          <w:spacing w:val="6"/>
          <w:sz w:val="20"/>
          <w:szCs w:val="20"/>
        </w:rPr>
        <w:t>固体废物污染源源强核算结果及相关参数一览表</w:t>
      </w:r>
    </w:p>
    <w:p w14:paraId="22A73639">
      <w:pPr>
        <w:spacing w:line="102" w:lineRule="exact"/>
      </w:pPr>
    </w:p>
    <w:tbl>
      <w:tblPr>
        <w:tblStyle w:val="5"/>
        <w:tblW w:w="139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279"/>
        <w:gridCol w:w="2397"/>
        <w:gridCol w:w="817"/>
        <w:gridCol w:w="1496"/>
        <w:gridCol w:w="1363"/>
        <w:gridCol w:w="2859"/>
        <w:gridCol w:w="1544"/>
        <w:gridCol w:w="1423"/>
      </w:tblGrid>
      <w:tr w14:paraId="70ABD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18" w:type="dxa"/>
            <w:vMerge w:val="restart"/>
            <w:tcBorders>
              <w:bottom w:val="nil"/>
            </w:tcBorders>
            <w:vAlign w:val="top"/>
          </w:tcPr>
          <w:p w14:paraId="25933B5F">
            <w:pPr>
              <w:pStyle w:val="6"/>
              <w:spacing w:before="62" w:line="230" w:lineRule="auto"/>
              <w:ind w:left="178"/>
              <w:rPr>
                <w:rFonts w:ascii="Times New Roman" w:hAnsi="Times New Roman" w:eastAsia="Times New Roman" w:cs="Times New Roman"/>
              </w:rPr>
            </w:pPr>
            <w:r>
              <w:rPr>
                <w:b/>
                <w:bCs/>
                <w:spacing w:val="2"/>
              </w:rPr>
              <w:t>工序</w:t>
            </w:r>
            <w:r>
              <w:rPr>
                <w:rFonts w:ascii="Times New Roman" w:hAnsi="Times New Roman" w:eastAsia="Times New Roman" w:cs="Times New Roman"/>
                <w:b/>
                <w:bCs/>
                <w:spacing w:val="2"/>
              </w:rPr>
              <w:t>/</w:t>
            </w:r>
          </w:p>
          <w:p w14:paraId="1159646B">
            <w:pPr>
              <w:pStyle w:val="6"/>
              <w:spacing w:before="77" w:line="228" w:lineRule="auto"/>
              <w:ind w:left="206"/>
            </w:pPr>
            <w:r>
              <w:rPr>
                <w:b/>
                <w:bCs/>
                <w:spacing w:val="3"/>
              </w:rPr>
              <w:t>生产</w:t>
            </w:r>
          </w:p>
          <w:p w14:paraId="3BF142E6">
            <w:pPr>
              <w:pStyle w:val="6"/>
              <w:spacing w:before="79" w:line="229" w:lineRule="auto"/>
              <w:ind w:left="313"/>
            </w:pPr>
            <w:r>
              <w:rPr>
                <w:b/>
                <w:bCs/>
                <w:spacing w:val="-3"/>
              </w:rPr>
              <w:t>线</w:t>
            </w:r>
          </w:p>
        </w:tc>
        <w:tc>
          <w:tcPr>
            <w:tcW w:w="1279" w:type="dxa"/>
            <w:vMerge w:val="restart"/>
            <w:tcBorders>
              <w:bottom w:val="nil"/>
            </w:tcBorders>
            <w:vAlign w:val="top"/>
          </w:tcPr>
          <w:p w14:paraId="264CA120">
            <w:pPr>
              <w:spacing w:line="322" w:lineRule="auto"/>
              <w:rPr>
                <w:rFonts w:ascii="Arial"/>
                <w:sz w:val="21"/>
              </w:rPr>
            </w:pPr>
          </w:p>
          <w:p w14:paraId="445EA677">
            <w:pPr>
              <w:pStyle w:val="6"/>
              <w:spacing w:before="65" w:line="229" w:lineRule="auto"/>
              <w:ind w:left="193"/>
            </w:pPr>
            <w:r>
              <w:rPr>
                <w:b/>
                <w:bCs/>
                <w:spacing w:val="5"/>
              </w:rPr>
              <w:t>装置</w:t>
            </w:r>
            <w:r>
              <w:rPr>
                <w:rFonts w:ascii="Times New Roman" w:hAnsi="Times New Roman" w:eastAsia="Times New Roman" w:cs="Times New Roman"/>
                <w:b/>
                <w:bCs/>
                <w:spacing w:val="5"/>
              </w:rPr>
              <w:t>/</w:t>
            </w:r>
            <w:r>
              <w:rPr>
                <w:b/>
                <w:bCs/>
                <w:spacing w:val="5"/>
              </w:rPr>
              <w:t>场所</w:t>
            </w:r>
          </w:p>
        </w:tc>
        <w:tc>
          <w:tcPr>
            <w:tcW w:w="2397" w:type="dxa"/>
            <w:vMerge w:val="restart"/>
            <w:tcBorders>
              <w:bottom w:val="nil"/>
            </w:tcBorders>
            <w:vAlign w:val="top"/>
          </w:tcPr>
          <w:p w14:paraId="064A4C0D">
            <w:pPr>
              <w:spacing w:line="322" w:lineRule="auto"/>
              <w:rPr>
                <w:rFonts w:ascii="Arial"/>
                <w:sz w:val="21"/>
              </w:rPr>
            </w:pPr>
          </w:p>
          <w:p w14:paraId="4AF80B65">
            <w:pPr>
              <w:pStyle w:val="6"/>
              <w:spacing w:before="65" w:line="229" w:lineRule="auto"/>
              <w:ind w:left="799"/>
            </w:pPr>
            <w:r>
              <w:rPr>
                <w:b/>
                <w:bCs/>
                <w:spacing w:val="2"/>
              </w:rPr>
              <w:t>固体废物</w:t>
            </w:r>
          </w:p>
        </w:tc>
        <w:tc>
          <w:tcPr>
            <w:tcW w:w="817" w:type="dxa"/>
            <w:vMerge w:val="restart"/>
            <w:tcBorders>
              <w:bottom w:val="nil"/>
            </w:tcBorders>
            <w:vAlign w:val="top"/>
          </w:tcPr>
          <w:p w14:paraId="52E44A05">
            <w:pPr>
              <w:pStyle w:val="6"/>
              <w:spacing w:before="226" w:line="229" w:lineRule="auto"/>
              <w:ind w:left="221"/>
            </w:pPr>
            <w:r>
              <w:rPr>
                <w:b/>
                <w:bCs/>
                <w:spacing w:val="-6"/>
              </w:rPr>
              <w:t>固废</w:t>
            </w:r>
          </w:p>
          <w:p w14:paraId="247ADE0E">
            <w:pPr>
              <w:pStyle w:val="6"/>
              <w:spacing w:before="78" w:line="230" w:lineRule="auto"/>
              <w:ind w:left="205"/>
            </w:pPr>
            <w:r>
              <w:rPr>
                <w:b/>
                <w:bCs/>
                <w:spacing w:val="3"/>
              </w:rPr>
              <w:t>属性</w:t>
            </w:r>
          </w:p>
        </w:tc>
        <w:tc>
          <w:tcPr>
            <w:tcW w:w="2859" w:type="dxa"/>
            <w:gridSpan w:val="2"/>
            <w:vAlign w:val="top"/>
          </w:tcPr>
          <w:p w14:paraId="4B0266BF">
            <w:pPr>
              <w:pStyle w:val="6"/>
              <w:spacing w:before="115" w:line="228" w:lineRule="auto"/>
              <w:ind w:left="1014"/>
            </w:pPr>
            <w:r>
              <w:rPr>
                <w:b/>
                <w:bCs/>
                <w:spacing w:val="6"/>
              </w:rPr>
              <w:t>产生情况</w:t>
            </w:r>
          </w:p>
        </w:tc>
        <w:tc>
          <w:tcPr>
            <w:tcW w:w="4403" w:type="dxa"/>
            <w:gridSpan w:val="2"/>
            <w:vAlign w:val="top"/>
          </w:tcPr>
          <w:p w14:paraId="69AAB106">
            <w:pPr>
              <w:pStyle w:val="6"/>
              <w:spacing w:before="115" w:line="229" w:lineRule="auto"/>
              <w:ind w:left="1792"/>
            </w:pPr>
            <w:r>
              <w:rPr>
                <w:b/>
                <w:bCs/>
                <w:spacing w:val="5"/>
              </w:rPr>
              <w:t>处理措施</w:t>
            </w:r>
          </w:p>
        </w:tc>
        <w:tc>
          <w:tcPr>
            <w:tcW w:w="1423" w:type="dxa"/>
            <w:vMerge w:val="restart"/>
            <w:tcBorders>
              <w:bottom w:val="nil"/>
            </w:tcBorders>
            <w:vAlign w:val="top"/>
          </w:tcPr>
          <w:p w14:paraId="5E91757E">
            <w:pPr>
              <w:spacing w:line="322" w:lineRule="auto"/>
              <w:rPr>
                <w:rFonts w:ascii="Arial"/>
                <w:sz w:val="21"/>
              </w:rPr>
            </w:pPr>
          </w:p>
          <w:p w14:paraId="4F8EA1A0">
            <w:pPr>
              <w:pStyle w:val="6"/>
              <w:spacing w:before="65" w:line="228" w:lineRule="auto"/>
              <w:ind w:left="299"/>
            </w:pPr>
            <w:r>
              <w:rPr>
                <w:b/>
                <w:bCs/>
                <w:spacing w:val="5"/>
              </w:rPr>
              <w:t>最终去向</w:t>
            </w:r>
          </w:p>
        </w:tc>
      </w:tr>
      <w:tr w14:paraId="1EE16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18" w:type="dxa"/>
            <w:vMerge w:val="continue"/>
            <w:tcBorders>
              <w:top w:val="nil"/>
            </w:tcBorders>
            <w:vAlign w:val="top"/>
          </w:tcPr>
          <w:p w14:paraId="7EA01172">
            <w:pPr>
              <w:rPr>
                <w:rFonts w:ascii="Arial"/>
                <w:sz w:val="21"/>
              </w:rPr>
            </w:pPr>
          </w:p>
        </w:tc>
        <w:tc>
          <w:tcPr>
            <w:tcW w:w="1279" w:type="dxa"/>
            <w:vMerge w:val="continue"/>
            <w:tcBorders>
              <w:top w:val="nil"/>
            </w:tcBorders>
            <w:vAlign w:val="top"/>
          </w:tcPr>
          <w:p w14:paraId="21C679B6">
            <w:pPr>
              <w:rPr>
                <w:rFonts w:ascii="Arial"/>
                <w:sz w:val="21"/>
              </w:rPr>
            </w:pPr>
          </w:p>
        </w:tc>
        <w:tc>
          <w:tcPr>
            <w:tcW w:w="2397" w:type="dxa"/>
            <w:vMerge w:val="continue"/>
            <w:tcBorders>
              <w:top w:val="nil"/>
            </w:tcBorders>
            <w:vAlign w:val="top"/>
          </w:tcPr>
          <w:p w14:paraId="17C6FFC2">
            <w:pPr>
              <w:rPr>
                <w:rFonts w:ascii="Arial"/>
                <w:sz w:val="21"/>
              </w:rPr>
            </w:pPr>
          </w:p>
        </w:tc>
        <w:tc>
          <w:tcPr>
            <w:tcW w:w="817" w:type="dxa"/>
            <w:vMerge w:val="continue"/>
            <w:tcBorders>
              <w:top w:val="nil"/>
            </w:tcBorders>
            <w:vAlign w:val="top"/>
          </w:tcPr>
          <w:p w14:paraId="715C88AA">
            <w:pPr>
              <w:rPr>
                <w:rFonts w:ascii="Arial"/>
                <w:sz w:val="21"/>
              </w:rPr>
            </w:pPr>
          </w:p>
        </w:tc>
        <w:tc>
          <w:tcPr>
            <w:tcW w:w="1496" w:type="dxa"/>
            <w:vAlign w:val="top"/>
          </w:tcPr>
          <w:p w14:paraId="48624434">
            <w:pPr>
              <w:pStyle w:val="6"/>
              <w:spacing w:before="166" w:line="228" w:lineRule="auto"/>
              <w:ind w:left="335"/>
            </w:pPr>
            <w:r>
              <w:rPr>
                <w:b/>
                <w:bCs/>
                <w:spacing w:val="5"/>
              </w:rPr>
              <w:t>核算方法</w:t>
            </w:r>
          </w:p>
        </w:tc>
        <w:tc>
          <w:tcPr>
            <w:tcW w:w="1363" w:type="dxa"/>
            <w:vAlign w:val="top"/>
          </w:tcPr>
          <w:p w14:paraId="5C7EA2EF">
            <w:pPr>
              <w:pStyle w:val="6"/>
              <w:spacing w:before="165" w:line="221" w:lineRule="auto"/>
              <w:ind w:left="158"/>
              <w:rPr>
                <w:rFonts w:ascii="Times New Roman" w:hAnsi="Times New Roman" w:eastAsia="Times New Roman" w:cs="Times New Roman"/>
              </w:rPr>
            </w:pPr>
            <w:r>
              <w:rPr>
                <w:b/>
                <w:bCs/>
                <w:spacing w:val="3"/>
              </w:rPr>
              <w:t>产生量</w:t>
            </w:r>
            <w:r>
              <w:rPr>
                <w:rFonts w:ascii="Times New Roman" w:hAnsi="Times New Roman" w:eastAsia="Times New Roman" w:cs="Times New Roman"/>
                <w:b/>
                <w:bCs/>
                <w:spacing w:val="3"/>
              </w:rPr>
              <w:t>/(t/a)</w:t>
            </w:r>
          </w:p>
        </w:tc>
        <w:tc>
          <w:tcPr>
            <w:tcW w:w="2859" w:type="dxa"/>
            <w:vAlign w:val="top"/>
          </w:tcPr>
          <w:p w14:paraId="7D1D08AD">
            <w:pPr>
              <w:pStyle w:val="6"/>
              <w:spacing w:before="165" w:line="239" w:lineRule="auto"/>
              <w:ind w:left="1227"/>
            </w:pPr>
            <w:r>
              <w:rPr>
                <w:b/>
                <w:bCs/>
                <w:spacing w:val="2"/>
              </w:rPr>
              <w:t>工艺</w:t>
            </w:r>
          </w:p>
        </w:tc>
        <w:tc>
          <w:tcPr>
            <w:tcW w:w="1544" w:type="dxa"/>
            <w:vAlign w:val="top"/>
          </w:tcPr>
          <w:p w14:paraId="3C57CBBB">
            <w:pPr>
              <w:pStyle w:val="6"/>
              <w:spacing w:before="165" w:line="221" w:lineRule="auto"/>
              <w:ind w:left="253"/>
              <w:rPr>
                <w:rFonts w:ascii="Times New Roman" w:hAnsi="Times New Roman" w:eastAsia="Times New Roman" w:cs="Times New Roman"/>
              </w:rPr>
            </w:pPr>
            <w:r>
              <w:rPr>
                <w:b/>
                <w:bCs/>
                <w:spacing w:val="3"/>
              </w:rPr>
              <w:t>处置量</w:t>
            </w:r>
            <w:r>
              <w:rPr>
                <w:rFonts w:ascii="Times New Roman" w:hAnsi="Times New Roman" w:eastAsia="Times New Roman" w:cs="Times New Roman"/>
                <w:b/>
                <w:bCs/>
                <w:spacing w:val="3"/>
              </w:rPr>
              <w:t>/(t/a)</w:t>
            </w:r>
          </w:p>
        </w:tc>
        <w:tc>
          <w:tcPr>
            <w:tcW w:w="1423" w:type="dxa"/>
            <w:vMerge w:val="continue"/>
            <w:tcBorders>
              <w:top w:val="nil"/>
            </w:tcBorders>
            <w:vAlign w:val="top"/>
          </w:tcPr>
          <w:p w14:paraId="04E81F85">
            <w:pPr>
              <w:rPr>
                <w:rFonts w:ascii="Arial"/>
                <w:sz w:val="21"/>
              </w:rPr>
            </w:pPr>
          </w:p>
        </w:tc>
      </w:tr>
      <w:tr w14:paraId="69F44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18" w:type="dxa"/>
            <w:vAlign w:val="top"/>
          </w:tcPr>
          <w:p w14:paraId="3843816F">
            <w:pPr>
              <w:pStyle w:val="6"/>
              <w:spacing w:before="60" w:line="230" w:lineRule="auto"/>
              <w:ind w:left="213"/>
            </w:pPr>
            <w:r>
              <w:t>员工</w:t>
            </w:r>
          </w:p>
          <w:p w14:paraId="70D454AE">
            <w:pPr>
              <w:pStyle w:val="6"/>
              <w:spacing w:before="77" w:line="229" w:lineRule="auto"/>
              <w:ind w:left="206"/>
            </w:pPr>
            <w:r>
              <w:rPr>
                <w:spacing w:val="3"/>
              </w:rPr>
              <w:t>生活</w:t>
            </w:r>
          </w:p>
        </w:tc>
        <w:tc>
          <w:tcPr>
            <w:tcW w:w="1279" w:type="dxa"/>
            <w:vAlign w:val="top"/>
          </w:tcPr>
          <w:p w14:paraId="5663F120">
            <w:pPr>
              <w:pStyle w:val="6"/>
              <w:spacing w:before="223" w:line="229" w:lineRule="auto"/>
              <w:ind w:left="436"/>
            </w:pPr>
            <w:r>
              <w:rPr>
                <w:spacing w:val="3"/>
              </w:rPr>
              <w:t>厂区</w:t>
            </w:r>
          </w:p>
        </w:tc>
        <w:tc>
          <w:tcPr>
            <w:tcW w:w="2397" w:type="dxa"/>
            <w:vAlign w:val="top"/>
          </w:tcPr>
          <w:p w14:paraId="744AA0AC">
            <w:pPr>
              <w:pStyle w:val="6"/>
              <w:spacing w:before="223" w:line="229" w:lineRule="auto"/>
              <w:ind w:left="783"/>
            </w:pPr>
            <w:r>
              <w:rPr>
                <w:spacing w:val="6"/>
              </w:rPr>
              <w:t>生活垃圾</w:t>
            </w:r>
          </w:p>
        </w:tc>
        <w:tc>
          <w:tcPr>
            <w:tcW w:w="817" w:type="dxa"/>
            <w:vAlign w:val="top"/>
          </w:tcPr>
          <w:p w14:paraId="5A7B9296">
            <w:pPr>
              <w:pStyle w:val="6"/>
              <w:spacing w:before="60" w:line="229" w:lineRule="auto"/>
              <w:ind w:left="205"/>
            </w:pPr>
            <w:r>
              <w:rPr>
                <w:spacing w:val="3"/>
              </w:rPr>
              <w:t>生活</w:t>
            </w:r>
          </w:p>
          <w:p w14:paraId="45082480">
            <w:pPr>
              <w:pStyle w:val="6"/>
              <w:spacing w:before="78" w:line="229" w:lineRule="auto"/>
              <w:ind w:left="205"/>
            </w:pPr>
            <w:r>
              <w:rPr>
                <w:spacing w:val="3"/>
              </w:rPr>
              <w:t>垃圾</w:t>
            </w:r>
          </w:p>
        </w:tc>
        <w:tc>
          <w:tcPr>
            <w:tcW w:w="1496" w:type="dxa"/>
            <w:vAlign w:val="top"/>
          </w:tcPr>
          <w:p w14:paraId="0D9B7130">
            <w:pPr>
              <w:pStyle w:val="6"/>
              <w:spacing w:before="224" w:line="228" w:lineRule="auto"/>
              <w:ind w:left="226"/>
            </w:pPr>
            <w:r>
              <w:rPr>
                <w:spacing w:val="8"/>
              </w:rPr>
              <w:t>产污系数法</w:t>
            </w:r>
          </w:p>
        </w:tc>
        <w:tc>
          <w:tcPr>
            <w:tcW w:w="1363" w:type="dxa"/>
            <w:vAlign w:val="top"/>
          </w:tcPr>
          <w:p w14:paraId="197F2141">
            <w:pPr>
              <w:spacing w:before="192" w:line="275" w:lineRule="exact"/>
              <w:ind w:left="5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2859" w:type="dxa"/>
            <w:vAlign w:val="top"/>
          </w:tcPr>
          <w:p w14:paraId="1208ECFA">
            <w:pPr>
              <w:pStyle w:val="6"/>
              <w:spacing w:before="224" w:line="228" w:lineRule="auto"/>
              <w:ind w:left="600"/>
            </w:pPr>
            <w:r>
              <w:rPr>
                <w:spacing w:val="8"/>
              </w:rPr>
              <w:t>交由环卫部门处理</w:t>
            </w:r>
          </w:p>
        </w:tc>
        <w:tc>
          <w:tcPr>
            <w:tcW w:w="1544" w:type="dxa"/>
            <w:vAlign w:val="top"/>
          </w:tcPr>
          <w:p w14:paraId="1AC1FB22">
            <w:pPr>
              <w:spacing w:before="192" w:line="275"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1423" w:type="dxa"/>
            <w:vAlign w:val="top"/>
          </w:tcPr>
          <w:p w14:paraId="7136D56B">
            <w:pPr>
              <w:pStyle w:val="6"/>
              <w:spacing w:before="223" w:line="229" w:lineRule="auto"/>
              <w:ind w:left="298"/>
            </w:pPr>
            <w:r>
              <w:rPr>
                <w:spacing w:val="6"/>
              </w:rPr>
              <w:t>卫生填埋</w:t>
            </w:r>
          </w:p>
        </w:tc>
      </w:tr>
      <w:tr w14:paraId="497B1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18" w:type="dxa"/>
            <w:vMerge w:val="restart"/>
            <w:tcBorders>
              <w:bottom w:val="nil"/>
            </w:tcBorders>
            <w:vAlign w:val="top"/>
          </w:tcPr>
          <w:p w14:paraId="7B03224D">
            <w:pPr>
              <w:spacing w:line="330" w:lineRule="auto"/>
              <w:rPr>
                <w:rFonts w:ascii="Arial"/>
                <w:sz w:val="21"/>
              </w:rPr>
            </w:pPr>
          </w:p>
          <w:p w14:paraId="14913DD0">
            <w:pPr>
              <w:spacing w:line="330" w:lineRule="auto"/>
              <w:rPr>
                <w:rFonts w:ascii="Arial"/>
                <w:sz w:val="21"/>
              </w:rPr>
            </w:pPr>
          </w:p>
          <w:p w14:paraId="1347F060">
            <w:pPr>
              <w:pStyle w:val="6"/>
              <w:spacing w:before="65" w:line="228" w:lineRule="auto"/>
              <w:ind w:left="206"/>
            </w:pPr>
            <w:r>
              <w:rPr>
                <w:spacing w:val="3"/>
              </w:rPr>
              <w:t>生产</w:t>
            </w:r>
          </w:p>
          <w:p w14:paraId="543A169E">
            <w:pPr>
              <w:pStyle w:val="6"/>
              <w:spacing w:before="79" w:line="229" w:lineRule="auto"/>
              <w:ind w:left="205"/>
            </w:pPr>
            <w:r>
              <w:rPr>
                <w:spacing w:val="4"/>
              </w:rPr>
              <w:t>过程</w:t>
            </w:r>
          </w:p>
        </w:tc>
        <w:tc>
          <w:tcPr>
            <w:tcW w:w="1279" w:type="dxa"/>
            <w:vMerge w:val="restart"/>
            <w:tcBorders>
              <w:bottom w:val="nil"/>
            </w:tcBorders>
            <w:vAlign w:val="top"/>
          </w:tcPr>
          <w:p w14:paraId="098283BD">
            <w:pPr>
              <w:spacing w:line="326" w:lineRule="auto"/>
              <w:rPr>
                <w:rFonts w:ascii="Arial"/>
                <w:sz w:val="21"/>
              </w:rPr>
            </w:pPr>
          </w:p>
          <w:p w14:paraId="53C29D84">
            <w:pPr>
              <w:pStyle w:val="6"/>
              <w:spacing w:before="65" w:line="229" w:lineRule="auto"/>
              <w:ind w:left="433"/>
            </w:pPr>
            <w:r>
              <w:rPr>
                <w:spacing w:val="4"/>
              </w:rPr>
              <w:t>猪舍</w:t>
            </w:r>
          </w:p>
        </w:tc>
        <w:tc>
          <w:tcPr>
            <w:tcW w:w="2397" w:type="dxa"/>
            <w:vAlign w:val="top"/>
          </w:tcPr>
          <w:p w14:paraId="037686B6">
            <w:pPr>
              <w:pStyle w:val="6"/>
              <w:spacing w:before="62" w:line="228" w:lineRule="auto"/>
              <w:ind w:left="994"/>
            </w:pPr>
            <w:r>
              <w:rPr>
                <w:spacing w:val="3"/>
              </w:rPr>
              <w:t>粪便</w:t>
            </w:r>
          </w:p>
        </w:tc>
        <w:tc>
          <w:tcPr>
            <w:tcW w:w="817" w:type="dxa"/>
            <w:vMerge w:val="restart"/>
            <w:tcBorders>
              <w:bottom w:val="nil"/>
            </w:tcBorders>
            <w:vAlign w:val="top"/>
          </w:tcPr>
          <w:p w14:paraId="31364D90">
            <w:pPr>
              <w:pStyle w:val="6"/>
              <w:spacing w:before="234" w:line="230" w:lineRule="auto"/>
              <w:ind w:left="207"/>
            </w:pPr>
            <w:r>
              <w:rPr>
                <w:spacing w:val="3"/>
              </w:rPr>
              <w:t>一般</w:t>
            </w:r>
          </w:p>
          <w:p w14:paraId="49CC41AA">
            <w:pPr>
              <w:pStyle w:val="6"/>
              <w:spacing w:before="77" w:line="229" w:lineRule="auto"/>
              <w:ind w:left="221"/>
            </w:pPr>
            <w:r>
              <w:rPr>
                <w:spacing w:val="-5"/>
              </w:rPr>
              <w:t>固体</w:t>
            </w:r>
          </w:p>
          <w:p w14:paraId="75307858">
            <w:pPr>
              <w:pStyle w:val="6"/>
              <w:spacing w:before="78" w:line="229" w:lineRule="auto"/>
              <w:ind w:left="203"/>
            </w:pPr>
            <w:r>
              <w:rPr>
                <w:spacing w:val="5"/>
              </w:rPr>
              <w:t>废物</w:t>
            </w:r>
          </w:p>
        </w:tc>
        <w:tc>
          <w:tcPr>
            <w:tcW w:w="1496" w:type="dxa"/>
            <w:vAlign w:val="top"/>
          </w:tcPr>
          <w:p w14:paraId="3E605CE1">
            <w:pPr>
              <w:pStyle w:val="6"/>
              <w:spacing w:before="62" w:line="228" w:lineRule="auto"/>
              <w:ind w:left="226"/>
            </w:pPr>
            <w:r>
              <w:rPr>
                <w:spacing w:val="8"/>
              </w:rPr>
              <w:t>产污系数法</w:t>
            </w:r>
          </w:p>
        </w:tc>
        <w:tc>
          <w:tcPr>
            <w:tcW w:w="1363" w:type="dxa"/>
            <w:vAlign w:val="top"/>
          </w:tcPr>
          <w:p w14:paraId="060DCBE6">
            <w:pPr>
              <w:spacing w:before="31" w:line="274"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5110</w:t>
            </w:r>
          </w:p>
        </w:tc>
        <w:tc>
          <w:tcPr>
            <w:tcW w:w="2859" w:type="dxa"/>
            <w:vAlign w:val="top"/>
          </w:tcPr>
          <w:p w14:paraId="78F0679B">
            <w:pPr>
              <w:pStyle w:val="6"/>
              <w:spacing w:before="61" w:line="228" w:lineRule="auto"/>
              <w:ind w:left="176"/>
            </w:pPr>
            <w:r>
              <w:rPr>
                <w:spacing w:val="9"/>
              </w:rPr>
              <w:t>转移至有机肥发酵车间制肥</w:t>
            </w:r>
          </w:p>
        </w:tc>
        <w:tc>
          <w:tcPr>
            <w:tcW w:w="1544" w:type="dxa"/>
            <w:vAlign w:val="top"/>
          </w:tcPr>
          <w:p w14:paraId="015CE66D">
            <w:pPr>
              <w:spacing w:before="31" w:line="274" w:lineRule="exact"/>
              <w:ind w:left="57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5110</w:t>
            </w:r>
          </w:p>
        </w:tc>
        <w:tc>
          <w:tcPr>
            <w:tcW w:w="1423" w:type="dxa"/>
            <w:vAlign w:val="top"/>
          </w:tcPr>
          <w:p w14:paraId="465F882C">
            <w:pPr>
              <w:pStyle w:val="6"/>
              <w:spacing w:before="62" w:line="228" w:lineRule="auto"/>
              <w:ind w:left="317"/>
            </w:pPr>
            <w:r>
              <w:rPr>
                <w:spacing w:val="2"/>
              </w:rPr>
              <w:t>回收利用</w:t>
            </w:r>
          </w:p>
        </w:tc>
      </w:tr>
      <w:tr w14:paraId="71A48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18" w:type="dxa"/>
            <w:vMerge w:val="continue"/>
            <w:tcBorders>
              <w:top w:val="nil"/>
              <w:bottom w:val="nil"/>
            </w:tcBorders>
            <w:vAlign w:val="top"/>
          </w:tcPr>
          <w:p w14:paraId="3E1D61DC">
            <w:pPr>
              <w:rPr>
                <w:rFonts w:ascii="Arial"/>
                <w:sz w:val="21"/>
              </w:rPr>
            </w:pPr>
          </w:p>
        </w:tc>
        <w:tc>
          <w:tcPr>
            <w:tcW w:w="1279" w:type="dxa"/>
            <w:vMerge w:val="continue"/>
            <w:tcBorders>
              <w:top w:val="nil"/>
            </w:tcBorders>
            <w:vAlign w:val="top"/>
          </w:tcPr>
          <w:p w14:paraId="63E09FBA">
            <w:pPr>
              <w:rPr>
                <w:rFonts w:ascii="Arial"/>
                <w:sz w:val="21"/>
              </w:rPr>
            </w:pPr>
          </w:p>
        </w:tc>
        <w:tc>
          <w:tcPr>
            <w:tcW w:w="2397" w:type="dxa"/>
            <w:vAlign w:val="top"/>
          </w:tcPr>
          <w:p w14:paraId="58B33EDB">
            <w:pPr>
              <w:pStyle w:val="6"/>
              <w:spacing w:before="225" w:line="229" w:lineRule="auto"/>
              <w:ind w:left="677"/>
            </w:pPr>
            <w:r>
              <w:rPr>
                <w:spacing w:val="8"/>
              </w:rPr>
              <w:t>病死猪尸体</w:t>
            </w:r>
          </w:p>
        </w:tc>
        <w:tc>
          <w:tcPr>
            <w:tcW w:w="817" w:type="dxa"/>
            <w:vMerge w:val="continue"/>
            <w:tcBorders>
              <w:top w:val="nil"/>
              <w:bottom w:val="nil"/>
            </w:tcBorders>
            <w:vAlign w:val="top"/>
          </w:tcPr>
          <w:p w14:paraId="3AB83A32">
            <w:pPr>
              <w:rPr>
                <w:rFonts w:ascii="Arial"/>
                <w:sz w:val="21"/>
              </w:rPr>
            </w:pPr>
          </w:p>
        </w:tc>
        <w:tc>
          <w:tcPr>
            <w:tcW w:w="1496" w:type="dxa"/>
            <w:vAlign w:val="top"/>
          </w:tcPr>
          <w:p w14:paraId="47270A12">
            <w:pPr>
              <w:pStyle w:val="6"/>
              <w:spacing w:before="225" w:line="228" w:lineRule="auto"/>
              <w:ind w:left="438"/>
            </w:pPr>
            <w:r>
              <w:rPr>
                <w:spacing w:val="6"/>
              </w:rPr>
              <w:t>类比法</w:t>
            </w:r>
          </w:p>
        </w:tc>
        <w:tc>
          <w:tcPr>
            <w:tcW w:w="1363" w:type="dxa"/>
            <w:vAlign w:val="top"/>
          </w:tcPr>
          <w:p w14:paraId="7C884860">
            <w:pPr>
              <w:spacing w:before="194" w:line="274" w:lineRule="exact"/>
              <w:ind w:left="5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3.75</w:t>
            </w:r>
          </w:p>
        </w:tc>
        <w:tc>
          <w:tcPr>
            <w:tcW w:w="2859" w:type="dxa"/>
            <w:vAlign w:val="top"/>
          </w:tcPr>
          <w:p w14:paraId="634DC1A1">
            <w:pPr>
              <w:pStyle w:val="6"/>
              <w:spacing w:before="62" w:line="229" w:lineRule="auto"/>
              <w:ind w:left="174"/>
            </w:pPr>
            <w:r>
              <w:rPr>
                <w:spacing w:val="9"/>
              </w:rPr>
              <w:t>进安全填埋井进行无害化处</w:t>
            </w:r>
          </w:p>
          <w:p w14:paraId="240E62B5">
            <w:pPr>
              <w:pStyle w:val="6"/>
              <w:spacing w:before="78" w:line="229" w:lineRule="auto"/>
              <w:ind w:left="1124"/>
            </w:pPr>
            <w:r>
              <w:rPr>
                <w:spacing w:val="6"/>
              </w:rPr>
              <w:t>理填埋</w:t>
            </w:r>
          </w:p>
        </w:tc>
        <w:tc>
          <w:tcPr>
            <w:tcW w:w="1544" w:type="dxa"/>
            <w:vAlign w:val="top"/>
          </w:tcPr>
          <w:p w14:paraId="6756D5ED">
            <w:pPr>
              <w:spacing w:before="194" w:line="274" w:lineRule="exact"/>
              <w:ind w:left="59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3.75</w:t>
            </w:r>
          </w:p>
        </w:tc>
        <w:tc>
          <w:tcPr>
            <w:tcW w:w="1423" w:type="dxa"/>
            <w:vAlign w:val="top"/>
          </w:tcPr>
          <w:p w14:paraId="53E16450">
            <w:pPr>
              <w:pStyle w:val="6"/>
              <w:spacing w:before="225" w:line="229" w:lineRule="auto"/>
              <w:ind w:left="301"/>
            </w:pPr>
            <w:r>
              <w:rPr>
                <w:spacing w:val="6"/>
              </w:rPr>
              <w:t>安全填埋</w:t>
            </w:r>
          </w:p>
        </w:tc>
      </w:tr>
      <w:tr w14:paraId="23848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18" w:type="dxa"/>
            <w:vMerge w:val="continue"/>
            <w:tcBorders>
              <w:top w:val="nil"/>
              <w:bottom w:val="nil"/>
            </w:tcBorders>
            <w:vAlign w:val="top"/>
          </w:tcPr>
          <w:p w14:paraId="26071A83">
            <w:pPr>
              <w:rPr>
                <w:rFonts w:ascii="Arial"/>
                <w:sz w:val="21"/>
              </w:rPr>
            </w:pPr>
          </w:p>
        </w:tc>
        <w:tc>
          <w:tcPr>
            <w:tcW w:w="1279" w:type="dxa"/>
            <w:vAlign w:val="top"/>
          </w:tcPr>
          <w:p w14:paraId="77810934">
            <w:pPr>
              <w:pStyle w:val="6"/>
              <w:spacing w:before="63" w:line="229" w:lineRule="auto"/>
              <w:ind w:left="115"/>
            </w:pPr>
            <w:r>
              <w:rPr>
                <w:spacing w:val="8"/>
              </w:rPr>
              <w:t>饲料加工房</w:t>
            </w:r>
          </w:p>
        </w:tc>
        <w:tc>
          <w:tcPr>
            <w:tcW w:w="2397" w:type="dxa"/>
            <w:vAlign w:val="top"/>
          </w:tcPr>
          <w:p w14:paraId="18A846A8">
            <w:pPr>
              <w:pStyle w:val="6"/>
              <w:spacing w:before="63" w:line="229" w:lineRule="auto"/>
              <w:ind w:left="780"/>
            </w:pPr>
            <w:r>
              <w:rPr>
                <w:spacing w:val="7"/>
              </w:rPr>
              <w:t>废包装物</w:t>
            </w:r>
          </w:p>
        </w:tc>
        <w:tc>
          <w:tcPr>
            <w:tcW w:w="817" w:type="dxa"/>
            <w:vMerge w:val="continue"/>
            <w:tcBorders>
              <w:top w:val="nil"/>
            </w:tcBorders>
            <w:vAlign w:val="top"/>
          </w:tcPr>
          <w:p w14:paraId="32B66724">
            <w:pPr>
              <w:rPr>
                <w:rFonts w:ascii="Arial"/>
                <w:sz w:val="21"/>
              </w:rPr>
            </w:pPr>
          </w:p>
        </w:tc>
        <w:tc>
          <w:tcPr>
            <w:tcW w:w="1496" w:type="dxa"/>
            <w:vAlign w:val="top"/>
          </w:tcPr>
          <w:p w14:paraId="643CC61D">
            <w:pPr>
              <w:pStyle w:val="6"/>
              <w:spacing w:before="63" w:line="228" w:lineRule="auto"/>
              <w:ind w:left="438"/>
            </w:pPr>
            <w:r>
              <w:rPr>
                <w:spacing w:val="6"/>
              </w:rPr>
              <w:t>类比法</w:t>
            </w:r>
          </w:p>
        </w:tc>
        <w:tc>
          <w:tcPr>
            <w:tcW w:w="1363" w:type="dxa"/>
            <w:vAlign w:val="top"/>
          </w:tcPr>
          <w:p w14:paraId="022CBD2B">
            <w:pPr>
              <w:spacing w:before="32" w:line="274" w:lineRule="exact"/>
              <w:ind w:left="63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859" w:type="dxa"/>
            <w:vAlign w:val="top"/>
          </w:tcPr>
          <w:p w14:paraId="4705CD9F">
            <w:pPr>
              <w:pStyle w:val="6"/>
              <w:spacing w:before="62" w:line="228" w:lineRule="auto"/>
              <w:ind w:left="392"/>
            </w:pPr>
            <w:r>
              <w:rPr>
                <w:spacing w:val="8"/>
              </w:rPr>
              <w:t>收集后交由供应商回收</w:t>
            </w:r>
          </w:p>
        </w:tc>
        <w:tc>
          <w:tcPr>
            <w:tcW w:w="1544" w:type="dxa"/>
            <w:vAlign w:val="top"/>
          </w:tcPr>
          <w:p w14:paraId="44E0A578">
            <w:pPr>
              <w:spacing w:before="32" w:line="274" w:lineRule="exact"/>
              <w:ind w:left="72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423" w:type="dxa"/>
            <w:vAlign w:val="top"/>
          </w:tcPr>
          <w:p w14:paraId="2CAAF267">
            <w:pPr>
              <w:pStyle w:val="6"/>
              <w:spacing w:before="63" w:line="228" w:lineRule="auto"/>
              <w:ind w:left="317"/>
            </w:pPr>
            <w:r>
              <w:rPr>
                <w:spacing w:val="2"/>
              </w:rPr>
              <w:t>回收利用</w:t>
            </w:r>
          </w:p>
        </w:tc>
      </w:tr>
      <w:tr w14:paraId="0B343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818" w:type="dxa"/>
            <w:vMerge w:val="continue"/>
            <w:tcBorders>
              <w:top w:val="nil"/>
            </w:tcBorders>
            <w:vAlign w:val="top"/>
          </w:tcPr>
          <w:p w14:paraId="3A40A83F">
            <w:pPr>
              <w:rPr>
                <w:rFonts w:ascii="Arial"/>
                <w:sz w:val="21"/>
              </w:rPr>
            </w:pPr>
          </w:p>
        </w:tc>
        <w:tc>
          <w:tcPr>
            <w:tcW w:w="1279" w:type="dxa"/>
            <w:vAlign w:val="top"/>
          </w:tcPr>
          <w:p w14:paraId="26B3EABF">
            <w:pPr>
              <w:pStyle w:val="6"/>
              <w:spacing w:before="227" w:line="229" w:lineRule="auto"/>
              <w:ind w:left="443"/>
            </w:pPr>
            <w:r>
              <w:rPr>
                <w:spacing w:val="-1"/>
              </w:rPr>
              <w:t>医疗</w:t>
            </w:r>
          </w:p>
        </w:tc>
        <w:tc>
          <w:tcPr>
            <w:tcW w:w="2397" w:type="dxa"/>
            <w:vAlign w:val="top"/>
          </w:tcPr>
          <w:p w14:paraId="7F24C920">
            <w:pPr>
              <w:pStyle w:val="6"/>
              <w:spacing w:before="227" w:line="229" w:lineRule="auto"/>
              <w:ind w:left="791"/>
            </w:pPr>
            <w:r>
              <w:rPr>
                <w:spacing w:val="4"/>
              </w:rPr>
              <w:t>医疗废物</w:t>
            </w:r>
          </w:p>
        </w:tc>
        <w:tc>
          <w:tcPr>
            <w:tcW w:w="817" w:type="dxa"/>
            <w:vAlign w:val="top"/>
          </w:tcPr>
          <w:p w14:paraId="5F512A12">
            <w:pPr>
              <w:pStyle w:val="6"/>
              <w:spacing w:before="64" w:line="229" w:lineRule="auto"/>
              <w:ind w:left="206"/>
            </w:pPr>
            <w:r>
              <w:rPr>
                <w:spacing w:val="3"/>
              </w:rPr>
              <w:t>危险</w:t>
            </w:r>
          </w:p>
          <w:p w14:paraId="35E94EB5">
            <w:pPr>
              <w:pStyle w:val="6"/>
              <w:spacing w:before="75" w:line="229" w:lineRule="auto"/>
              <w:ind w:left="203"/>
            </w:pPr>
            <w:r>
              <w:rPr>
                <w:spacing w:val="5"/>
              </w:rPr>
              <w:t>废物</w:t>
            </w:r>
          </w:p>
        </w:tc>
        <w:tc>
          <w:tcPr>
            <w:tcW w:w="1496" w:type="dxa"/>
            <w:vAlign w:val="top"/>
          </w:tcPr>
          <w:p w14:paraId="135DC6F1">
            <w:pPr>
              <w:pStyle w:val="6"/>
              <w:spacing w:before="227" w:line="228" w:lineRule="auto"/>
              <w:ind w:left="438"/>
            </w:pPr>
            <w:r>
              <w:rPr>
                <w:spacing w:val="6"/>
              </w:rPr>
              <w:t>类比法</w:t>
            </w:r>
          </w:p>
        </w:tc>
        <w:tc>
          <w:tcPr>
            <w:tcW w:w="1363" w:type="dxa"/>
            <w:vAlign w:val="top"/>
          </w:tcPr>
          <w:p w14:paraId="2151547D">
            <w:pPr>
              <w:spacing w:before="196" w:line="274" w:lineRule="exact"/>
              <w:ind w:left="55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2859" w:type="dxa"/>
            <w:vAlign w:val="top"/>
          </w:tcPr>
          <w:p w14:paraId="44550D0F">
            <w:pPr>
              <w:pStyle w:val="6"/>
              <w:spacing w:before="227" w:line="228" w:lineRule="auto"/>
              <w:ind w:left="280"/>
            </w:pPr>
            <w:r>
              <w:rPr>
                <w:spacing w:val="9"/>
              </w:rPr>
              <w:t>委托有资质单位回收处理</w:t>
            </w:r>
          </w:p>
        </w:tc>
        <w:tc>
          <w:tcPr>
            <w:tcW w:w="1544" w:type="dxa"/>
            <w:vAlign w:val="top"/>
          </w:tcPr>
          <w:p w14:paraId="19B6F1F7">
            <w:pPr>
              <w:spacing w:before="196" w:line="274"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423" w:type="dxa"/>
            <w:vAlign w:val="top"/>
          </w:tcPr>
          <w:p w14:paraId="2B921868">
            <w:pPr>
              <w:pStyle w:val="6"/>
              <w:spacing w:before="64" w:line="228" w:lineRule="auto"/>
              <w:ind w:left="193"/>
            </w:pPr>
            <w:r>
              <w:rPr>
                <w:spacing w:val="7"/>
              </w:rPr>
              <w:t>危废终端处</w:t>
            </w:r>
          </w:p>
          <w:p w14:paraId="4362657A">
            <w:pPr>
              <w:pStyle w:val="6"/>
              <w:spacing w:before="76" w:line="239" w:lineRule="auto"/>
              <w:ind w:left="613"/>
            </w:pPr>
            <w:r>
              <w:t>理</w:t>
            </w:r>
          </w:p>
        </w:tc>
      </w:tr>
    </w:tbl>
    <w:p w14:paraId="0EC4B8E7">
      <w:pPr>
        <w:pStyle w:val="2"/>
      </w:pPr>
    </w:p>
    <w:p w14:paraId="166F40D9">
      <w:pPr>
        <w:sectPr>
          <w:footerReference r:id="rId87" w:type="default"/>
          <w:pgSz w:w="16839" w:h="11906"/>
          <w:pgMar w:top="400" w:right="1531" w:bottom="1485" w:left="1305" w:header="0" w:footer="1249" w:gutter="0"/>
          <w:cols w:space="720" w:num="1"/>
        </w:sectPr>
      </w:pPr>
    </w:p>
    <w:p w14:paraId="574E1751">
      <w:pPr>
        <w:pStyle w:val="2"/>
        <w:spacing w:line="264" w:lineRule="auto"/>
      </w:pPr>
    </w:p>
    <w:p w14:paraId="15FCE20C">
      <w:pPr>
        <w:pStyle w:val="2"/>
        <w:spacing w:line="264" w:lineRule="auto"/>
      </w:pPr>
    </w:p>
    <w:p w14:paraId="5A6A40F9">
      <w:pPr>
        <w:pStyle w:val="2"/>
        <w:spacing w:line="264" w:lineRule="auto"/>
      </w:pPr>
    </w:p>
    <w:p w14:paraId="4992137D">
      <w:pPr>
        <w:pStyle w:val="2"/>
        <w:spacing w:line="265" w:lineRule="auto"/>
      </w:pPr>
    </w:p>
    <w:p w14:paraId="0C7A015B">
      <w:pPr>
        <w:spacing w:before="78" w:line="221" w:lineRule="auto"/>
        <w:ind w:left="139"/>
        <w:outlineLvl w:val="1"/>
        <w:rPr>
          <w:rFonts w:ascii="宋体" w:hAnsi="宋体" w:eastAsia="宋体" w:cs="宋体"/>
          <w:sz w:val="24"/>
          <w:szCs w:val="24"/>
        </w:rPr>
      </w:pPr>
      <w:r>
        <w:rPr>
          <w:rFonts w:ascii="Times New Roman" w:hAnsi="Times New Roman" w:eastAsia="Times New Roman" w:cs="Times New Roman"/>
          <w:b/>
          <w:bCs/>
          <w:spacing w:val="-2"/>
          <w:sz w:val="24"/>
          <w:szCs w:val="24"/>
        </w:rPr>
        <w:t>3.5.5</w:t>
      </w:r>
      <w:r>
        <w:rPr>
          <w:rFonts w:ascii="宋体" w:hAnsi="宋体" w:eastAsia="宋体" w:cs="宋体"/>
          <w:b/>
          <w:bCs/>
          <w:spacing w:val="-2"/>
          <w:sz w:val="24"/>
          <w:szCs w:val="24"/>
        </w:rPr>
        <w:t>污染源强汇总</w:t>
      </w:r>
    </w:p>
    <w:p w14:paraId="1A4EA933">
      <w:pPr>
        <w:spacing w:before="167" w:line="359" w:lineRule="exact"/>
        <w:ind w:left="624"/>
        <w:rPr>
          <w:rFonts w:ascii="宋体" w:hAnsi="宋体" w:eastAsia="宋体" w:cs="宋体"/>
          <w:sz w:val="24"/>
          <w:szCs w:val="24"/>
        </w:rPr>
      </w:pPr>
      <w:r>
        <w:rPr>
          <w:rFonts w:ascii="宋体" w:hAnsi="宋体" w:eastAsia="宋体" w:cs="宋体"/>
          <w:spacing w:val="-1"/>
          <w:position w:val="2"/>
          <w:sz w:val="24"/>
          <w:szCs w:val="24"/>
        </w:rPr>
        <w:t>根据以上分析，本项目污染物产生及排放情况如表</w:t>
      </w:r>
      <w:r>
        <w:rPr>
          <w:rFonts w:ascii="宋体" w:hAnsi="宋体" w:eastAsia="宋体" w:cs="宋体"/>
          <w:spacing w:val="-40"/>
          <w:position w:val="2"/>
          <w:sz w:val="24"/>
          <w:szCs w:val="24"/>
        </w:rPr>
        <w:t xml:space="preserve"> </w:t>
      </w:r>
      <w:r>
        <w:rPr>
          <w:rFonts w:ascii="Times New Roman" w:hAnsi="Times New Roman" w:eastAsia="Times New Roman" w:cs="Times New Roman"/>
          <w:spacing w:val="-1"/>
          <w:position w:val="2"/>
          <w:sz w:val="24"/>
          <w:szCs w:val="24"/>
        </w:rPr>
        <w:t xml:space="preserve">3.5-14 </w:t>
      </w:r>
      <w:r>
        <w:rPr>
          <w:rFonts w:ascii="宋体" w:hAnsi="宋体" w:eastAsia="宋体" w:cs="宋体"/>
          <w:spacing w:val="-1"/>
          <w:position w:val="2"/>
          <w:sz w:val="24"/>
          <w:szCs w:val="24"/>
        </w:rPr>
        <w:t>所示。</w:t>
      </w:r>
    </w:p>
    <w:p w14:paraId="0296C690">
      <w:pPr>
        <w:spacing w:before="180" w:line="229" w:lineRule="auto"/>
        <w:ind w:left="2674"/>
        <w:rPr>
          <w:rFonts w:ascii="Times New Roman" w:hAnsi="Times New Roman" w:eastAsia="Times New Roman" w:cs="Times New Roman"/>
          <w:sz w:val="20"/>
          <w:szCs w:val="20"/>
        </w:rPr>
      </w:pPr>
      <w:r>
        <w:rPr>
          <w:rFonts w:ascii="宋体" w:hAnsi="宋体" w:eastAsia="宋体" w:cs="宋体"/>
          <w:b/>
          <w:bCs/>
          <w:spacing w:val="6"/>
          <w:sz w:val="20"/>
          <w:szCs w:val="20"/>
        </w:rPr>
        <w:t>表</w:t>
      </w:r>
      <w:r>
        <w:rPr>
          <w:rFonts w:ascii="宋体" w:hAnsi="宋体" w:eastAsia="宋体" w:cs="宋体"/>
          <w:spacing w:val="-42"/>
          <w:sz w:val="20"/>
          <w:szCs w:val="20"/>
        </w:rPr>
        <w:t xml:space="preserve"> </w:t>
      </w:r>
      <w:r>
        <w:rPr>
          <w:rFonts w:ascii="Times New Roman" w:hAnsi="Times New Roman" w:eastAsia="Times New Roman" w:cs="Times New Roman"/>
          <w:b/>
          <w:bCs/>
          <w:spacing w:val="6"/>
          <w:sz w:val="20"/>
          <w:szCs w:val="20"/>
        </w:rPr>
        <w:t xml:space="preserve">3.5-14 </w:t>
      </w:r>
      <w:r>
        <w:rPr>
          <w:rFonts w:ascii="宋体" w:hAnsi="宋体" w:eastAsia="宋体" w:cs="宋体"/>
          <w:b/>
          <w:bCs/>
          <w:spacing w:val="6"/>
          <w:sz w:val="20"/>
          <w:szCs w:val="20"/>
        </w:rPr>
        <w:t>项目营运期污染源强汇总表单位</w:t>
      </w:r>
      <w:r>
        <w:rPr>
          <w:rFonts w:ascii="宋体" w:hAnsi="宋体" w:eastAsia="宋体" w:cs="宋体"/>
          <w:spacing w:val="-41"/>
          <w:sz w:val="20"/>
          <w:szCs w:val="20"/>
        </w:rPr>
        <w:t xml:space="preserve"> </w:t>
      </w:r>
      <w:r>
        <w:rPr>
          <w:rFonts w:ascii="Times New Roman" w:hAnsi="Times New Roman" w:eastAsia="Times New Roman" w:cs="Times New Roman"/>
          <w:b/>
          <w:bCs/>
          <w:spacing w:val="6"/>
          <w:sz w:val="20"/>
          <w:szCs w:val="20"/>
        </w:rPr>
        <w:t>t/a</w:t>
      </w:r>
    </w:p>
    <w:p w14:paraId="6D04097B">
      <w:pPr>
        <w:spacing w:line="100" w:lineRule="exact"/>
      </w:pPr>
    </w:p>
    <w:tbl>
      <w:tblPr>
        <w:tblStyle w:val="5"/>
        <w:tblW w:w="89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1603"/>
        <w:gridCol w:w="1417"/>
        <w:gridCol w:w="1915"/>
        <w:gridCol w:w="1507"/>
        <w:gridCol w:w="1732"/>
      </w:tblGrid>
      <w:tr w14:paraId="3AAD4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20" w:type="dxa"/>
            <w:vAlign w:val="top"/>
          </w:tcPr>
          <w:p w14:paraId="29C6F7A3">
            <w:pPr>
              <w:pStyle w:val="6"/>
              <w:spacing w:before="71" w:line="228" w:lineRule="auto"/>
              <w:ind w:left="205"/>
            </w:pPr>
            <w:r>
              <w:rPr>
                <w:b/>
                <w:bCs/>
                <w:spacing w:val="3"/>
              </w:rPr>
              <w:t>类型</w:t>
            </w:r>
          </w:p>
        </w:tc>
        <w:tc>
          <w:tcPr>
            <w:tcW w:w="3020" w:type="dxa"/>
            <w:gridSpan w:val="2"/>
            <w:vAlign w:val="top"/>
          </w:tcPr>
          <w:p w14:paraId="5B626EE0">
            <w:pPr>
              <w:pStyle w:val="6"/>
              <w:spacing w:before="70" w:line="229" w:lineRule="auto"/>
              <w:ind w:left="1202"/>
            </w:pPr>
            <w:r>
              <w:rPr>
                <w:b/>
                <w:bCs/>
                <w:spacing w:val="5"/>
              </w:rPr>
              <w:t>污染物</w:t>
            </w:r>
          </w:p>
        </w:tc>
        <w:tc>
          <w:tcPr>
            <w:tcW w:w="1915" w:type="dxa"/>
            <w:vAlign w:val="top"/>
          </w:tcPr>
          <w:p w14:paraId="795DD756">
            <w:pPr>
              <w:pStyle w:val="6"/>
              <w:spacing w:before="71" w:line="228" w:lineRule="auto"/>
              <w:ind w:left="649"/>
            </w:pPr>
            <w:r>
              <w:rPr>
                <w:b/>
                <w:bCs/>
                <w:spacing w:val="5"/>
              </w:rPr>
              <w:t>产生量</w:t>
            </w:r>
          </w:p>
        </w:tc>
        <w:tc>
          <w:tcPr>
            <w:tcW w:w="1507" w:type="dxa"/>
            <w:vAlign w:val="top"/>
          </w:tcPr>
          <w:p w14:paraId="273DDE2C">
            <w:pPr>
              <w:pStyle w:val="6"/>
              <w:spacing w:before="70" w:line="230" w:lineRule="auto"/>
              <w:ind w:left="459"/>
            </w:pPr>
            <w:r>
              <w:rPr>
                <w:b/>
                <w:bCs/>
                <w:spacing w:val="1"/>
              </w:rPr>
              <w:t>削减量</w:t>
            </w:r>
          </w:p>
        </w:tc>
        <w:tc>
          <w:tcPr>
            <w:tcW w:w="1732" w:type="dxa"/>
            <w:vAlign w:val="top"/>
          </w:tcPr>
          <w:p w14:paraId="3C513A64">
            <w:pPr>
              <w:pStyle w:val="6"/>
              <w:spacing w:before="70" w:line="230" w:lineRule="auto"/>
              <w:ind w:left="556"/>
            </w:pPr>
            <w:r>
              <w:rPr>
                <w:b/>
                <w:bCs/>
                <w:spacing w:val="5"/>
              </w:rPr>
              <w:t>排放量</w:t>
            </w:r>
          </w:p>
        </w:tc>
      </w:tr>
      <w:tr w14:paraId="18A85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20" w:type="dxa"/>
            <w:vAlign w:val="top"/>
          </w:tcPr>
          <w:p w14:paraId="7863D78E">
            <w:pPr>
              <w:pStyle w:val="6"/>
              <w:spacing w:before="223" w:line="228" w:lineRule="auto"/>
              <w:ind w:left="205"/>
            </w:pPr>
            <w:r>
              <w:rPr>
                <w:spacing w:val="5"/>
              </w:rPr>
              <w:t>废水</w:t>
            </w:r>
          </w:p>
        </w:tc>
        <w:tc>
          <w:tcPr>
            <w:tcW w:w="1603" w:type="dxa"/>
            <w:vAlign w:val="top"/>
          </w:tcPr>
          <w:p w14:paraId="1584C52B">
            <w:pPr>
              <w:pStyle w:val="6"/>
              <w:spacing w:before="60" w:line="228" w:lineRule="auto"/>
              <w:ind w:left="117"/>
              <w:rPr>
                <w:rFonts w:ascii="Times New Roman" w:hAnsi="Times New Roman" w:eastAsia="Times New Roman" w:cs="Times New Roman"/>
              </w:rPr>
            </w:pPr>
            <w:r>
              <w:rPr>
                <w:spacing w:val="8"/>
              </w:rPr>
              <w:t>猪只养殖废水</w:t>
            </w:r>
            <w:r>
              <w:rPr>
                <w:rFonts w:ascii="Times New Roman" w:hAnsi="Times New Roman" w:eastAsia="Times New Roman" w:cs="Times New Roman"/>
                <w:spacing w:val="8"/>
              </w:rPr>
              <w:t>+</w:t>
            </w:r>
          </w:p>
          <w:p w14:paraId="33BBC875">
            <w:pPr>
              <w:pStyle w:val="6"/>
              <w:spacing w:before="79" w:line="228" w:lineRule="auto"/>
              <w:ind w:left="388"/>
            </w:pPr>
            <w:r>
              <w:rPr>
                <w:spacing w:val="6"/>
              </w:rPr>
              <w:t>生活污水</w:t>
            </w:r>
          </w:p>
        </w:tc>
        <w:tc>
          <w:tcPr>
            <w:tcW w:w="1417" w:type="dxa"/>
            <w:vAlign w:val="top"/>
          </w:tcPr>
          <w:p w14:paraId="1284AFA6">
            <w:pPr>
              <w:pStyle w:val="6"/>
              <w:spacing w:before="223" w:line="228" w:lineRule="auto"/>
              <w:ind w:left="398"/>
            </w:pPr>
            <w:r>
              <w:rPr>
                <w:spacing w:val="7"/>
              </w:rPr>
              <w:t>废水量</w:t>
            </w:r>
          </w:p>
        </w:tc>
        <w:tc>
          <w:tcPr>
            <w:tcW w:w="1915" w:type="dxa"/>
            <w:vAlign w:val="top"/>
          </w:tcPr>
          <w:p w14:paraId="491BADB9">
            <w:pPr>
              <w:spacing w:before="192" w:line="274" w:lineRule="exact"/>
              <w:ind w:left="43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8908.26m3/a</w:t>
            </w:r>
          </w:p>
        </w:tc>
        <w:tc>
          <w:tcPr>
            <w:tcW w:w="1507" w:type="dxa"/>
            <w:vAlign w:val="top"/>
          </w:tcPr>
          <w:p w14:paraId="1B53EC0C">
            <w:pPr>
              <w:spacing w:before="192" w:line="274" w:lineRule="exact"/>
              <w:ind w:left="23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8908.26m3/a</w:t>
            </w:r>
          </w:p>
        </w:tc>
        <w:tc>
          <w:tcPr>
            <w:tcW w:w="1732" w:type="dxa"/>
            <w:vAlign w:val="top"/>
          </w:tcPr>
          <w:p w14:paraId="7A2E688C">
            <w:pPr>
              <w:spacing w:before="192" w:line="274" w:lineRule="exact"/>
              <w:ind w:left="630"/>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0m3/a</w:t>
            </w:r>
          </w:p>
        </w:tc>
      </w:tr>
      <w:tr w14:paraId="28EFC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20" w:type="dxa"/>
            <w:vMerge w:val="restart"/>
            <w:tcBorders>
              <w:bottom w:val="nil"/>
            </w:tcBorders>
            <w:vAlign w:val="top"/>
          </w:tcPr>
          <w:p w14:paraId="59E74C5C">
            <w:pPr>
              <w:spacing w:line="261" w:lineRule="auto"/>
              <w:rPr>
                <w:rFonts w:ascii="Arial"/>
                <w:sz w:val="21"/>
              </w:rPr>
            </w:pPr>
          </w:p>
          <w:p w14:paraId="0AF92B98">
            <w:pPr>
              <w:spacing w:line="262" w:lineRule="auto"/>
              <w:rPr>
                <w:rFonts w:ascii="Arial"/>
                <w:sz w:val="21"/>
              </w:rPr>
            </w:pPr>
          </w:p>
          <w:p w14:paraId="27F4BA9E">
            <w:pPr>
              <w:pStyle w:val="6"/>
              <w:spacing w:before="65" w:line="229" w:lineRule="auto"/>
              <w:ind w:left="205"/>
            </w:pPr>
            <w:r>
              <w:rPr>
                <w:spacing w:val="5"/>
              </w:rPr>
              <w:t>废气</w:t>
            </w:r>
          </w:p>
        </w:tc>
        <w:tc>
          <w:tcPr>
            <w:tcW w:w="1603" w:type="dxa"/>
            <w:vMerge w:val="restart"/>
            <w:tcBorders>
              <w:bottom w:val="nil"/>
            </w:tcBorders>
            <w:vAlign w:val="top"/>
          </w:tcPr>
          <w:p w14:paraId="108CEAA1">
            <w:pPr>
              <w:pStyle w:val="6"/>
              <w:spacing w:before="241" w:line="229" w:lineRule="auto"/>
              <w:ind w:left="595"/>
            </w:pPr>
            <w:r>
              <w:rPr>
                <w:spacing w:val="4"/>
              </w:rPr>
              <w:t>猪舍</w:t>
            </w:r>
          </w:p>
        </w:tc>
        <w:tc>
          <w:tcPr>
            <w:tcW w:w="1417" w:type="dxa"/>
            <w:vAlign w:val="top"/>
          </w:tcPr>
          <w:p w14:paraId="6DF22825">
            <w:pPr>
              <w:spacing w:before="107" w:line="236" w:lineRule="auto"/>
              <w:ind w:left="517"/>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915" w:type="dxa"/>
            <w:vAlign w:val="top"/>
          </w:tcPr>
          <w:p w14:paraId="6B418B5E">
            <w:pPr>
              <w:spacing w:before="37" w:line="274" w:lineRule="exact"/>
              <w:ind w:left="7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0.51</w:t>
            </w:r>
          </w:p>
        </w:tc>
        <w:tc>
          <w:tcPr>
            <w:tcW w:w="1507" w:type="dxa"/>
            <w:vAlign w:val="top"/>
          </w:tcPr>
          <w:p w14:paraId="1D26F0C0">
            <w:pPr>
              <w:spacing w:before="37" w:line="274" w:lineRule="exact"/>
              <w:ind w:left="5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0.49</w:t>
            </w:r>
          </w:p>
        </w:tc>
        <w:tc>
          <w:tcPr>
            <w:tcW w:w="1732" w:type="dxa"/>
            <w:vAlign w:val="top"/>
          </w:tcPr>
          <w:p w14:paraId="46DBF581">
            <w:pPr>
              <w:spacing w:before="37" w:line="274"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r>
      <w:tr w14:paraId="4B976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20" w:type="dxa"/>
            <w:vMerge w:val="continue"/>
            <w:tcBorders>
              <w:top w:val="nil"/>
              <w:bottom w:val="nil"/>
            </w:tcBorders>
            <w:vAlign w:val="top"/>
          </w:tcPr>
          <w:p w14:paraId="40653515">
            <w:pPr>
              <w:rPr>
                <w:rFonts w:ascii="Arial"/>
                <w:sz w:val="21"/>
              </w:rPr>
            </w:pPr>
          </w:p>
        </w:tc>
        <w:tc>
          <w:tcPr>
            <w:tcW w:w="1603" w:type="dxa"/>
            <w:vMerge w:val="continue"/>
            <w:tcBorders>
              <w:top w:val="nil"/>
            </w:tcBorders>
            <w:vAlign w:val="top"/>
          </w:tcPr>
          <w:p w14:paraId="55D57A25">
            <w:pPr>
              <w:rPr>
                <w:rFonts w:ascii="Arial"/>
                <w:sz w:val="21"/>
              </w:rPr>
            </w:pPr>
          </w:p>
        </w:tc>
        <w:tc>
          <w:tcPr>
            <w:tcW w:w="1417" w:type="dxa"/>
            <w:vAlign w:val="top"/>
          </w:tcPr>
          <w:p w14:paraId="69C25864">
            <w:pPr>
              <w:spacing w:before="103" w:line="241"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c>
          <w:tcPr>
            <w:tcW w:w="1915" w:type="dxa"/>
            <w:vAlign w:val="top"/>
          </w:tcPr>
          <w:p w14:paraId="25DD530E">
            <w:pPr>
              <w:spacing w:before="36" w:line="274" w:lineRule="exact"/>
              <w:ind w:left="7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507" w:type="dxa"/>
            <w:vAlign w:val="top"/>
          </w:tcPr>
          <w:p w14:paraId="77FD7599">
            <w:pPr>
              <w:spacing w:before="36" w:line="274" w:lineRule="exact"/>
              <w:ind w:left="5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0.028</w:t>
            </w:r>
          </w:p>
        </w:tc>
        <w:tc>
          <w:tcPr>
            <w:tcW w:w="1732" w:type="dxa"/>
            <w:vAlign w:val="top"/>
          </w:tcPr>
          <w:p w14:paraId="251594E7">
            <w:pPr>
              <w:spacing w:before="36" w:line="274" w:lineRule="exact"/>
              <w:ind w:left="6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r>
      <w:tr w14:paraId="4C772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20" w:type="dxa"/>
            <w:vMerge w:val="continue"/>
            <w:tcBorders>
              <w:top w:val="nil"/>
              <w:bottom w:val="nil"/>
            </w:tcBorders>
            <w:vAlign w:val="top"/>
          </w:tcPr>
          <w:p w14:paraId="2CBC1D37">
            <w:pPr>
              <w:rPr>
                <w:rFonts w:ascii="Arial"/>
                <w:sz w:val="21"/>
              </w:rPr>
            </w:pPr>
          </w:p>
        </w:tc>
        <w:tc>
          <w:tcPr>
            <w:tcW w:w="1603" w:type="dxa"/>
            <w:vMerge w:val="restart"/>
            <w:tcBorders>
              <w:bottom w:val="nil"/>
            </w:tcBorders>
            <w:vAlign w:val="top"/>
          </w:tcPr>
          <w:p w14:paraId="3A7BCED8">
            <w:pPr>
              <w:pStyle w:val="6"/>
              <w:spacing w:before="243" w:line="228" w:lineRule="auto"/>
              <w:ind w:left="281"/>
            </w:pPr>
            <w:r>
              <w:rPr>
                <w:spacing w:val="7"/>
              </w:rPr>
              <w:t>有机肥车间</w:t>
            </w:r>
          </w:p>
        </w:tc>
        <w:tc>
          <w:tcPr>
            <w:tcW w:w="1417" w:type="dxa"/>
            <w:vAlign w:val="top"/>
          </w:tcPr>
          <w:p w14:paraId="47EB0E63">
            <w:pPr>
              <w:spacing w:before="107" w:line="236" w:lineRule="auto"/>
              <w:ind w:left="517"/>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915" w:type="dxa"/>
            <w:vAlign w:val="top"/>
          </w:tcPr>
          <w:p w14:paraId="258B9403">
            <w:pPr>
              <w:spacing w:before="21" w:line="274" w:lineRule="exact"/>
              <w:ind w:left="7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0.613</w:t>
            </w:r>
          </w:p>
        </w:tc>
        <w:tc>
          <w:tcPr>
            <w:tcW w:w="1507" w:type="dxa"/>
            <w:vAlign w:val="top"/>
          </w:tcPr>
          <w:p w14:paraId="29DD039C">
            <w:pPr>
              <w:spacing w:before="38" w:line="274" w:lineRule="exact"/>
              <w:ind w:left="5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0.601</w:t>
            </w:r>
          </w:p>
        </w:tc>
        <w:tc>
          <w:tcPr>
            <w:tcW w:w="1732" w:type="dxa"/>
            <w:vAlign w:val="top"/>
          </w:tcPr>
          <w:p w14:paraId="6FBDF762">
            <w:pPr>
              <w:spacing w:before="21" w:line="274" w:lineRule="exact"/>
              <w:ind w:left="6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0.012</w:t>
            </w:r>
          </w:p>
        </w:tc>
      </w:tr>
      <w:tr w14:paraId="27D34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0" w:type="dxa"/>
            <w:vMerge w:val="continue"/>
            <w:tcBorders>
              <w:top w:val="nil"/>
            </w:tcBorders>
            <w:vAlign w:val="top"/>
          </w:tcPr>
          <w:p w14:paraId="65752840">
            <w:pPr>
              <w:rPr>
                <w:rFonts w:ascii="Arial"/>
                <w:sz w:val="21"/>
              </w:rPr>
            </w:pPr>
          </w:p>
        </w:tc>
        <w:tc>
          <w:tcPr>
            <w:tcW w:w="1603" w:type="dxa"/>
            <w:vMerge w:val="continue"/>
            <w:tcBorders>
              <w:top w:val="nil"/>
            </w:tcBorders>
            <w:vAlign w:val="top"/>
          </w:tcPr>
          <w:p w14:paraId="5BAD9E8B">
            <w:pPr>
              <w:rPr>
                <w:rFonts w:ascii="Arial"/>
                <w:sz w:val="21"/>
              </w:rPr>
            </w:pPr>
          </w:p>
        </w:tc>
        <w:tc>
          <w:tcPr>
            <w:tcW w:w="1417" w:type="dxa"/>
            <w:vAlign w:val="top"/>
          </w:tcPr>
          <w:p w14:paraId="2D56963F">
            <w:pPr>
              <w:spacing w:before="105" w:line="239"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c>
          <w:tcPr>
            <w:tcW w:w="1915" w:type="dxa"/>
            <w:vAlign w:val="top"/>
          </w:tcPr>
          <w:p w14:paraId="2D7E6C84">
            <w:pPr>
              <w:spacing w:before="22" w:line="274" w:lineRule="exact"/>
              <w:ind w:left="7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0.123</w:t>
            </w:r>
          </w:p>
        </w:tc>
        <w:tc>
          <w:tcPr>
            <w:tcW w:w="1507" w:type="dxa"/>
            <w:vAlign w:val="top"/>
          </w:tcPr>
          <w:p w14:paraId="09558F2B">
            <w:pPr>
              <w:spacing w:before="39" w:line="274"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0.118</w:t>
            </w:r>
          </w:p>
        </w:tc>
        <w:tc>
          <w:tcPr>
            <w:tcW w:w="1732" w:type="dxa"/>
            <w:vAlign w:val="top"/>
          </w:tcPr>
          <w:p w14:paraId="37B81499">
            <w:pPr>
              <w:spacing w:before="22" w:line="274" w:lineRule="exact"/>
              <w:ind w:left="6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r>
      <w:tr w14:paraId="3F171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0" w:type="dxa"/>
            <w:vMerge w:val="restart"/>
            <w:tcBorders>
              <w:bottom w:val="nil"/>
            </w:tcBorders>
            <w:vAlign w:val="top"/>
          </w:tcPr>
          <w:p w14:paraId="4C1B26E5">
            <w:pPr>
              <w:spacing w:line="351" w:lineRule="auto"/>
              <w:rPr>
                <w:rFonts w:ascii="Arial"/>
                <w:sz w:val="21"/>
              </w:rPr>
            </w:pPr>
          </w:p>
          <w:p w14:paraId="54E85422">
            <w:pPr>
              <w:spacing w:line="351" w:lineRule="auto"/>
              <w:rPr>
                <w:rFonts w:ascii="Arial"/>
                <w:sz w:val="21"/>
              </w:rPr>
            </w:pPr>
          </w:p>
          <w:p w14:paraId="77C30D80">
            <w:pPr>
              <w:pStyle w:val="6"/>
              <w:spacing w:before="65" w:line="229" w:lineRule="auto"/>
              <w:ind w:left="223"/>
            </w:pPr>
            <w:r>
              <w:rPr>
                <w:spacing w:val="-5"/>
              </w:rPr>
              <w:t>固废</w:t>
            </w:r>
          </w:p>
        </w:tc>
        <w:tc>
          <w:tcPr>
            <w:tcW w:w="3020" w:type="dxa"/>
            <w:gridSpan w:val="2"/>
            <w:vAlign w:val="top"/>
          </w:tcPr>
          <w:p w14:paraId="4D784857">
            <w:pPr>
              <w:pStyle w:val="6"/>
              <w:spacing w:before="71" w:line="228" w:lineRule="auto"/>
              <w:ind w:left="1307"/>
            </w:pPr>
            <w:r>
              <w:rPr>
                <w:spacing w:val="3"/>
              </w:rPr>
              <w:t>粪便</w:t>
            </w:r>
          </w:p>
        </w:tc>
        <w:tc>
          <w:tcPr>
            <w:tcW w:w="1915" w:type="dxa"/>
            <w:vAlign w:val="top"/>
          </w:tcPr>
          <w:p w14:paraId="2EE58365">
            <w:pPr>
              <w:spacing w:before="39" w:line="275" w:lineRule="exact"/>
              <w:ind w:left="75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5110</w:t>
            </w:r>
          </w:p>
        </w:tc>
        <w:tc>
          <w:tcPr>
            <w:tcW w:w="1507" w:type="dxa"/>
            <w:vAlign w:val="top"/>
          </w:tcPr>
          <w:p w14:paraId="3B18582B">
            <w:pPr>
              <w:spacing w:before="39" w:line="275" w:lineRule="exact"/>
              <w:ind w:left="55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5110</w:t>
            </w:r>
          </w:p>
        </w:tc>
        <w:tc>
          <w:tcPr>
            <w:tcW w:w="1732" w:type="dxa"/>
            <w:vAlign w:val="top"/>
          </w:tcPr>
          <w:p w14:paraId="43BCD5D6">
            <w:pPr>
              <w:spacing w:before="39" w:line="275" w:lineRule="exact"/>
              <w:ind w:left="8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3FF3B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0" w:type="dxa"/>
            <w:vMerge w:val="continue"/>
            <w:tcBorders>
              <w:top w:val="nil"/>
              <w:bottom w:val="nil"/>
            </w:tcBorders>
            <w:vAlign w:val="top"/>
          </w:tcPr>
          <w:p w14:paraId="763EEF04">
            <w:pPr>
              <w:rPr>
                <w:rFonts w:ascii="Arial"/>
                <w:sz w:val="21"/>
              </w:rPr>
            </w:pPr>
          </w:p>
        </w:tc>
        <w:tc>
          <w:tcPr>
            <w:tcW w:w="3020" w:type="dxa"/>
            <w:gridSpan w:val="2"/>
            <w:vAlign w:val="top"/>
          </w:tcPr>
          <w:p w14:paraId="69BC1FA8">
            <w:pPr>
              <w:pStyle w:val="6"/>
              <w:spacing w:before="71" w:line="229" w:lineRule="auto"/>
              <w:ind w:left="988"/>
            </w:pPr>
            <w:r>
              <w:rPr>
                <w:spacing w:val="8"/>
              </w:rPr>
              <w:t>病死猪尸体</w:t>
            </w:r>
          </w:p>
        </w:tc>
        <w:tc>
          <w:tcPr>
            <w:tcW w:w="1915" w:type="dxa"/>
            <w:vAlign w:val="top"/>
          </w:tcPr>
          <w:p w14:paraId="0DD8E057">
            <w:pPr>
              <w:spacing w:before="40" w:line="274" w:lineRule="exact"/>
              <w:ind w:left="7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3.75</w:t>
            </w:r>
          </w:p>
        </w:tc>
        <w:tc>
          <w:tcPr>
            <w:tcW w:w="1507" w:type="dxa"/>
            <w:vAlign w:val="top"/>
          </w:tcPr>
          <w:p w14:paraId="2AB9C26A">
            <w:pPr>
              <w:spacing w:before="40"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3.75</w:t>
            </w:r>
          </w:p>
        </w:tc>
        <w:tc>
          <w:tcPr>
            <w:tcW w:w="1732" w:type="dxa"/>
            <w:vAlign w:val="top"/>
          </w:tcPr>
          <w:p w14:paraId="69A6C178">
            <w:pPr>
              <w:spacing w:before="40" w:line="274" w:lineRule="exact"/>
              <w:ind w:left="8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6977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0" w:type="dxa"/>
            <w:vMerge w:val="continue"/>
            <w:tcBorders>
              <w:top w:val="nil"/>
              <w:bottom w:val="nil"/>
            </w:tcBorders>
            <w:vAlign w:val="top"/>
          </w:tcPr>
          <w:p w14:paraId="534E7390">
            <w:pPr>
              <w:rPr>
                <w:rFonts w:ascii="Arial"/>
                <w:sz w:val="21"/>
              </w:rPr>
            </w:pPr>
          </w:p>
        </w:tc>
        <w:tc>
          <w:tcPr>
            <w:tcW w:w="3020" w:type="dxa"/>
            <w:gridSpan w:val="2"/>
            <w:vAlign w:val="top"/>
          </w:tcPr>
          <w:p w14:paraId="2C5337FB">
            <w:pPr>
              <w:pStyle w:val="6"/>
              <w:spacing w:before="71" w:line="228" w:lineRule="auto"/>
              <w:ind w:left="890"/>
            </w:pPr>
            <w:r>
              <w:rPr>
                <w:spacing w:val="7"/>
              </w:rPr>
              <w:t>办公生活垃圾</w:t>
            </w:r>
          </w:p>
        </w:tc>
        <w:tc>
          <w:tcPr>
            <w:tcW w:w="1915" w:type="dxa"/>
            <w:vAlign w:val="top"/>
          </w:tcPr>
          <w:p w14:paraId="1F947FE8">
            <w:pPr>
              <w:spacing w:before="40" w:line="274" w:lineRule="exact"/>
              <w:ind w:left="7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1507" w:type="dxa"/>
            <w:vAlign w:val="top"/>
          </w:tcPr>
          <w:p w14:paraId="0353A07D">
            <w:pPr>
              <w:spacing w:before="40" w:line="274" w:lineRule="exact"/>
              <w:ind w:left="5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1732" w:type="dxa"/>
            <w:vAlign w:val="top"/>
          </w:tcPr>
          <w:p w14:paraId="197E1C80">
            <w:pPr>
              <w:spacing w:before="40" w:line="274" w:lineRule="exact"/>
              <w:ind w:left="8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42C64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0" w:type="dxa"/>
            <w:vMerge w:val="continue"/>
            <w:tcBorders>
              <w:top w:val="nil"/>
              <w:bottom w:val="nil"/>
            </w:tcBorders>
            <w:vAlign w:val="top"/>
          </w:tcPr>
          <w:p w14:paraId="4F54BBA1">
            <w:pPr>
              <w:rPr>
                <w:rFonts w:ascii="Arial"/>
                <w:sz w:val="21"/>
              </w:rPr>
            </w:pPr>
          </w:p>
        </w:tc>
        <w:tc>
          <w:tcPr>
            <w:tcW w:w="3020" w:type="dxa"/>
            <w:gridSpan w:val="2"/>
            <w:vAlign w:val="top"/>
          </w:tcPr>
          <w:p w14:paraId="5246C220">
            <w:pPr>
              <w:pStyle w:val="6"/>
              <w:spacing w:before="69" w:line="229" w:lineRule="auto"/>
              <w:ind w:left="1104"/>
            </w:pPr>
            <w:r>
              <w:rPr>
                <w:spacing w:val="4"/>
              </w:rPr>
              <w:t>医疗废物</w:t>
            </w:r>
          </w:p>
        </w:tc>
        <w:tc>
          <w:tcPr>
            <w:tcW w:w="1915" w:type="dxa"/>
            <w:vAlign w:val="top"/>
          </w:tcPr>
          <w:p w14:paraId="4A2D6458">
            <w:pPr>
              <w:spacing w:before="38" w:line="274" w:lineRule="exact"/>
              <w:ind w:left="83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507" w:type="dxa"/>
            <w:vAlign w:val="top"/>
          </w:tcPr>
          <w:p w14:paraId="62829E45">
            <w:pPr>
              <w:spacing w:before="38" w:line="274" w:lineRule="exact"/>
              <w:ind w:left="6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732" w:type="dxa"/>
            <w:vAlign w:val="top"/>
          </w:tcPr>
          <w:p w14:paraId="37BDC383">
            <w:pPr>
              <w:spacing w:before="38" w:line="274" w:lineRule="exact"/>
              <w:ind w:left="8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4A90A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20" w:type="dxa"/>
            <w:vMerge w:val="continue"/>
            <w:tcBorders>
              <w:top w:val="nil"/>
            </w:tcBorders>
            <w:vAlign w:val="top"/>
          </w:tcPr>
          <w:p w14:paraId="7C88B2F2">
            <w:pPr>
              <w:rPr>
                <w:rFonts w:ascii="Arial"/>
                <w:sz w:val="21"/>
              </w:rPr>
            </w:pPr>
          </w:p>
        </w:tc>
        <w:tc>
          <w:tcPr>
            <w:tcW w:w="3020" w:type="dxa"/>
            <w:gridSpan w:val="2"/>
            <w:vAlign w:val="top"/>
          </w:tcPr>
          <w:p w14:paraId="59EAB8AB">
            <w:pPr>
              <w:pStyle w:val="6"/>
              <w:spacing w:before="69" w:line="229" w:lineRule="auto"/>
              <w:ind w:left="1093"/>
            </w:pPr>
            <w:r>
              <w:rPr>
                <w:spacing w:val="7"/>
              </w:rPr>
              <w:t>废包装物</w:t>
            </w:r>
          </w:p>
        </w:tc>
        <w:tc>
          <w:tcPr>
            <w:tcW w:w="1915" w:type="dxa"/>
            <w:vAlign w:val="top"/>
          </w:tcPr>
          <w:p w14:paraId="643108A2">
            <w:pPr>
              <w:spacing w:before="39" w:line="274" w:lineRule="exact"/>
              <w:ind w:left="90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507" w:type="dxa"/>
            <w:vAlign w:val="top"/>
          </w:tcPr>
          <w:p w14:paraId="0601CB94">
            <w:pPr>
              <w:spacing w:before="39" w:line="274" w:lineRule="exact"/>
              <w:ind w:left="70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732" w:type="dxa"/>
            <w:vAlign w:val="top"/>
          </w:tcPr>
          <w:p w14:paraId="1EF024EB">
            <w:pPr>
              <w:spacing w:before="39" w:line="274" w:lineRule="exact"/>
              <w:ind w:left="8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bl>
    <w:p w14:paraId="07ED1E9B">
      <w:pPr>
        <w:pStyle w:val="2"/>
      </w:pPr>
    </w:p>
    <w:p w14:paraId="070DF756">
      <w:pPr>
        <w:sectPr>
          <w:footerReference r:id="rId88" w:type="default"/>
          <w:pgSz w:w="11906" w:h="16839"/>
          <w:pgMar w:top="400" w:right="1453" w:bottom="1485" w:left="1453" w:header="0" w:footer="1249" w:gutter="0"/>
          <w:cols w:space="720" w:num="1"/>
        </w:sectPr>
      </w:pPr>
    </w:p>
    <w:p w14:paraId="1A1E3343">
      <w:pPr>
        <w:pStyle w:val="2"/>
        <w:spacing w:line="261" w:lineRule="auto"/>
      </w:pPr>
    </w:p>
    <w:p w14:paraId="1414DBE0">
      <w:pPr>
        <w:pStyle w:val="2"/>
        <w:spacing w:line="261" w:lineRule="auto"/>
      </w:pPr>
    </w:p>
    <w:p w14:paraId="438E2497">
      <w:pPr>
        <w:pStyle w:val="2"/>
        <w:spacing w:line="262" w:lineRule="auto"/>
      </w:pPr>
    </w:p>
    <w:p w14:paraId="7169FD63">
      <w:pPr>
        <w:pStyle w:val="2"/>
        <w:spacing w:line="262" w:lineRule="auto"/>
      </w:pPr>
    </w:p>
    <w:p w14:paraId="73C332CC">
      <w:pPr>
        <w:spacing w:before="140" w:line="225" w:lineRule="auto"/>
        <w:ind w:left="1832"/>
        <w:outlineLvl w:val="0"/>
        <w:rPr>
          <w:rFonts w:ascii="黑体" w:hAnsi="黑体" w:eastAsia="黑体" w:cs="黑体"/>
          <w:sz w:val="43"/>
          <w:szCs w:val="43"/>
        </w:rPr>
      </w:pPr>
      <w:bookmarkStart w:id="25" w:name="bookmark23"/>
      <w:bookmarkEnd w:id="25"/>
      <w:bookmarkStart w:id="26" w:name="bookmark24"/>
      <w:bookmarkEnd w:id="26"/>
      <w:r>
        <w:rPr>
          <w:rFonts w:ascii="黑体" w:hAnsi="黑体" w:eastAsia="黑体" w:cs="黑体"/>
          <w:spacing w:val="9"/>
          <w:sz w:val="43"/>
          <w:szCs w:val="43"/>
        </w:rPr>
        <w:t>4环境质量现状监测与评价</w:t>
      </w:r>
    </w:p>
    <w:p w14:paraId="07516105">
      <w:pPr>
        <w:pStyle w:val="2"/>
        <w:spacing w:line="254" w:lineRule="auto"/>
      </w:pPr>
    </w:p>
    <w:p w14:paraId="48388A4F">
      <w:pPr>
        <w:pStyle w:val="2"/>
        <w:spacing w:line="254" w:lineRule="auto"/>
      </w:pPr>
    </w:p>
    <w:p w14:paraId="78D6D66C">
      <w:pPr>
        <w:spacing w:before="91" w:line="219" w:lineRule="auto"/>
        <w:ind w:left="1"/>
        <w:outlineLvl w:val="1"/>
        <w:rPr>
          <w:rFonts w:ascii="宋体" w:hAnsi="宋体" w:eastAsia="宋体" w:cs="宋体"/>
          <w:sz w:val="28"/>
          <w:szCs w:val="28"/>
        </w:rPr>
      </w:pPr>
      <w:bookmarkStart w:id="27" w:name="bookmark60"/>
      <w:bookmarkEnd w:id="27"/>
      <w:r>
        <w:rPr>
          <w:rFonts w:ascii="Times New Roman" w:hAnsi="Times New Roman" w:eastAsia="Times New Roman" w:cs="Times New Roman"/>
          <w:b/>
          <w:bCs/>
          <w:spacing w:val="-3"/>
          <w:sz w:val="28"/>
          <w:szCs w:val="28"/>
        </w:rPr>
        <w:t>4.1</w:t>
      </w:r>
      <w:r>
        <w:rPr>
          <w:rFonts w:ascii="宋体" w:hAnsi="宋体" w:eastAsia="宋体" w:cs="宋体"/>
          <w:b/>
          <w:bCs/>
          <w:spacing w:val="-3"/>
          <w:sz w:val="28"/>
          <w:szCs w:val="28"/>
        </w:rPr>
        <w:t>自然环境现状调查与评价</w:t>
      </w:r>
    </w:p>
    <w:p w14:paraId="4FB313AD">
      <w:pPr>
        <w:spacing w:before="258" w:line="222"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4.1.1</w:t>
      </w:r>
      <w:r>
        <w:rPr>
          <w:rFonts w:ascii="宋体" w:hAnsi="宋体" w:eastAsia="宋体" w:cs="宋体"/>
          <w:b/>
          <w:bCs/>
          <w:spacing w:val="-2"/>
          <w:sz w:val="24"/>
          <w:szCs w:val="24"/>
        </w:rPr>
        <w:t>地理位置</w:t>
      </w:r>
    </w:p>
    <w:p w14:paraId="2DD0A77A">
      <w:pPr>
        <w:spacing w:before="166" w:line="372" w:lineRule="auto"/>
        <w:ind w:left="1" w:firstLine="480"/>
        <w:jc w:val="both"/>
        <w:rPr>
          <w:rFonts w:ascii="宋体" w:hAnsi="宋体" w:eastAsia="宋体" w:cs="宋体"/>
          <w:sz w:val="24"/>
          <w:szCs w:val="24"/>
        </w:rPr>
      </w:pPr>
      <w:r>
        <w:rPr>
          <w:rFonts w:ascii="宋体" w:hAnsi="宋体" w:eastAsia="宋体" w:cs="宋体"/>
          <w:sz w:val="24"/>
          <w:szCs w:val="24"/>
        </w:rPr>
        <w:t>海丰县地处广东省南部，西距广州</w:t>
      </w:r>
      <w:r>
        <w:rPr>
          <w:rFonts w:ascii="Times New Roman" w:hAnsi="Times New Roman" w:eastAsia="Times New Roman" w:cs="Times New Roman"/>
          <w:sz w:val="24"/>
          <w:szCs w:val="24"/>
        </w:rPr>
        <w:t>290km</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，距深圳</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197km</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，东距汕头</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18</w:t>
      </w:r>
      <w:r>
        <w:rPr>
          <w:rFonts w:ascii="Times New Roman" w:hAnsi="Times New Roman" w:eastAsia="Times New Roman" w:cs="Times New Roman"/>
          <w:spacing w:val="-1"/>
          <w:sz w:val="24"/>
          <w:szCs w:val="24"/>
        </w:rPr>
        <w:t>0km</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1"/>
          <w:sz w:val="24"/>
          <w:szCs w:val="24"/>
        </w:rPr>
        <w:t>水路由辖下联安镇西闸、三关妈</w:t>
      </w:r>
      <w:r>
        <w:rPr>
          <w:rFonts w:ascii="Times New Roman" w:hAnsi="Times New Roman" w:eastAsia="Times New Roman" w:cs="Times New Roman"/>
          <w:spacing w:val="1"/>
          <w:sz w:val="24"/>
          <w:szCs w:val="24"/>
        </w:rPr>
        <w:t>“</w:t>
      </w:r>
      <w:r>
        <w:rPr>
          <w:rFonts w:ascii="宋体" w:hAnsi="宋体" w:eastAsia="宋体" w:cs="宋体"/>
          <w:spacing w:val="1"/>
          <w:sz w:val="24"/>
          <w:szCs w:val="24"/>
        </w:rPr>
        <w:t>天然良好渔船避风塘</w:t>
      </w:r>
      <w:r>
        <w:rPr>
          <w:rFonts w:ascii="Times New Roman" w:hAnsi="Times New Roman" w:eastAsia="Times New Roman" w:cs="Times New Roman"/>
          <w:spacing w:val="1"/>
          <w:sz w:val="24"/>
          <w:szCs w:val="24"/>
        </w:rPr>
        <w:t>”</w:t>
      </w:r>
      <w:r>
        <w:rPr>
          <w:rFonts w:ascii="宋体" w:hAnsi="宋体" w:eastAsia="宋体" w:cs="宋体"/>
          <w:spacing w:val="1"/>
          <w:sz w:val="24"/>
          <w:szCs w:val="24"/>
        </w:rPr>
        <w:t>至香港</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83</w:t>
      </w:r>
      <w:r>
        <w:rPr>
          <w:rFonts w:ascii="宋体" w:hAnsi="宋体" w:eastAsia="宋体" w:cs="宋体"/>
          <w:spacing w:val="1"/>
          <w:sz w:val="24"/>
          <w:szCs w:val="24"/>
        </w:rPr>
        <w:t>海里，水陆</w:t>
      </w:r>
      <w:r>
        <w:rPr>
          <w:rFonts w:ascii="宋体" w:hAnsi="宋体" w:eastAsia="宋体" w:cs="宋体"/>
          <w:sz w:val="24"/>
          <w:szCs w:val="24"/>
        </w:rPr>
        <w:t>交通便 捷，是粤东地区陆上交通要津。海丰取义于</w:t>
      </w:r>
      <w:r>
        <w:rPr>
          <w:rFonts w:ascii="Times New Roman" w:hAnsi="Times New Roman" w:eastAsia="Times New Roman" w:cs="Times New Roman"/>
          <w:sz w:val="24"/>
          <w:szCs w:val="24"/>
        </w:rPr>
        <w:t>“</w:t>
      </w:r>
      <w:r>
        <w:rPr>
          <w:rFonts w:ascii="宋体" w:hAnsi="宋体" w:eastAsia="宋体" w:cs="宋体"/>
          <w:sz w:val="24"/>
          <w:szCs w:val="24"/>
        </w:rPr>
        <w:t>南海物丰</w:t>
      </w:r>
      <w:r>
        <w:rPr>
          <w:rFonts w:ascii="Times New Roman" w:hAnsi="Times New Roman" w:eastAsia="Times New Roman" w:cs="Times New Roman"/>
          <w:sz w:val="24"/>
          <w:szCs w:val="24"/>
        </w:rPr>
        <w:t>”</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。全县有</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 xml:space="preserve">16 </w:t>
      </w:r>
      <w:r>
        <w:rPr>
          <w:rFonts w:ascii="宋体" w:hAnsi="宋体" w:eastAsia="宋体" w:cs="宋体"/>
          <w:spacing w:val="-1"/>
          <w:sz w:val="24"/>
          <w:szCs w:val="24"/>
        </w:rPr>
        <w:t>个镇，</w:t>
      </w:r>
      <w:r>
        <w:rPr>
          <w:rFonts w:ascii="Times New Roman" w:hAnsi="Times New Roman" w:eastAsia="Times New Roman" w:cs="Times New Roman"/>
          <w:spacing w:val="-1"/>
          <w:sz w:val="24"/>
          <w:szCs w:val="24"/>
        </w:rPr>
        <w:t xml:space="preserve">236 </w:t>
      </w:r>
      <w:r>
        <w:rPr>
          <w:rFonts w:ascii="宋体" w:hAnsi="宋体" w:eastAsia="宋体" w:cs="宋体"/>
          <w:spacing w:val="-1"/>
          <w:sz w:val="24"/>
          <w:szCs w:val="24"/>
        </w:rPr>
        <w:t>个村</w:t>
      </w:r>
      <w:r>
        <w:rPr>
          <w:rFonts w:ascii="宋体" w:hAnsi="宋体" w:eastAsia="宋体" w:cs="宋体"/>
          <w:sz w:val="24"/>
          <w:szCs w:val="24"/>
        </w:rPr>
        <w:t xml:space="preserve"> </w:t>
      </w:r>
      <w:r>
        <w:rPr>
          <w:rFonts w:ascii="宋体" w:hAnsi="宋体" w:eastAsia="宋体" w:cs="宋体"/>
          <w:spacing w:val="7"/>
          <w:sz w:val="24"/>
          <w:szCs w:val="24"/>
        </w:rPr>
        <w:t>民委员会，</w:t>
      </w:r>
      <w:r>
        <w:rPr>
          <w:rFonts w:ascii="Times New Roman" w:hAnsi="Times New Roman" w:eastAsia="Times New Roman" w:cs="Times New Roman"/>
          <w:spacing w:val="7"/>
          <w:sz w:val="24"/>
          <w:szCs w:val="24"/>
        </w:rPr>
        <w:t xml:space="preserve">42 </w:t>
      </w:r>
      <w:r>
        <w:rPr>
          <w:rFonts w:ascii="宋体" w:hAnsi="宋体" w:eastAsia="宋体" w:cs="宋体"/>
          <w:spacing w:val="7"/>
          <w:sz w:val="24"/>
          <w:szCs w:val="24"/>
        </w:rPr>
        <w:t>个社区居民委员会。海丰县人民政府驻地设在海城镇。全县总面积</w:t>
      </w:r>
      <w:r>
        <w:rPr>
          <w:rFonts w:ascii="宋体" w:hAnsi="宋体" w:eastAsia="宋体" w:cs="宋体"/>
          <w:spacing w:val="1"/>
          <w:sz w:val="24"/>
          <w:szCs w:val="24"/>
        </w:rPr>
        <w:t xml:space="preserve"> </w:t>
      </w:r>
      <w:r>
        <w:rPr>
          <w:rFonts w:ascii="Times New Roman" w:hAnsi="Times New Roman" w:eastAsia="Times New Roman" w:cs="Times New Roman"/>
          <w:spacing w:val="-2"/>
          <w:sz w:val="24"/>
          <w:szCs w:val="24"/>
        </w:rPr>
        <w:t>1750km</w:t>
      </w:r>
      <w:r>
        <w:rPr>
          <w:rFonts w:ascii="Times New Roman" w:hAnsi="Times New Roman" w:eastAsia="Times New Roman" w:cs="Times New Roman"/>
          <w:spacing w:val="-2"/>
          <w:position w:val="7"/>
          <w:sz w:val="15"/>
          <w:szCs w:val="15"/>
        </w:rPr>
        <w:t xml:space="preserve">2 </w:t>
      </w:r>
      <w:r>
        <w:rPr>
          <w:rFonts w:ascii="宋体" w:hAnsi="宋体" w:eastAsia="宋体" w:cs="宋体"/>
          <w:spacing w:val="-2"/>
          <w:sz w:val="24"/>
          <w:szCs w:val="24"/>
        </w:rPr>
        <w:t>。地势由西北向东南倾斜，炼化后三主峰海拔</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1337.</w:t>
      </w:r>
      <w:r>
        <w:rPr>
          <w:rFonts w:ascii="Times New Roman" w:hAnsi="Times New Roman" w:eastAsia="Times New Roman" w:cs="Times New Roman"/>
          <w:spacing w:val="-3"/>
          <w:sz w:val="24"/>
          <w:szCs w:val="24"/>
        </w:rPr>
        <w:t>3m</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，莲花山脉横贯境北</w:t>
      </w:r>
      <w:r>
        <w:rPr>
          <w:rFonts w:ascii="宋体" w:hAnsi="宋体" w:eastAsia="宋体" w:cs="宋体"/>
          <w:sz w:val="24"/>
          <w:szCs w:val="24"/>
        </w:rPr>
        <w:t xml:space="preserve"> </w:t>
      </w:r>
      <w:r>
        <w:rPr>
          <w:rFonts w:ascii="宋体" w:hAnsi="宋体" w:eastAsia="宋体" w:cs="宋体"/>
          <w:spacing w:val="-2"/>
          <w:sz w:val="24"/>
          <w:szCs w:val="24"/>
        </w:rPr>
        <w:t>部。西北山峦叠嶂，中部为宽阔平原，土质肥沃，河涌交错，有赤石、大液、丽江、</w:t>
      </w:r>
      <w:r>
        <w:rPr>
          <w:rFonts w:ascii="宋体" w:hAnsi="宋体" w:eastAsia="宋体" w:cs="宋体"/>
          <w:sz w:val="24"/>
          <w:szCs w:val="24"/>
        </w:rPr>
        <w:t xml:space="preserve"> </w:t>
      </w:r>
      <w:r>
        <w:rPr>
          <w:rFonts w:ascii="宋体" w:hAnsi="宋体" w:eastAsia="宋体" w:cs="宋体"/>
          <w:spacing w:val="-2"/>
          <w:sz w:val="24"/>
          <w:szCs w:val="24"/>
        </w:rPr>
        <w:t>黄江</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大江河，东部濒临碣石湾，西部面向红海湾。年均气温</w:t>
      </w:r>
      <w:r>
        <w:rPr>
          <w:rFonts w:ascii="Times New Roman" w:hAnsi="Times New Roman" w:eastAsia="Times New Roman" w:cs="Times New Roman"/>
          <w:spacing w:val="-2"/>
          <w:sz w:val="24"/>
          <w:szCs w:val="24"/>
        </w:rPr>
        <w:t>22</w:t>
      </w:r>
      <w:r>
        <w:rPr>
          <w:rFonts w:ascii="宋体" w:hAnsi="宋体" w:eastAsia="宋体" w:cs="宋体"/>
          <w:spacing w:val="-2"/>
          <w:sz w:val="24"/>
          <w:szCs w:val="24"/>
        </w:rPr>
        <w:t>℃</w:t>
      </w:r>
      <w:r>
        <w:rPr>
          <w:rFonts w:ascii="宋体" w:hAnsi="宋体" w:eastAsia="宋体" w:cs="宋体"/>
          <w:spacing w:val="-93"/>
          <w:sz w:val="24"/>
          <w:szCs w:val="24"/>
        </w:rPr>
        <w:t xml:space="preserve"> </w:t>
      </w:r>
      <w:r>
        <w:rPr>
          <w:rFonts w:ascii="宋体" w:hAnsi="宋体" w:eastAsia="宋体" w:cs="宋体"/>
          <w:spacing w:val="-2"/>
          <w:sz w:val="24"/>
          <w:szCs w:val="24"/>
        </w:rPr>
        <w:t>,</w:t>
      </w:r>
      <w:r>
        <w:rPr>
          <w:rFonts w:ascii="宋体" w:hAnsi="宋体" w:eastAsia="宋体" w:cs="宋体"/>
          <w:spacing w:val="41"/>
          <w:sz w:val="24"/>
          <w:szCs w:val="24"/>
        </w:rPr>
        <w:t xml:space="preserve"> </w:t>
      </w:r>
      <w:r>
        <w:rPr>
          <w:rFonts w:ascii="宋体" w:hAnsi="宋体" w:eastAsia="宋体" w:cs="宋体"/>
          <w:spacing w:val="-2"/>
          <w:sz w:val="24"/>
          <w:szCs w:val="24"/>
        </w:rPr>
        <w:t>无霜期</w:t>
      </w:r>
      <w:r>
        <w:rPr>
          <w:rFonts w:ascii="Times New Roman" w:hAnsi="Times New Roman" w:eastAsia="Times New Roman" w:cs="Times New Roman"/>
          <w:spacing w:val="-2"/>
          <w:sz w:val="24"/>
          <w:szCs w:val="24"/>
        </w:rPr>
        <w:t>36</w:t>
      </w:r>
      <w:r>
        <w:rPr>
          <w:rFonts w:ascii="Times New Roman" w:hAnsi="Times New Roman" w:eastAsia="Times New Roman" w:cs="Times New Roman"/>
          <w:spacing w:val="-3"/>
          <w:sz w:val="24"/>
          <w:szCs w:val="24"/>
        </w:rPr>
        <w:t xml:space="preserve">0 </w:t>
      </w:r>
      <w:r>
        <w:rPr>
          <w:rFonts w:ascii="宋体" w:hAnsi="宋体" w:eastAsia="宋体" w:cs="宋体"/>
          <w:spacing w:val="-3"/>
          <w:sz w:val="24"/>
          <w:szCs w:val="24"/>
        </w:rPr>
        <w:t>天，</w:t>
      </w:r>
      <w:r>
        <w:rPr>
          <w:rFonts w:ascii="宋体" w:hAnsi="宋体" w:eastAsia="宋体" w:cs="宋体"/>
          <w:sz w:val="24"/>
          <w:szCs w:val="24"/>
        </w:rPr>
        <w:t xml:space="preserve"> 年均降水量</w:t>
      </w:r>
      <w:r>
        <w:rPr>
          <w:rFonts w:ascii="Times New Roman" w:hAnsi="Times New Roman" w:eastAsia="Times New Roman" w:cs="Times New Roman"/>
          <w:sz w:val="24"/>
          <w:szCs w:val="24"/>
        </w:rPr>
        <w:t>2389.5mm</w:t>
      </w:r>
      <w:r>
        <w:rPr>
          <w:rFonts w:ascii="宋体" w:hAnsi="宋体" w:eastAsia="宋体" w:cs="宋体"/>
          <w:sz w:val="24"/>
          <w:szCs w:val="24"/>
        </w:rPr>
        <w:t>。深汕特别合作区位于海丰县西部四镇，分别是鲘门镇、小漠</w:t>
      </w:r>
      <w:r>
        <w:rPr>
          <w:rFonts w:ascii="宋体" w:hAnsi="宋体" w:eastAsia="宋体" w:cs="宋体"/>
          <w:spacing w:val="9"/>
          <w:sz w:val="24"/>
          <w:szCs w:val="24"/>
        </w:rPr>
        <w:t xml:space="preserve"> </w:t>
      </w:r>
      <w:r>
        <w:rPr>
          <w:rFonts w:ascii="宋体" w:hAnsi="宋体" w:eastAsia="宋体" w:cs="宋体"/>
          <w:spacing w:val="-1"/>
          <w:sz w:val="24"/>
          <w:szCs w:val="24"/>
        </w:rPr>
        <w:t>镇、赤石镇和娥埠镇。</w:t>
      </w:r>
    </w:p>
    <w:p w14:paraId="696A000A">
      <w:pPr>
        <w:spacing w:before="81"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4.1.2</w:t>
      </w:r>
      <w:r>
        <w:rPr>
          <w:rFonts w:ascii="宋体" w:hAnsi="宋体" w:eastAsia="宋体" w:cs="宋体"/>
          <w:b/>
          <w:bCs/>
          <w:spacing w:val="-2"/>
          <w:sz w:val="24"/>
          <w:szCs w:val="24"/>
        </w:rPr>
        <w:t>气候与气象</w:t>
      </w:r>
    </w:p>
    <w:p w14:paraId="7FBCF7F4">
      <w:pPr>
        <w:spacing w:before="169" w:line="376" w:lineRule="auto"/>
        <w:ind w:left="3" w:right="21" w:firstLine="479"/>
        <w:rPr>
          <w:rFonts w:ascii="宋体" w:hAnsi="宋体" w:eastAsia="宋体" w:cs="宋体"/>
          <w:sz w:val="24"/>
          <w:szCs w:val="24"/>
        </w:rPr>
      </w:pPr>
      <w:r>
        <w:rPr>
          <w:rFonts w:ascii="宋体" w:hAnsi="宋体" w:eastAsia="宋体" w:cs="宋体"/>
          <w:spacing w:val="-3"/>
          <w:sz w:val="24"/>
          <w:szCs w:val="24"/>
        </w:rPr>
        <w:t>海丰县地处北回归线南缘，属南亚热带气候区，年均气温</w:t>
      </w:r>
      <w:r>
        <w:rPr>
          <w:rFonts w:ascii="Times New Roman" w:hAnsi="Times New Roman" w:eastAsia="Times New Roman" w:cs="Times New Roman"/>
          <w:spacing w:val="-3"/>
          <w:sz w:val="24"/>
          <w:szCs w:val="24"/>
        </w:rPr>
        <w:t>22</w:t>
      </w:r>
      <w:r>
        <w:rPr>
          <w:rFonts w:ascii="宋体" w:hAnsi="宋体" w:eastAsia="宋体" w:cs="宋体"/>
          <w:spacing w:val="-3"/>
          <w:sz w:val="24"/>
          <w:szCs w:val="24"/>
        </w:rPr>
        <w:t>℃</w:t>
      </w:r>
      <w:r>
        <w:rPr>
          <w:rFonts w:ascii="宋体" w:hAnsi="宋体" w:eastAsia="宋体" w:cs="宋体"/>
          <w:spacing w:val="-93"/>
          <w:sz w:val="24"/>
          <w:szCs w:val="24"/>
        </w:rPr>
        <w:t xml:space="preserve"> </w:t>
      </w:r>
      <w:r>
        <w:rPr>
          <w:rFonts w:ascii="宋体" w:hAnsi="宋体" w:eastAsia="宋体" w:cs="宋体"/>
          <w:spacing w:val="-3"/>
          <w:sz w:val="24"/>
          <w:szCs w:val="24"/>
        </w:rPr>
        <w:t>,</w:t>
      </w:r>
      <w:r>
        <w:rPr>
          <w:rFonts w:ascii="宋体" w:hAnsi="宋体" w:eastAsia="宋体" w:cs="宋体"/>
          <w:spacing w:val="32"/>
          <w:sz w:val="24"/>
          <w:szCs w:val="24"/>
        </w:rPr>
        <w:t xml:space="preserve"> </w:t>
      </w:r>
      <w:r>
        <w:rPr>
          <w:rFonts w:ascii="宋体" w:hAnsi="宋体" w:eastAsia="宋体" w:cs="宋体"/>
          <w:spacing w:val="-3"/>
          <w:sz w:val="24"/>
          <w:szCs w:val="24"/>
        </w:rPr>
        <w:t>无霜期</w:t>
      </w:r>
      <w:r>
        <w:rPr>
          <w:rFonts w:ascii="Times New Roman" w:hAnsi="Times New Roman" w:eastAsia="Times New Roman" w:cs="Times New Roman"/>
          <w:spacing w:val="-3"/>
          <w:sz w:val="24"/>
          <w:szCs w:val="24"/>
        </w:rPr>
        <w:t>360</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天，</w:t>
      </w:r>
      <w:r>
        <w:rPr>
          <w:rFonts w:ascii="宋体" w:hAnsi="宋体" w:eastAsia="宋体" w:cs="宋体"/>
          <w:sz w:val="24"/>
          <w:szCs w:val="24"/>
        </w:rPr>
        <w:t xml:space="preserve"> 年均降水量</w:t>
      </w:r>
      <w:r>
        <w:rPr>
          <w:rFonts w:ascii="Times New Roman" w:hAnsi="Times New Roman" w:eastAsia="Times New Roman" w:cs="Times New Roman"/>
          <w:sz w:val="24"/>
          <w:szCs w:val="24"/>
        </w:rPr>
        <w:t>2541.6mm</w:t>
      </w:r>
      <w:r>
        <w:rPr>
          <w:rFonts w:ascii="Times New Roman" w:hAnsi="Times New Roman" w:eastAsia="Times New Roman" w:cs="Times New Roman"/>
          <w:spacing w:val="-20"/>
          <w:sz w:val="24"/>
          <w:szCs w:val="24"/>
        </w:rPr>
        <w:t xml:space="preserve"> </w:t>
      </w:r>
      <w:r>
        <w:rPr>
          <w:rFonts w:ascii="宋体" w:hAnsi="宋体" w:eastAsia="宋体" w:cs="宋体"/>
          <w:sz w:val="24"/>
          <w:szCs w:val="24"/>
        </w:rPr>
        <w:t>，年平均降雨日为</w:t>
      </w:r>
      <w:r>
        <w:rPr>
          <w:rFonts w:ascii="宋体" w:hAnsi="宋体" w:eastAsia="宋体" w:cs="宋体"/>
          <w:spacing w:val="-32"/>
          <w:sz w:val="24"/>
          <w:szCs w:val="24"/>
        </w:rPr>
        <w:t xml:space="preserve"> </w:t>
      </w:r>
      <w:r>
        <w:rPr>
          <w:rFonts w:ascii="Times New Roman" w:hAnsi="Times New Roman" w:eastAsia="Times New Roman" w:cs="Times New Roman"/>
          <w:sz w:val="24"/>
          <w:szCs w:val="24"/>
        </w:rPr>
        <w:t xml:space="preserve">101 </w:t>
      </w:r>
      <w:r>
        <w:rPr>
          <w:rFonts w:ascii="宋体" w:hAnsi="宋体" w:eastAsia="宋体" w:cs="宋体"/>
          <w:sz w:val="24"/>
          <w:szCs w:val="24"/>
        </w:rPr>
        <w:t xml:space="preserve">天。海洋性气候明显，常年气温宜和、 </w:t>
      </w:r>
      <w:r>
        <w:rPr>
          <w:rFonts w:ascii="宋体" w:hAnsi="宋体" w:eastAsia="宋体" w:cs="宋体"/>
          <w:spacing w:val="3"/>
          <w:sz w:val="24"/>
          <w:szCs w:val="24"/>
        </w:rPr>
        <w:t>雨量丰沛、光能热量充足。夏季长，温高雨多且湿度大，多为西南风，常</w:t>
      </w:r>
      <w:r>
        <w:rPr>
          <w:rFonts w:ascii="宋体" w:hAnsi="宋体" w:eastAsia="宋体" w:cs="宋体"/>
          <w:spacing w:val="2"/>
          <w:sz w:val="24"/>
          <w:szCs w:val="24"/>
        </w:rPr>
        <w:t>有雨涝、</w:t>
      </w:r>
      <w:r>
        <w:rPr>
          <w:rFonts w:ascii="宋体" w:hAnsi="宋体" w:eastAsia="宋体" w:cs="宋体"/>
          <w:sz w:val="24"/>
          <w:szCs w:val="24"/>
        </w:rPr>
        <w:t xml:space="preserve"> </w:t>
      </w:r>
      <w:r>
        <w:rPr>
          <w:rFonts w:ascii="宋体" w:hAnsi="宋体" w:eastAsia="宋体" w:cs="宋体"/>
          <w:spacing w:val="3"/>
          <w:sz w:val="24"/>
          <w:szCs w:val="24"/>
        </w:rPr>
        <w:t>台风等气象灾害；冬季短，稍冷，雨少且较干燥，无雪少霜；夏前秋末气</w:t>
      </w:r>
      <w:r>
        <w:rPr>
          <w:rFonts w:ascii="宋体" w:hAnsi="宋体" w:eastAsia="宋体" w:cs="宋体"/>
          <w:spacing w:val="2"/>
          <w:sz w:val="24"/>
          <w:szCs w:val="24"/>
        </w:rPr>
        <w:t>温适中，</w:t>
      </w:r>
      <w:r>
        <w:rPr>
          <w:rFonts w:ascii="宋体" w:hAnsi="宋体" w:eastAsia="宋体" w:cs="宋体"/>
          <w:sz w:val="24"/>
          <w:szCs w:val="24"/>
        </w:rPr>
        <w:t xml:space="preserve"> </w:t>
      </w:r>
      <w:r>
        <w:rPr>
          <w:rFonts w:ascii="宋体" w:hAnsi="宋体" w:eastAsia="宋体" w:cs="宋体"/>
          <w:spacing w:val="3"/>
          <w:sz w:val="24"/>
          <w:szCs w:val="24"/>
        </w:rPr>
        <w:t>宜于作物生长。一年四季，绿叶常青。其四季气候特征为：高温多雨，雨</w:t>
      </w:r>
      <w:r>
        <w:rPr>
          <w:rFonts w:ascii="宋体" w:hAnsi="宋体" w:eastAsia="宋体" w:cs="宋体"/>
          <w:spacing w:val="2"/>
          <w:sz w:val="24"/>
          <w:szCs w:val="24"/>
        </w:rPr>
        <w:t>热同季，</w:t>
      </w:r>
      <w:r>
        <w:rPr>
          <w:rFonts w:ascii="宋体" w:hAnsi="宋体" w:eastAsia="宋体" w:cs="宋体"/>
          <w:sz w:val="24"/>
          <w:szCs w:val="24"/>
        </w:rPr>
        <w:t xml:space="preserve"> </w:t>
      </w:r>
      <w:r>
        <w:rPr>
          <w:rFonts w:ascii="宋体" w:hAnsi="宋体" w:eastAsia="宋体" w:cs="宋体"/>
          <w:spacing w:val="-1"/>
          <w:sz w:val="24"/>
          <w:szCs w:val="24"/>
        </w:rPr>
        <w:t>酷热期短，雨量多集中于春、夏两季，无霜期长，四季不甚分明。</w:t>
      </w:r>
    </w:p>
    <w:p w14:paraId="296586B1">
      <w:pPr>
        <w:spacing w:line="380" w:lineRule="auto"/>
        <w:ind w:left="2" w:firstLine="480"/>
        <w:jc w:val="both"/>
        <w:rPr>
          <w:rFonts w:ascii="宋体" w:hAnsi="宋体" w:eastAsia="宋体" w:cs="宋体"/>
          <w:sz w:val="24"/>
          <w:szCs w:val="24"/>
        </w:rPr>
      </w:pPr>
      <w:r>
        <w:rPr>
          <w:rFonts w:ascii="宋体" w:hAnsi="宋体" w:eastAsia="宋体" w:cs="宋体"/>
          <w:spacing w:val="-1"/>
          <w:sz w:val="24"/>
          <w:szCs w:val="24"/>
        </w:rPr>
        <w:t>海丰县年平均日照总时数为</w:t>
      </w:r>
      <w:r>
        <w:rPr>
          <w:rFonts w:ascii="Times New Roman" w:hAnsi="Times New Roman" w:eastAsia="Times New Roman" w:cs="Times New Roman"/>
          <w:spacing w:val="-1"/>
          <w:sz w:val="24"/>
          <w:szCs w:val="24"/>
        </w:rPr>
        <w:t>2217.7</w:t>
      </w:r>
      <w:r>
        <w:rPr>
          <w:rFonts w:ascii="Times New Roman" w:hAnsi="Times New Roman" w:eastAsia="Times New Roman" w:cs="Times New Roman"/>
          <w:spacing w:val="34"/>
          <w:w w:val="101"/>
          <w:sz w:val="24"/>
          <w:szCs w:val="24"/>
        </w:rPr>
        <w:t xml:space="preserve"> </w:t>
      </w:r>
      <w:r>
        <w:rPr>
          <w:rFonts w:ascii="宋体" w:hAnsi="宋体" w:eastAsia="宋体" w:cs="宋体"/>
          <w:spacing w:val="-1"/>
          <w:sz w:val="24"/>
          <w:szCs w:val="24"/>
        </w:rPr>
        <w:t>小时，</w:t>
      </w:r>
      <w:r>
        <w:rPr>
          <w:rFonts w:ascii="宋体" w:hAnsi="宋体" w:eastAsia="宋体" w:cs="宋体"/>
          <w:spacing w:val="-72"/>
          <w:sz w:val="24"/>
          <w:szCs w:val="24"/>
        </w:rPr>
        <w:t xml:space="preserve"> </w:t>
      </w:r>
      <w:r>
        <w:rPr>
          <w:rFonts w:ascii="宋体" w:hAnsi="宋体" w:eastAsia="宋体" w:cs="宋体"/>
          <w:spacing w:val="-1"/>
          <w:sz w:val="24"/>
          <w:szCs w:val="24"/>
        </w:rPr>
        <w:t>日照百分率达</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51%</w:t>
      </w:r>
      <w:r>
        <w:rPr>
          <w:rFonts w:ascii="宋体" w:hAnsi="宋体" w:eastAsia="宋体" w:cs="宋体"/>
          <w:spacing w:val="-1"/>
          <w:sz w:val="24"/>
          <w:szCs w:val="24"/>
        </w:rPr>
        <w:t>；由于受海洋气候</w:t>
      </w:r>
      <w:r>
        <w:rPr>
          <w:rFonts w:ascii="宋体" w:hAnsi="宋体" w:eastAsia="宋体" w:cs="宋体"/>
          <w:sz w:val="24"/>
          <w:szCs w:val="24"/>
        </w:rPr>
        <w:t xml:space="preserve"> </w:t>
      </w:r>
      <w:r>
        <w:rPr>
          <w:rFonts w:ascii="宋体" w:hAnsi="宋体" w:eastAsia="宋体" w:cs="宋体"/>
          <w:spacing w:val="-1"/>
          <w:sz w:val="24"/>
          <w:szCs w:val="24"/>
        </w:rPr>
        <w:t>影响，全区的灾害性天气主要有低温、霜冻、低温阴雨、寒露</w:t>
      </w:r>
      <w:r>
        <w:rPr>
          <w:rFonts w:ascii="宋体" w:hAnsi="宋体" w:eastAsia="宋体" w:cs="宋体"/>
          <w:spacing w:val="-2"/>
          <w:sz w:val="24"/>
          <w:szCs w:val="24"/>
        </w:rPr>
        <w:t>风、台风、</w:t>
      </w:r>
      <w:r>
        <w:rPr>
          <w:rFonts w:ascii="Times New Roman" w:hAnsi="Times New Roman" w:eastAsia="Times New Roman" w:cs="Times New Roman"/>
          <w:spacing w:val="-2"/>
          <w:sz w:val="24"/>
          <w:szCs w:val="24"/>
        </w:rPr>
        <w:t>“</w:t>
      </w:r>
      <w:r>
        <w:rPr>
          <w:rFonts w:ascii="宋体" w:hAnsi="宋体" w:eastAsia="宋体" w:cs="宋体"/>
          <w:spacing w:val="-2"/>
          <w:sz w:val="24"/>
          <w:szCs w:val="24"/>
        </w:rPr>
        <w:t>龙舟水</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2"/>
          <w:sz w:val="24"/>
          <w:szCs w:val="24"/>
        </w:rPr>
        <w:t>春旱秋旱等。</w:t>
      </w:r>
    </w:p>
    <w:p w14:paraId="16165819">
      <w:pPr>
        <w:spacing w:before="22"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4.1.3</w:t>
      </w:r>
      <w:r>
        <w:rPr>
          <w:rFonts w:ascii="宋体" w:hAnsi="宋体" w:eastAsia="宋体" w:cs="宋体"/>
          <w:b/>
          <w:bCs/>
          <w:spacing w:val="-2"/>
          <w:sz w:val="24"/>
          <w:szCs w:val="24"/>
        </w:rPr>
        <w:t>水文特征</w:t>
      </w:r>
    </w:p>
    <w:p w14:paraId="1050B586">
      <w:pPr>
        <w:spacing w:before="200" w:line="377" w:lineRule="auto"/>
        <w:ind w:left="6" w:right="85" w:firstLine="476"/>
        <w:rPr>
          <w:rFonts w:ascii="宋体" w:hAnsi="宋体" w:eastAsia="宋体" w:cs="宋体"/>
          <w:sz w:val="24"/>
          <w:szCs w:val="24"/>
        </w:rPr>
      </w:pPr>
      <w:r>
        <w:rPr>
          <w:rFonts w:ascii="宋体" w:hAnsi="宋体" w:eastAsia="宋体" w:cs="宋体"/>
          <w:spacing w:val="2"/>
          <w:sz w:val="24"/>
          <w:szCs w:val="24"/>
        </w:rPr>
        <w:t>海丰县河涌交错，有赤石、大液、丽江、黄河四大江河，东部濒临碣石湾，西</w:t>
      </w:r>
      <w:r>
        <w:rPr>
          <w:rFonts w:ascii="宋体" w:hAnsi="宋体" w:eastAsia="宋体" w:cs="宋体"/>
          <w:spacing w:val="11"/>
          <w:sz w:val="24"/>
          <w:szCs w:val="24"/>
        </w:rPr>
        <w:t xml:space="preserve"> </w:t>
      </w:r>
      <w:r>
        <w:rPr>
          <w:rFonts w:ascii="宋体" w:hAnsi="宋体" w:eastAsia="宋体" w:cs="宋体"/>
          <w:spacing w:val="-2"/>
          <w:sz w:val="24"/>
          <w:szCs w:val="24"/>
        </w:rPr>
        <w:t>部面向红海湾。境内有长沙湾、高螺湾、九龙湾三大海湾，海岸线</w:t>
      </w:r>
      <w:r>
        <w:rPr>
          <w:rFonts w:ascii="宋体" w:hAnsi="宋体" w:eastAsia="宋体" w:cs="宋体"/>
          <w:spacing w:val="-14"/>
          <w:sz w:val="24"/>
          <w:szCs w:val="24"/>
        </w:rPr>
        <w:t xml:space="preserve"> </w:t>
      </w:r>
      <w:r>
        <w:rPr>
          <w:rFonts w:ascii="Times New Roman" w:hAnsi="Times New Roman" w:eastAsia="Times New Roman" w:cs="Times New Roman"/>
          <w:spacing w:val="-2"/>
          <w:sz w:val="24"/>
          <w:szCs w:val="24"/>
        </w:rPr>
        <w:t>116km</w:t>
      </w:r>
      <w:r>
        <w:rPr>
          <w:rFonts w:ascii="宋体" w:hAnsi="宋体" w:eastAsia="宋体" w:cs="宋体"/>
          <w:spacing w:val="-2"/>
          <w:sz w:val="24"/>
          <w:szCs w:val="24"/>
        </w:rPr>
        <w:t>。</w:t>
      </w:r>
    </w:p>
    <w:p w14:paraId="4F2960F0">
      <w:pPr>
        <w:spacing w:before="2" w:line="305" w:lineRule="auto"/>
        <w:ind w:left="4" w:right="16" w:firstLine="478"/>
        <w:rPr>
          <w:rFonts w:ascii="宋体" w:hAnsi="宋体" w:eastAsia="宋体" w:cs="宋体"/>
          <w:sz w:val="24"/>
          <w:szCs w:val="24"/>
        </w:rPr>
      </w:pPr>
      <w:r>
        <w:pict>
          <v:shape id="_x0000_s1033" o:spid="_x0000_s1033" o:spt="202" type="#_x0000_t202" style="position:absolute;left:0pt;margin-left:176.1pt;margin-top:21.7pt;height:20.1pt;width:100.6pt;z-index:251663360;mso-width-relative:page;mso-height-relative:page;" filled="f" stroked="f" coordsize="21600,21600">
            <v:path/>
            <v:fill on="f" focussize="0,0"/>
            <v:stroke on="f"/>
            <v:imagedata o:title=""/>
            <o:lock v:ext="edit" aspectratio="f"/>
            <v:textbox inset="0mm,0mm,0mm,0mm">
              <w:txbxContent>
                <w:p w14:paraId="65A0D10C">
                  <w:pPr>
                    <w:spacing w:before="20" w:line="361" w:lineRule="exact"/>
                    <w:ind w:left="20"/>
                    <w:rPr>
                      <w:rFonts w:ascii="Times New Roman" w:hAnsi="Times New Roman" w:eastAsia="Times New Roman" w:cs="Times New Roman"/>
                      <w:sz w:val="24"/>
                      <w:szCs w:val="24"/>
                    </w:rPr>
                  </w:pPr>
                  <w:r>
                    <w:rPr>
                      <w:rFonts w:ascii="宋体" w:hAnsi="宋体" w:eastAsia="宋体" w:cs="宋体"/>
                      <w:spacing w:val="-5"/>
                      <w:position w:val="2"/>
                      <w:sz w:val="24"/>
                      <w:szCs w:val="24"/>
                    </w:rPr>
                    <w:t>主河道天然落差</w:t>
                  </w:r>
                  <w:r>
                    <w:rPr>
                      <w:rFonts w:ascii="宋体" w:hAnsi="宋体" w:eastAsia="宋体" w:cs="宋体"/>
                      <w:spacing w:val="-25"/>
                      <w:position w:val="2"/>
                      <w:sz w:val="24"/>
                      <w:szCs w:val="24"/>
                    </w:rPr>
                    <w:t xml:space="preserve"> </w:t>
                  </w:r>
                  <w:r>
                    <w:rPr>
                      <w:rFonts w:ascii="Times New Roman" w:hAnsi="Times New Roman" w:eastAsia="Times New Roman" w:cs="Times New Roman"/>
                      <w:spacing w:val="-5"/>
                      <w:position w:val="2"/>
                      <w:sz w:val="24"/>
                      <w:szCs w:val="24"/>
                    </w:rPr>
                    <w:t>10</w:t>
                  </w:r>
                </w:p>
              </w:txbxContent>
            </v:textbox>
          </v:shape>
        </w:pict>
      </w:r>
      <w:r>
        <w:rPr>
          <w:rFonts w:ascii="宋体" w:hAnsi="宋体" w:eastAsia="宋体" w:cs="宋体"/>
          <w:spacing w:val="3"/>
          <w:sz w:val="24"/>
          <w:szCs w:val="24"/>
        </w:rPr>
        <w:t xml:space="preserve">黄江河是海丰县境内最大的河流，发源于海丰县与惠东县交界处的莲花山脉， </w:t>
      </w:r>
      <w:r>
        <w:rPr>
          <w:rFonts w:ascii="宋体" w:hAnsi="宋体" w:eastAsia="宋体" w:cs="宋体"/>
          <w:spacing w:val="-7"/>
          <w:sz w:val="24"/>
          <w:szCs w:val="24"/>
        </w:rPr>
        <w:t>流域面积</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1368km</w:t>
      </w:r>
      <w:r>
        <w:rPr>
          <w:rFonts w:ascii="Times New Roman" w:hAnsi="Times New Roman" w:eastAsia="Times New Roman" w:cs="Times New Roman"/>
          <w:spacing w:val="-7"/>
          <w:position w:val="7"/>
          <w:sz w:val="15"/>
          <w:szCs w:val="15"/>
        </w:rPr>
        <w:t>2</w:t>
      </w:r>
      <w:r>
        <w:rPr>
          <w:rFonts w:ascii="宋体" w:hAnsi="宋体" w:eastAsia="宋体" w:cs="宋体"/>
          <w:spacing w:val="-7"/>
          <w:sz w:val="24"/>
          <w:szCs w:val="24"/>
        </w:rPr>
        <w:t>，主河长</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67km</w:t>
      </w:r>
      <w:r>
        <w:rPr>
          <w:rFonts w:ascii="Times New Roman" w:hAnsi="Times New Roman" w:eastAsia="Times New Roman" w:cs="Times New Roman"/>
          <w:spacing w:val="-33"/>
          <w:sz w:val="24"/>
          <w:szCs w:val="24"/>
        </w:rPr>
        <w:t xml:space="preserve"> </w:t>
      </w:r>
      <w:r>
        <w:rPr>
          <w:rFonts w:ascii="宋体" w:hAnsi="宋体" w:eastAsia="宋体" w:cs="宋体"/>
          <w:spacing w:val="-7"/>
          <w:sz w:val="24"/>
          <w:szCs w:val="24"/>
        </w:rPr>
        <w:t>，</w:t>
      </w:r>
      <w:r>
        <w:rPr>
          <w:rFonts w:ascii="宋体" w:hAnsi="宋体" w:eastAsia="宋体" w:cs="宋体"/>
          <w:spacing w:val="7"/>
          <w:sz w:val="24"/>
          <w:szCs w:val="24"/>
        </w:rPr>
        <w:t xml:space="preserve">               </w:t>
      </w:r>
      <w:r>
        <w:rPr>
          <w:rFonts w:ascii="Times New Roman" w:hAnsi="Times New Roman" w:eastAsia="Times New Roman" w:cs="Times New Roman"/>
          <w:spacing w:val="-7"/>
          <w:sz w:val="24"/>
          <w:szCs w:val="24"/>
        </w:rPr>
        <w:t>54m</w:t>
      </w:r>
      <w:r>
        <w:rPr>
          <w:rFonts w:ascii="宋体" w:hAnsi="宋体" w:eastAsia="宋体" w:cs="宋体"/>
          <w:spacing w:val="-7"/>
          <w:sz w:val="24"/>
          <w:szCs w:val="24"/>
        </w:rPr>
        <w:t>，多年平</w:t>
      </w:r>
      <w:r>
        <w:rPr>
          <w:rFonts w:ascii="宋体" w:hAnsi="宋体" w:eastAsia="宋体" w:cs="宋体"/>
          <w:spacing w:val="-8"/>
          <w:sz w:val="24"/>
          <w:szCs w:val="24"/>
        </w:rPr>
        <w:t>均流速</w:t>
      </w:r>
      <w:r>
        <w:rPr>
          <w:rFonts w:ascii="宋体" w:hAnsi="宋体" w:eastAsia="宋体" w:cs="宋体"/>
          <w:spacing w:val="-38"/>
          <w:sz w:val="24"/>
          <w:szCs w:val="24"/>
        </w:rPr>
        <w:t xml:space="preserve"> </w:t>
      </w:r>
      <w:r>
        <w:rPr>
          <w:rFonts w:ascii="Times New Roman" w:hAnsi="Times New Roman" w:eastAsia="Times New Roman" w:cs="Times New Roman"/>
          <w:spacing w:val="-8"/>
          <w:sz w:val="24"/>
          <w:szCs w:val="24"/>
        </w:rPr>
        <w:t>52.78m</w:t>
      </w:r>
      <w:r>
        <w:rPr>
          <w:rFonts w:ascii="Times New Roman" w:hAnsi="Times New Roman" w:eastAsia="Times New Roman" w:cs="Times New Roman"/>
          <w:spacing w:val="-8"/>
          <w:position w:val="7"/>
          <w:sz w:val="15"/>
          <w:szCs w:val="15"/>
        </w:rPr>
        <w:t xml:space="preserve">3 </w:t>
      </w:r>
      <w:r>
        <w:rPr>
          <w:rFonts w:ascii="Times New Roman" w:hAnsi="Times New Roman" w:eastAsia="Times New Roman" w:cs="Times New Roman"/>
          <w:spacing w:val="-8"/>
          <w:sz w:val="24"/>
          <w:szCs w:val="24"/>
        </w:rPr>
        <w:t>/s</w:t>
      </w:r>
      <w:r>
        <w:rPr>
          <w:rFonts w:ascii="宋体" w:hAnsi="宋体" w:eastAsia="宋体" w:cs="宋体"/>
          <w:spacing w:val="-8"/>
          <w:sz w:val="24"/>
          <w:szCs w:val="24"/>
        </w:rPr>
        <w:t>，</w:t>
      </w:r>
    </w:p>
    <w:p w14:paraId="383C85AE">
      <w:pPr>
        <w:spacing w:line="237" w:lineRule="exact"/>
        <w:ind w:left="44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80</w:t>
      </w:r>
    </w:p>
    <w:p w14:paraId="358D8943">
      <w:pPr>
        <w:spacing w:line="237" w:lineRule="exact"/>
        <w:rPr>
          <w:rFonts w:ascii="Times New Roman" w:hAnsi="Times New Roman" w:eastAsia="Times New Roman" w:cs="Times New Roman"/>
          <w:sz w:val="18"/>
          <w:szCs w:val="18"/>
        </w:rPr>
        <w:sectPr>
          <w:footerReference r:id="rId89" w:type="default"/>
          <w:pgSz w:w="11906" w:h="16839"/>
          <w:pgMar w:top="400" w:right="1503" w:bottom="400" w:left="1594" w:header="0" w:footer="0" w:gutter="0"/>
          <w:cols w:space="720" w:num="1"/>
        </w:sectPr>
      </w:pPr>
    </w:p>
    <w:p w14:paraId="39166067">
      <w:pPr>
        <w:pStyle w:val="2"/>
        <w:spacing w:line="264" w:lineRule="auto"/>
      </w:pPr>
    </w:p>
    <w:p w14:paraId="55E5C871">
      <w:pPr>
        <w:pStyle w:val="2"/>
        <w:spacing w:line="264" w:lineRule="auto"/>
      </w:pPr>
    </w:p>
    <w:p w14:paraId="1231DC42">
      <w:pPr>
        <w:pStyle w:val="2"/>
        <w:spacing w:line="264" w:lineRule="auto"/>
      </w:pPr>
    </w:p>
    <w:p w14:paraId="5B81545F">
      <w:pPr>
        <w:pStyle w:val="2"/>
        <w:spacing w:line="265" w:lineRule="auto"/>
      </w:pPr>
    </w:p>
    <w:p w14:paraId="0227A918">
      <w:pPr>
        <w:spacing w:before="78" w:line="220" w:lineRule="auto"/>
        <w:ind w:left="2"/>
        <w:rPr>
          <w:rFonts w:ascii="宋体" w:hAnsi="宋体" w:eastAsia="宋体" w:cs="宋体"/>
          <w:sz w:val="24"/>
          <w:szCs w:val="24"/>
        </w:rPr>
      </w:pPr>
      <w:r>
        <w:rPr>
          <w:rFonts w:ascii="宋体" w:hAnsi="宋体" w:eastAsia="宋体" w:cs="宋体"/>
          <w:spacing w:val="-1"/>
          <w:sz w:val="24"/>
          <w:szCs w:val="24"/>
        </w:rPr>
        <w:t>黄江河主要功能为农业用水。</w:t>
      </w:r>
    </w:p>
    <w:p w14:paraId="7289BCAC">
      <w:pPr>
        <w:spacing w:before="168" w:line="372" w:lineRule="auto"/>
        <w:ind w:left="5" w:firstLine="480"/>
        <w:rPr>
          <w:rFonts w:ascii="宋体" w:hAnsi="宋体" w:eastAsia="宋体" w:cs="宋体"/>
          <w:sz w:val="24"/>
          <w:szCs w:val="24"/>
        </w:rPr>
      </w:pPr>
      <w:r>
        <w:rPr>
          <w:rFonts w:ascii="宋体" w:hAnsi="宋体" w:eastAsia="宋体" w:cs="宋体"/>
          <w:spacing w:val="-9"/>
          <w:sz w:val="24"/>
          <w:szCs w:val="24"/>
        </w:rPr>
        <w:t>大液河属黄江最大支流，发源于莲花山主峰西侧，流域面积</w:t>
      </w:r>
      <w:r>
        <w:rPr>
          <w:rFonts w:ascii="宋体" w:hAnsi="宋体" w:eastAsia="宋体" w:cs="宋体"/>
          <w:spacing w:val="-34"/>
          <w:sz w:val="24"/>
          <w:szCs w:val="24"/>
        </w:rPr>
        <w:t xml:space="preserve"> </w:t>
      </w:r>
      <w:r>
        <w:rPr>
          <w:rFonts w:ascii="Times New Roman" w:hAnsi="Times New Roman" w:eastAsia="Times New Roman" w:cs="Times New Roman"/>
          <w:spacing w:val="-9"/>
          <w:sz w:val="24"/>
          <w:szCs w:val="24"/>
        </w:rPr>
        <w:t>161km</w:t>
      </w:r>
      <w:r>
        <w:rPr>
          <w:rFonts w:ascii="Times New Roman" w:hAnsi="Times New Roman" w:eastAsia="Times New Roman" w:cs="Times New Roman"/>
          <w:spacing w:val="-9"/>
          <w:position w:val="8"/>
          <w:sz w:val="15"/>
          <w:szCs w:val="15"/>
        </w:rPr>
        <w:t>2</w:t>
      </w:r>
      <w:r>
        <w:rPr>
          <w:rFonts w:ascii="宋体" w:hAnsi="宋体" w:eastAsia="宋体" w:cs="宋体"/>
          <w:spacing w:val="-12"/>
          <w:sz w:val="24"/>
          <w:szCs w:val="24"/>
        </w:rPr>
        <w:t>，主河长</w:t>
      </w:r>
      <w:r>
        <w:rPr>
          <w:rFonts w:ascii="Times New Roman" w:hAnsi="Times New Roman" w:eastAsia="Times New Roman" w:cs="Times New Roman"/>
          <w:spacing w:val="-12"/>
          <w:sz w:val="24"/>
          <w:szCs w:val="24"/>
        </w:rPr>
        <w:t>34km</w:t>
      </w:r>
      <w:r>
        <w:rPr>
          <w:rFonts w:ascii="宋体" w:hAnsi="宋体" w:eastAsia="宋体" w:cs="宋体"/>
          <w:spacing w:val="-12"/>
          <w:sz w:val="24"/>
          <w:szCs w:val="24"/>
        </w:rPr>
        <w:t>，</w:t>
      </w:r>
      <w:r>
        <w:rPr>
          <w:rFonts w:ascii="宋体" w:hAnsi="宋体" w:eastAsia="宋体" w:cs="宋体"/>
          <w:sz w:val="24"/>
          <w:szCs w:val="24"/>
        </w:rPr>
        <w:t xml:space="preserve"> </w:t>
      </w:r>
      <w:r>
        <w:rPr>
          <w:rFonts w:ascii="宋体" w:hAnsi="宋体" w:eastAsia="宋体" w:cs="宋体"/>
          <w:spacing w:val="-3"/>
          <w:sz w:val="24"/>
          <w:szCs w:val="24"/>
        </w:rPr>
        <w:t>主河道天然落差</w:t>
      </w:r>
      <w:r>
        <w:rPr>
          <w:rFonts w:ascii="宋体" w:hAnsi="宋体" w:eastAsia="宋体" w:cs="宋体"/>
          <w:spacing w:val="-16"/>
          <w:sz w:val="24"/>
          <w:szCs w:val="24"/>
        </w:rPr>
        <w:t xml:space="preserve"> </w:t>
      </w:r>
      <w:r>
        <w:rPr>
          <w:rFonts w:ascii="Times New Roman" w:hAnsi="Times New Roman" w:eastAsia="Times New Roman" w:cs="Times New Roman"/>
          <w:spacing w:val="-3"/>
          <w:sz w:val="24"/>
          <w:szCs w:val="24"/>
        </w:rPr>
        <w:t>1338m</w:t>
      </w:r>
      <w:r>
        <w:rPr>
          <w:rFonts w:ascii="Times New Roman" w:hAnsi="Times New Roman" w:eastAsia="Times New Roman" w:cs="Times New Roman"/>
          <w:spacing w:val="-36"/>
          <w:sz w:val="24"/>
          <w:szCs w:val="24"/>
        </w:rPr>
        <w:t xml:space="preserve"> </w:t>
      </w:r>
      <w:r>
        <w:rPr>
          <w:rFonts w:ascii="宋体" w:hAnsi="宋体" w:eastAsia="宋体" w:cs="宋体"/>
          <w:spacing w:val="-3"/>
          <w:sz w:val="24"/>
          <w:szCs w:val="24"/>
        </w:rPr>
        <w:t>，多年平均流速</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7.41m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21"/>
          <w:w w:val="102"/>
          <w:position w:val="7"/>
          <w:sz w:val="15"/>
          <w:szCs w:val="15"/>
        </w:rPr>
        <w:t xml:space="preserve"> </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，主要功能为农业用水。</w:t>
      </w:r>
    </w:p>
    <w:p w14:paraId="1D3865EF">
      <w:pPr>
        <w:spacing w:before="7" w:line="375" w:lineRule="auto"/>
        <w:ind w:left="2" w:right="180" w:firstLine="488"/>
        <w:jc w:val="both"/>
        <w:rPr>
          <w:rFonts w:ascii="宋体" w:hAnsi="宋体" w:eastAsia="宋体" w:cs="宋体"/>
          <w:sz w:val="24"/>
          <w:szCs w:val="24"/>
        </w:rPr>
      </w:pPr>
      <w:r>
        <w:rPr>
          <w:rFonts w:ascii="宋体" w:hAnsi="宋体" w:eastAsia="宋体" w:cs="宋体"/>
          <w:spacing w:val="-4"/>
          <w:sz w:val="24"/>
          <w:szCs w:val="24"/>
        </w:rPr>
        <w:t>赤石河发源于峰高</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1256m</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与惠东交界的白马山，源头山溪河段</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7km</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叫北坑，进</w:t>
      </w:r>
      <w:r>
        <w:rPr>
          <w:rFonts w:ascii="宋体" w:hAnsi="宋体" w:eastAsia="宋体" w:cs="宋体"/>
          <w:sz w:val="24"/>
          <w:szCs w:val="24"/>
        </w:rPr>
        <w:t xml:space="preserve"> 入大安谷地流</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 xml:space="preserve">6km </w:t>
      </w:r>
      <w:r>
        <w:rPr>
          <w:rFonts w:ascii="宋体" w:hAnsi="宋体" w:eastAsia="宋体" w:cs="宋体"/>
          <w:sz w:val="24"/>
          <w:szCs w:val="24"/>
        </w:rPr>
        <w:t xml:space="preserve">至赤石镇大安管区的塘尾，有东坑和鸡笼山两水分别从左右岸汇 </w:t>
      </w:r>
      <w:r>
        <w:rPr>
          <w:rFonts w:ascii="宋体" w:hAnsi="宋体" w:eastAsia="宋体" w:cs="宋体"/>
          <w:spacing w:val="-1"/>
          <w:sz w:val="24"/>
          <w:szCs w:val="24"/>
        </w:rPr>
        <w:t>入。全长</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36km</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，流域面积含鹅埠镇、赤石镇和园墩林场共计</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382km</w:t>
      </w:r>
      <w:r>
        <w:rPr>
          <w:rFonts w:ascii="Times New Roman" w:hAnsi="Times New Roman" w:eastAsia="Times New Roman" w:cs="Times New Roman"/>
          <w:spacing w:val="-1"/>
          <w:position w:val="8"/>
          <w:sz w:val="15"/>
          <w:szCs w:val="15"/>
        </w:rPr>
        <w:t xml:space="preserve">2 </w:t>
      </w:r>
      <w:r>
        <w:rPr>
          <w:rFonts w:ascii="宋体" w:hAnsi="宋体" w:eastAsia="宋体" w:cs="宋体"/>
          <w:spacing w:val="-1"/>
          <w:sz w:val="24"/>
          <w:szCs w:val="24"/>
        </w:rPr>
        <w:t>，</w:t>
      </w:r>
      <w:r>
        <w:rPr>
          <w:rFonts w:ascii="宋体" w:hAnsi="宋体" w:eastAsia="宋体" w:cs="宋体"/>
          <w:spacing w:val="-69"/>
          <w:sz w:val="24"/>
          <w:szCs w:val="24"/>
        </w:rPr>
        <w:t xml:space="preserve"> </w:t>
      </w:r>
      <w:r>
        <w:rPr>
          <w:rFonts w:ascii="宋体" w:hAnsi="宋体" w:eastAsia="宋体" w:cs="宋体"/>
          <w:spacing w:val="-1"/>
          <w:sz w:val="24"/>
          <w:szCs w:val="24"/>
        </w:rPr>
        <w:t>占全县总面</w:t>
      </w:r>
      <w:r>
        <w:rPr>
          <w:rFonts w:ascii="宋体" w:hAnsi="宋体" w:eastAsia="宋体" w:cs="宋体"/>
          <w:sz w:val="24"/>
          <w:szCs w:val="24"/>
        </w:rPr>
        <w:t xml:space="preserve"> </w:t>
      </w:r>
      <w:r>
        <w:rPr>
          <w:rFonts w:ascii="宋体" w:hAnsi="宋体" w:eastAsia="宋体" w:cs="宋体"/>
          <w:spacing w:val="-4"/>
          <w:sz w:val="24"/>
          <w:szCs w:val="24"/>
        </w:rPr>
        <w:t>积</w:t>
      </w:r>
      <w:r>
        <w:rPr>
          <w:rFonts w:ascii="宋体" w:hAnsi="宋体" w:eastAsia="宋体" w:cs="宋体"/>
          <w:spacing w:val="-18"/>
          <w:sz w:val="24"/>
          <w:szCs w:val="24"/>
        </w:rPr>
        <w:t xml:space="preserve"> </w:t>
      </w:r>
      <w:r>
        <w:rPr>
          <w:rFonts w:ascii="Times New Roman" w:hAnsi="Times New Roman" w:eastAsia="Times New Roman" w:cs="Times New Roman"/>
          <w:spacing w:val="-4"/>
          <w:sz w:val="24"/>
          <w:szCs w:val="24"/>
        </w:rPr>
        <w:t>17.7%</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。多年平均流速</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17.59m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/s</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，赤石河主要功能为防洪。</w:t>
      </w:r>
    </w:p>
    <w:p w14:paraId="37CBC2F6">
      <w:pPr>
        <w:spacing w:before="48" w:line="367" w:lineRule="auto"/>
        <w:ind w:left="2" w:right="181" w:firstLine="480"/>
        <w:jc w:val="both"/>
        <w:rPr>
          <w:rFonts w:ascii="宋体" w:hAnsi="宋体" w:eastAsia="宋体" w:cs="宋体"/>
          <w:sz w:val="24"/>
          <w:szCs w:val="24"/>
        </w:rPr>
      </w:pPr>
      <w:r>
        <w:rPr>
          <w:rFonts w:ascii="宋体" w:hAnsi="宋体" w:eastAsia="宋体" w:cs="宋体"/>
          <w:spacing w:val="2"/>
          <w:sz w:val="24"/>
          <w:szCs w:val="24"/>
        </w:rPr>
        <w:t>海丰县城母亲河龙津河源于海丰县莲花山南麓，为黄江河的一条小支流，穿过</w:t>
      </w:r>
      <w:r>
        <w:rPr>
          <w:rFonts w:ascii="宋体" w:hAnsi="宋体" w:eastAsia="宋体" w:cs="宋体"/>
          <w:spacing w:val="11"/>
          <w:sz w:val="24"/>
          <w:szCs w:val="24"/>
        </w:rPr>
        <w:t xml:space="preserve"> </w:t>
      </w:r>
      <w:r>
        <w:rPr>
          <w:rFonts w:ascii="宋体" w:hAnsi="宋体" w:eastAsia="宋体" w:cs="宋体"/>
          <w:spacing w:val="1"/>
          <w:sz w:val="24"/>
          <w:szCs w:val="24"/>
        </w:rPr>
        <w:t>海丰县城后汇入丽江，再注入黄江河的中游下段，再从长沙湾出海，全长</w:t>
      </w:r>
      <w:r>
        <w:rPr>
          <w:rFonts w:ascii="Times New Roman" w:hAnsi="Times New Roman" w:eastAsia="Times New Roman" w:cs="Times New Roman"/>
          <w:spacing w:val="1"/>
          <w:sz w:val="24"/>
          <w:szCs w:val="24"/>
        </w:rPr>
        <w:t>31.5</w:t>
      </w:r>
      <w:r>
        <w:rPr>
          <w:rFonts w:ascii="Times New Roman" w:hAnsi="Times New Roman" w:eastAsia="Times New Roman" w:cs="Times New Roman"/>
          <w:sz w:val="24"/>
          <w:szCs w:val="24"/>
        </w:rPr>
        <w:t>km</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1"/>
          <w:sz w:val="24"/>
          <w:szCs w:val="24"/>
        </w:rPr>
        <w:t>集雨面积为</w:t>
      </w:r>
      <w:r>
        <w:rPr>
          <w:rFonts w:ascii="Times New Roman" w:hAnsi="Times New Roman" w:eastAsia="Times New Roman" w:cs="Times New Roman"/>
          <w:spacing w:val="1"/>
          <w:sz w:val="24"/>
          <w:szCs w:val="24"/>
        </w:rPr>
        <w:t>40.47</w:t>
      </w:r>
      <w:r>
        <w:rPr>
          <w:rFonts w:ascii="Times New Roman" w:hAnsi="Times New Roman" w:eastAsia="Times New Roman" w:cs="Times New Roman"/>
          <w:sz w:val="24"/>
          <w:szCs w:val="24"/>
        </w:rPr>
        <w:t>km</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。人们把龙津河与它的下游丽江一带合为丽江流域。根据《海</w:t>
      </w:r>
      <w:r>
        <w:rPr>
          <w:rFonts w:ascii="宋体" w:hAnsi="宋体" w:eastAsia="宋体" w:cs="宋体"/>
          <w:sz w:val="24"/>
          <w:szCs w:val="24"/>
        </w:rPr>
        <w:t xml:space="preserve"> </w:t>
      </w:r>
      <w:r>
        <w:rPr>
          <w:rFonts w:ascii="宋体" w:hAnsi="宋体" w:eastAsia="宋体" w:cs="宋体"/>
          <w:spacing w:val="-1"/>
          <w:sz w:val="24"/>
          <w:szCs w:val="24"/>
        </w:rPr>
        <w:t>丰县水利志》，丽江是海丰县内的一段长约</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8km</w:t>
      </w:r>
      <w:r>
        <w:rPr>
          <w:rFonts w:ascii="Times New Roman" w:hAnsi="Times New Roman" w:eastAsia="Times New Roman" w:cs="Times New Roman"/>
          <w:spacing w:val="30"/>
          <w:w w:val="101"/>
          <w:sz w:val="24"/>
          <w:szCs w:val="24"/>
        </w:rPr>
        <w:t xml:space="preserve"> </w:t>
      </w:r>
      <w:r>
        <w:rPr>
          <w:rFonts w:ascii="宋体" w:hAnsi="宋体" w:eastAsia="宋体" w:cs="宋体"/>
          <w:spacing w:val="-1"/>
          <w:sz w:val="24"/>
          <w:szCs w:val="24"/>
        </w:rPr>
        <w:t>的小河流，是黄江下游支流，通过</w:t>
      </w:r>
      <w:r>
        <w:rPr>
          <w:rFonts w:ascii="宋体" w:hAnsi="宋体" w:eastAsia="宋体" w:cs="宋体"/>
          <w:sz w:val="24"/>
          <w:szCs w:val="24"/>
        </w:rPr>
        <w:t xml:space="preserve"> </w:t>
      </w:r>
      <w:r>
        <w:rPr>
          <w:rFonts w:ascii="宋体" w:hAnsi="宋体" w:eastAsia="宋体" w:cs="宋体"/>
          <w:spacing w:val="3"/>
          <w:sz w:val="24"/>
          <w:szCs w:val="24"/>
        </w:rPr>
        <w:t>极短的横河与下游龙津河段相接，与黄江下游河段分开成为</w:t>
      </w:r>
      <w:r>
        <w:rPr>
          <w:rFonts w:ascii="Times New Roman" w:hAnsi="Times New Roman" w:eastAsia="Times New Roman" w:cs="Times New Roman"/>
          <w:spacing w:val="3"/>
          <w:sz w:val="24"/>
          <w:szCs w:val="24"/>
        </w:rPr>
        <w:t>“</w:t>
      </w:r>
      <w:r>
        <w:rPr>
          <w:rFonts w:ascii="宋体" w:hAnsi="宋体" w:eastAsia="宋体" w:cs="宋体"/>
          <w:spacing w:val="3"/>
          <w:sz w:val="24"/>
          <w:szCs w:val="24"/>
        </w:rPr>
        <w:t>人</w:t>
      </w:r>
      <w:r>
        <w:rPr>
          <w:rFonts w:ascii="Times New Roman" w:hAnsi="Times New Roman" w:eastAsia="Times New Roman" w:cs="Times New Roman"/>
          <w:spacing w:val="3"/>
          <w:sz w:val="24"/>
          <w:szCs w:val="24"/>
        </w:rPr>
        <w:t>”</w:t>
      </w:r>
      <w:r>
        <w:rPr>
          <w:rFonts w:ascii="宋体" w:hAnsi="宋体" w:eastAsia="宋体" w:cs="宋体"/>
          <w:spacing w:val="3"/>
          <w:sz w:val="24"/>
          <w:szCs w:val="24"/>
        </w:rPr>
        <w:t>字形小河出</w:t>
      </w:r>
      <w:r>
        <w:rPr>
          <w:rFonts w:ascii="宋体" w:hAnsi="宋体" w:eastAsia="宋体" w:cs="宋体"/>
          <w:spacing w:val="2"/>
          <w:sz w:val="24"/>
          <w:szCs w:val="24"/>
        </w:rPr>
        <w:t>海，所</w:t>
      </w:r>
      <w:r>
        <w:rPr>
          <w:rFonts w:ascii="宋体" w:hAnsi="宋体" w:eastAsia="宋体" w:cs="宋体"/>
          <w:sz w:val="24"/>
          <w:szCs w:val="24"/>
        </w:rPr>
        <w:t xml:space="preserve"> </w:t>
      </w:r>
      <w:r>
        <w:rPr>
          <w:rFonts w:ascii="宋体" w:hAnsi="宋体" w:eastAsia="宋体" w:cs="宋体"/>
          <w:spacing w:val="-1"/>
          <w:sz w:val="24"/>
          <w:szCs w:val="24"/>
        </w:rPr>
        <w:t>以丽江实质是黄江的下游河段。</w:t>
      </w:r>
    </w:p>
    <w:p w14:paraId="18687618">
      <w:pPr>
        <w:spacing w:before="67"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4.1.4</w:t>
      </w:r>
      <w:r>
        <w:rPr>
          <w:rFonts w:ascii="宋体" w:hAnsi="宋体" w:eastAsia="宋体" w:cs="宋体"/>
          <w:b/>
          <w:bCs/>
          <w:spacing w:val="-2"/>
          <w:sz w:val="24"/>
          <w:szCs w:val="24"/>
        </w:rPr>
        <w:t>地形、地貌</w:t>
      </w:r>
    </w:p>
    <w:p w14:paraId="755C9C0F">
      <w:pPr>
        <w:spacing w:before="168" w:line="380" w:lineRule="auto"/>
        <w:ind w:left="3" w:right="177" w:firstLine="479"/>
        <w:jc w:val="both"/>
        <w:rPr>
          <w:rFonts w:ascii="宋体" w:hAnsi="宋体" w:eastAsia="宋体" w:cs="宋体"/>
          <w:sz w:val="24"/>
          <w:szCs w:val="24"/>
        </w:rPr>
      </w:pPr>
      <w:r>
        <w:rPr>
          <w:rFonts w:ascii="宋体" w:hAnsi="宋体" w:eastAsia="宋体" w:cs="宋体"/>
          <w:spacing w:val="-4"/>
          <w:sz w:val="24"/>
          <w:szCs w:val="24"/>
        </w:rPr>
        <w:t>海丰全县总面积</w:t>
      </w:r>
      <w:r>
        <w:rPr>
          <w:rFonts w:ascii="宋体" w:hAnsi="宋体" w:eastAsia="宋体" w:cs="宋体"/>
          <w:spacing w:val="-19"/>
          <w:sz w:val="24"/>
          <w:szCs w:val="24"/>
        </w:rPr>
        <w:t xml:space="preserve"> </w:t>
      </w:r>
      <w:r>
        <w:rPr>
          <w:rFonts w:ascii="Times New Roman" w:hAnsi="Times New Roman" w:eastAsia="Times New Roman" w:cs="Times New Roman"/>
          <w:spacing w:val="-4"/>
          <w:sz w:val="24"/>
          <w:szCs w:val="24"/>
        </w:rPr>
        <w:t>1750km</w:t>
      </w:r>
      <w:r>
        <w:rPr>
          <w:rFonts w:ascii="Times New Roman" w:hAnsi="Times New Roman" w:eastAsia="Times New Roman" w:cs="Times New Roman"/>
          <w:spacing w:val="-4"/>
          <w:position w:val="7"/>
          <w:sz w:val="15"/>
          <w:szCs w:val="15"/>
        </w:rPr>
        <w:t xml:space="preserve">2 </w:t>
      </w:r>
      <w:r>
        <w:rPr>
          <w:rFonts w:ascii="宋体" w:hAnsi="宋体" w:eastAsia="宋体" w:cs="宋体"/>
          <w:spacing w:val="-4"/>
          <w:sz w:val="24"/>
          <w:szCs w:val="24"/>
        </w:rPr>
        <w:t>。地势由西北向东南倾斜，莲花山主峰海拔</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1337.3m</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2"/>
          <w:sz w:val="24"/>
          <w:szCs w:val="24"/>
        </w:rPr>
        <w:t>莲花山脉横贯县境北部。西北山峦叠嶂，中部为宽阔平原，土质肥沃。海丰县地处</w:t>
      </w:r>
      <w:r>
        <w:rPr>
          <w:rFonts w:ascii="宋体" w:hAnsi="宋体" w:eastAsia="宋体" w:cs="宋体"/>
          <w:spacing w:val="6"/>
          <w:sz w:val="24"/>
          <w:szCs w:val="24"/>
        </w:rPr>
        <w:t xml:space="preserve"> </w:t>
      </w:r>
      <w:r>
        <w:rPr>
          <w:rFonts w:ascii="宋体" w:hAnsi="宋体" w:eastAsia="宋体" w:cs="宋体"/>
          <w:spacing w:val="1"/>
          <w:sz w:val="24"/>
          <w:szCs w:val="24"/>
        </w:rPr>
        <w:t>广东省东南部，全县总面积</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1747.95 </w:t>
      </w:r>
      <w:r>
        <w:rPr>
          <w:rFonts w:ascii="宋体" w:hAnsi="宋体" w:eastAsia="宋体" w:cs="宋体"/>
          <w:spacing w:val="1"/>
          <w:sz w:val="24"/>
          <w:szCs w:val="24"/>
        </w:rPr>
        <w:t>平方公里，中部是平原和丘陵，北窄南宽，平</w:t>
      </w:r>
      <w:r>
        <w:rPr>
          <w:rFonts w:ascii="宋体" w:hAnsi="宋体" w:eastAsia="宋体" w:cs="宋体"/>
          <w:sz w:val="24"/>
          <w:szCs w:val="24"/>
        </w:rPr>
        <w:t xml:space="preserve"> </w:t>
      </w:r>
      <w:r>
        <w:rPr>
          <w:rFonts w:ascii="宋体" w:hAnsi="宋体" w:eastAsia="宋体" w:cs="宋体"/>
          <w:spacing w:val="1"/>
          <w:sz w:val="24"/>
          <w:szCs w:val="24"/>
        </w:rPr>
        <w:t>面似三角形。其中山地</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791.37 </w:t>
      </w:r>
      <w:r>
        <w:rPr>
          <w:rFonts w:ascii="宋体" w:hAnsi="宋体" w:eastAsia="宋体" w:cs="宋体"/>
          <w:spacing w:val="1"/>
          <w:sz w:val="24"/>
          <w:szCs w:val="24"/>
        </w:rPr>
        <w:t>平方公里，丘陵、台地</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553.4 </w:t>
      </w:r>
      <w:r>
        <w:rPr>
          <w:rFonts w:ascii="宋体" w:hAnsi="宋体" w:eastAsia="宋体" w:cs="宋体"/>
          <w:spacing w:val="1"/>
          <w:sz w:val="24"/>
          <w:szCs w:val="24"/>
        </w:rPr>
        <w:t>平方公</w:t>
      </w:r>
      <w:r>
        <w:rPr>
          <w:rFonts w:ascii="宋体" w:hAnsi="宋体" w:eastAsia="宋体" w:cs="宋体"/>
          <w:sz w:val="24"/>
          <w:szCs w:val="24"/>
        </w:rPr>
        <w:t>里，平原</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 xml:space="preserve">320 </w:t>
      </w:r>
      <w:r>
        <w:rPr>
          <w:rFonts w:ascii="宋体" w:hAnsi="宋体" w:eastAsia="宋体" w:cs="宋体"/>
          <w:sz w:val="24"/>
          <w:szCs w:val="24"/>
        </w:rPr>
        <w:t>平 方公里，水面</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85.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 xml:space="preserve">18 </w:t>
      </w:r>
      <w:r>
        <w:rPr>
          <w:rFonts w:ascii="宋体" w:hAnsi="宋体" w:eastAsia="宋体" w:cs="宋体"/>
          <w:sz w:val="24"/>
          <w:szCs w:val="24"/>
        </w:rPr>
        <w:t>平方公里，现有耕地</w:t>
      </w:r>
      <w:r>
        <w:rPr>
          <w:rFonts w:ascii="宋体" w:hAnsi="宋体" w:eastAsia="宋体" w:cs="宋体"/>
          <w:spacing w:val="-1"/>
          <w:sz w:val="24"/>
          <w:szCs w:val="24"/>
        </w:rPr>
        <w:t>面积</w:t>
      </w:r>
      <w:r>
        <w:rPr>
          <w:rFonts w:ascii="Times New Roman" w:hAnsi="Times New Roman" w:eastAsia="Times New Roman" w:cs="Times New Roman"/>
          <w:spacing w:val="-1"/>
          <w:sz w:val="24"/>
          <w:szCs w:val="24"/>
        </w:rPr>
        <w:t>27037</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公顷。</w:t>
      </w:r>
    </w:p>
    <w:p w14:paraId="7F4B1FFF">
      <w:pPr>
        <w:spacing w:before="12" w:line="376" w:lineRule="auto"/>
        <w:ind w:left="7" w:right="183" w:firstLine="477"/>
        <w:jc w:val="both"/>
        <w:rPr>
          <w:rFonts w:ascii="宋体" w:hAnsi="宋体" w:eastAsia="宋体" w:cs="宋体"/>
          <w:sz w:val="24"/>
          <w:szCs w:val="24"/>
        </w:rPr>
      </w:pPr>
      <w:r>
        <w:rPr>
          <w:rFonts w:ascii="宋体" w:hAnsi="宋体" w:eastAsia="宋体" w:cs="宋体"/>
          <w:spacing w:val="2"/>
          <w:sz w:val="24"/>
          <w:szCs w:val="24"/>
        </w:rPr>
        <w:t>境内属华夏陆台的一部分，山脉走向也为东北－西南的华夏式走向，下部以古</w:t>
      </w:r>
      <w:r>
        <w:rPr>
          <w:rFonts w:ascii="宋体" w:hAnsi="宋体" w:eastAsia="宋体" w:cs="宋体"/>
          <w:spacing w:val="9"/>
          <w:sz w:val="24"/>
          <w:szCs w:val="24"/>
        </w:rPr>
        <w:t xml:space="preserve"> </w:t>
      </w:r>
      <w:r>
        <w:rPr>
          <w:rFonts w:ascii="宋体" w:hAnsi="宋体" w:eastAsia="宋体" w:cs="宋体"/>
          <w:spacing w:val="2"/>
          <w:sz w:val="24"/>
          <w:szCs w:val="24"/>
        </w:rPr>
        <w:t xml:space="preserve">老的变质岩为基础。到志留纪时，发生了海侵，沉积了至今分布在中部丘陵，平原 </w:t>
      </w:r>
      <w:r>
        <w:rPr>
          <w:rFonts w:ascii="宋体" w:hAnsi="宋体" w:eastAsia="宋体" w:cs="宋体"/>
          <w:spacing w:val="-2"/>
          <w:sz w:val="24"/>
          <w:szCs w:val="24"/>
        </w:rPr>
        <w:t>一带的沙页岩。</w:t>
      </w:r>
    </w:p>
    <w:p w14:paraId="40FCE098">
      <w:pPr>
        <w:spacing w:before="1"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4.1.5</w:t>
      </w:r>
      <w:r>
        <w:rPr>
          <w:rFonts w:ascii="宋体" w:hAnsi="宋体" w:eastAsia="宋体" w:cs="宋体"/>
          <w:b/>
          <w:bCs/>
          <w:spacing w:val="-2"/>
          <w:sz w:val="24"/>
          <w:szCs w:val="24"/>
        </w:rPr>
        <w:t>自然资源</w:t>
      </w:r>
    </w:p>
    <w:p w14:paraId="58C51FA4">
      <w:pPr>
        <w:spacing w:before="200" w:line="368" w:lineRule="auto"/>
        <w:ind w:left="3" w:right="100" w:firstLine="479"/>
        <w:rPr>
          <w:rFonts w:ascii="宋体" w:hAnsi="宋体" w:eastAsia="宋体" w:cs="宋体"/>
          <w:sz w:val="24"/>
          <w:szCs w:val="24"/>
        </w:rPr>
      </w:pPr>
      <w:r>
        <w:rPr>
          <w:rFonts w:ascii="宋体" w:hAnsi="宋体" w:eastAsia="宋体" w:cs="宋体"/>
          <w:spacing w:val="-1"/>
          <w:sz w:val="24"/>
          <w:szCs w:val="24"/>
        </w:rPr>
        <w:t>海丰自然资源丰富，素有</w:t>
      </w:r>
      <w:r>
        <w:rPr>
          <w:rFonts w:ascii="Times New Roman" w:hAnsi="Times New Roman" w:eastAsia="Times New Roman" w:cs="Times New Roman"/>
          <w:spacing w:val="-1"/>
          <w:sz w:val="24"/>
          <w:szCs w:val="24"/>
        </w:rPr>
        <w:t>“</w:t>
      </w:r>
      <w:r>
        <w:rPr>
          <w:rFonts w:ascii="宋体" w:hAnsi="宋体" w:eastAsia="宋体" w:cs="宋体"/>
          <w:spacing w:val="-1"/>
          <w:sz w:val="24"/>
          <w:szCs w:val="24"/>
        </w:rPr>
        <w:t>鱼米之乡</w:t>
      </w:r>
      <w:r>
        <w:rPr>
          <w:rFonts w:ascii="Times New Roman" w:hAnsi="Times New Roman" w:eastAsia="Times New Roman" w:cs="Times New Roman"/>
          <w:spacing w:val="-1"/>
          <w:sz w:val="24"/>
          <w:szCs w:val="24"/>
        </w:rPr>
        <w:t>”</w:t>
      </w:r>
      <w:r>
        <w:rPr>
          <w:rFonts w:ascii="宋体" w:hAnsi="宋体" w:eastAsia="宋体" w:cs="宋体"/>
          <w:spacing w:val="-1"/>
          <w:sz w:val="24"/>
          <w:szCs w:val="24"/>
        </w:rPr>
        <w:t>之称。</w:t>
      </w:r>
      <w:r>
        <w:rPr>
          <w:rFonts w:ascii="宋体" w:hAnsi="宋体" w:eastAsia="宋体" w:cs="宋体"/>
          <w:spacing w:val="-2"/>
          <w:sz w:val="24"/>
          <w:szCs w:val="24"/>
        </w:rPr>
        <w:t>主要农产品有优质稻、番薯、大豆、</w:t>
      </w:r>
      <w:r>
        <w:rPr>
          <w:rFonts w:ascii="宋体" w:hAnsi="宋体" w:eastAsia="宋体" w:cs="宋体"/>
          <w:sz w:val="24"/>
          <w:szCs w:val="24"/>
        </w:rPr>
        <w:t xml:space="preserve"> </w:t>
      </w:r>
      <w:r>
        <w:rPr>
          <w:rFonts w:ascii="宋体" w:hAnsi="宋体" w:eastAsia="宋体" w:cs="宋体"/>
          <w:spacing w:val="3"/>
          <w:sz w:val="24"/>
          <w:szCs w:val="24"/>
        </w:rPr>
        <w:t>花生、甘蔗、荷兰豆、莲藕、沙姜等；林果有荔枝、菠萝、龙眼、芒果、</w:t>
      </w:r>
      <w:r>
        <w:rPr>
          <w:rFonts w:ascii="宋体" w:hAnsi="宋体" w:eastAsia="宋体" w:cs="宋体"/>
          <w:spacing w:val="2"/>
          <w:sz w:val="24"/>
          <w:szCs w:val="24"/>
        </w:rPr>
        <w:t>梅、李、</w:t>
      </w:r>
      <w:r>
        <w:rPr>
          <w:rFonts w:ascii="宋体" w:hAnsi="宋体" w:eastAsia="宋体" w:cs="宋体"/>
          <w:sz w:val="24"/>
          <w:szCs w:val="24"/>
        </w:rPr>
        <w:t xml:space="preserve"> </w:t>
      </w:r>
      <w:r>
        <w:rPr>
          <w:rFonts w:ascii="宋体" w:hAnsi="宋体" w:eastAsia="宋体" w:cs="宋体"/>
          <w:spacing w:val="-2"/>
          <w:sz w:val="24"/>
          <w:szCs w:val="24"/>
        </w:rPr>
        <w:t>柑、甘蔗等；主要海产品有马鲛、带鱼、龙虾、贝壳等；有海岸滩涂</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3340</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公顷、渔</w:t>
      </w:r>
      <w:r>
        <w:rPr>
          <w:rFonts w:ascii="宋体" w:hAnsi="宋体" w:eastAsia="宋体" w:cs="宋体"/>
          <w:sz w:val="24"/>
          <w:szCs w:val="24"/>
        </w:rPr>
        <w:t xml:space="preserve"> </w:t>
      </w:r>
      <w:r>
        <w:rPr>
          <w:rFonts w:ascii="宋体" w:hAnsi="宋体" w:eastAsia="宋体" w:cs="宋体"/>
          <w:spacing w:val="-6"/>
          <w:sz w:val="24"/>
          <w:szCs w:val="24"/>
        </w:rPr>
        <w:t>塘水库</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6660</w:t>
      </w:r>
      <w:r>
        <w:rPr>
          <w:rFonts w:ascii="Times New Roman" w:hAnsi="Times New Roman" w:eastAsia="Times New Roman" w:cs="Times New Roman"/>
          <w:spacing w:val="17"/>
          <w:sz w:val="24"/>
          <w:szCs w:val="24"/>
        </w:rPr>
        <w:t xml:space="preserve"> </w:t>
      </w:r>
      <w:r>
        <w:rPr>
          <w:rFonts w:ascii="宋体" w:hAnsi="宋体" w:eastAsia="宋体" w:cs="宋体"/>
          <w:spacing w:val="-6"/>
          <w:sz w:val="24"/>
          <w:szCs w:val="24"/>
        </w:rPr>
        <w:t>公顷，可供开发养殖鲍鱼、翡翠贻贝、花蛤、对虾、蟹、蚝、甲鱼、鲩、</w:t>
      </w:r>
      <w:r>
        <w:rPr>
          <w:rFonts w:ascii="宋体" w:hAnsi="宋体" w:eastAsia="宋体" w:cs="宋体"/>
          <w:sz w:val="24"/>
          <w:szCs w:val="24"/>
        </w:rPr>
        <w:t xml:space="preserve"> </w:t>
      </w:r>
      <w:r>
        <w:rPr>
          <w:rFonts w:ascii="宋体" w:hAnsi="宋体" w:eastAsia="宋体" w:cs="宋体"/>
          <w:spacing w:val="2"/>
          <w:sz w:val="24"/>
          <w:szCs w:val="24"/>
        </w:rPr>
        <w:t>鲤、珍珠等。海丰矿藏种类较多。主要有锡精矿、钨矿、水晶矿、绿柱石等；建筑</w:t>
      </w:r>
    </w:p>
    <w:p w14:paraId="67DB4EAD">
      <w:pPr>
        <w:spacing w:line="368" w:lineRule="auto"/>
        <w:rPr>
          <w:rFonts w:ascii="宋体" w:hAnsi="宋体" w:eastAsia="宋体" w:cs="宋体"/>
          <w:sz w:val="24"/>
          <w:szCs w:val="24"/>
        </w:rPr>
        <w:sectPr>
          <w:footerReference r:id="rId90" w:type="default"/>
          <w:pgSz w:w="11906" w:h="16839"/>
          <w:pgMar w:top="400" w:right="1405" w:bottom="1485" w:left="1594" w:header="0" w:footer="1249" w:gutter="0"/>
          <w:cols w:space="720" w:num="1"/>
        </w:sectPr>
      </w:pPr>
    </w:p>
    <w:p w14:paraId="2CC89A49">
      <w:pPr>
        <w:pStyle w:val="2"/>
        <w:spacing w:line="264" w:lineRule="auto"/>
      </w:pPr>
    </w:p>
    <w:p w14:paraId="4ACA6CE0">
      <w:pPr>
        <w:pStyle w:val="2"/>
        <w:spacing w:line="264" w:lineRule="auto"/>
      </w:pPr>
    </w:p>
    <w:p w14:paraId="26F230D6">
      <w:pPr>
        <w:pStyle w:val="2"/>
        <w:spacing w:line="264" w:lineRule="auto"/>
      </w:pPr>
    </w:p>
    <w:p w14:paraId="6F2F1754">
      <w:pPr>
        <w:pStyle w:val="2"/>
        <w:spacing w:line="265" w:lineRule="auto"/>
      </w:pPr>
    </w:p>
    <w:p w14:paraId="57D8F9AF">
      <w:pPr>
        <w:spacing w:before="78" w:line="220" w:lineRule="auto"/>
        <w:rPr>
          <w:rFonts w:ascii="宋体" w:hAnsi="宋体" w:eastAsia="宋体" w:cs="宋体"/>
          <w:sz w:val="24"/>
          <w:szCs w:val="24"/>
        </w:rPr>
      </w:pPr>
      <w:r>
        <w:rPr>
          <w:rFonts w:ascii="宋体" w:hAnsi="宋体" w:eastAsia="宋体" w:cs="宋体"/>
          <w:spacing w:val="-1"/>
          <w:sz w:val="24"/>
          <w:szCs w:val="24"/>
        </w:rPr>
        <w:t>石料、沙、花岗岩和陶瓷粘土等蕴藏量丰富。</w:t>
      </w:r>
    </w:p>
    <w:p w14:paraId="6EDEF54B">
      <w:pPr>
        <w:spacing w:before="199" w:line="380" w:lineRule="auto"/>
        <w:ind w:firstLine="479"/>
        <w:rPr>
          <w:rFonts w:ascii="宋体" w:hAnsi="宋体" w:eastAsia="宋体" w:cs="宋体"/>
          <w:sz w:val="24"/>
          <w:szCs w:val="24"/>
        </w:rPr>
      </w:pPr>
      <w:r>
        <w:rPr>
          <w:rFonts w:ascii="宋体" w:hAnsi="宋体" w:eastAsia="宋体" w:cs="宋体"/>
          <w:spacing w:val="-1"/>
          <w:sz w:val="24"/>
          <w:szCs w:val="24"/>
        </w:rPr>
        <w:t>海丰自然资源丰富，素有</w:t>
      </w:r>
      <w:r>
        <w:rPr>
          <w:rFonts w:ascii="Times New Roman" w:hAnsi="Times New Roman" w:eastAsia="Times New Roman" w:cs="Times New Roman"/>
          <w:spacing w:val="-1"/>
          <w:sz w:val="24"/>
          <w:szCs w:val="24"/>
        </w:rPr>
        <w:t>“</w:t>
      </w:r>
      <w:r>
        <w:rPr>
          <w:rFonts w:ascii="宋体" w:hAnsi="宋体" w:eastAsia="宋体" w:cs="宋体"/>
          <w:spacing w:val="-1"/>
          <w:sz w:val="24"/>
          <w:szCs w:val="24"/>
        </w:rPr>
        <w:t>鱼米之乡</w:t>
      </w:r>
      <w:r>
        <w:rPr>
          <w:rFonts w:ascii="Times New Roman" w:hAnsi="Times New Roman" w:eastAsia="Times New Roman" w:cs="Times New Roman"/>
          <w:spacing w:val="-1"/>
          <w:sz w:val="24"/>
          <w:szCs w:val="24"/>
        </w:rPr>
        <w:t>”</w:t>
      </w:r>
      <w:r>
        <w:rPr>
          <w:rFonts w:ascii="宋体" w:hAnsi="宋体" w:eastAsia="宋体" w:cs="宋体"/>
          <w:spacing w:val="-1"/>
          <w:sz w:val="24"/>
          <w:szCs w:val="24"/>
        </w:rPr>
        <w:t>之称。</w:t>
      </w:r>
      <w:r>
        <w:rPr>
          <w:rFonts w:ascii="宋体" w:hAnsi="宋体" w:eastAsia="宋体" w:cs="宋体"/>
          <w:spacing w:val="-2"/>
          <w:sz w:val="24"/>
          <w:szCs w:val="24"/>
        </w:rPr>
        <w:t>主要农产品有优质稻、番薯、大豆、</w:t>
      </w:r>
      <w:r>
        <w:rPr>
          <w:rFonts w:ascii="宋体" w:hAnsi="宋体" w:eastAsia="宋体" w:cs="宋体"/>
          <w:sz w:val="24"/>
          <w:szCs w:val="24"/>
        </w:rPr>
        <w:t xml:space="preserve"> </w:t>
      </w:r>
      <w:r>
        <w:rPr>
          <w:rFonts w:ascii="宋体" w:hAnsi="宋体" w:eastAsia="宋体" w:cs="宋体"/>
          <w:spacing w:val="3"/>
          <w:sz w:val="24"/>
          <w:szCs w:val="24"/>
        </w:rPr>
        <w:t>花生、甘蔗、荷兰豆、莲藕、沙姜等；林果有荔枝、菠萝、龙眼、芒果、</w:t>
      </w:r>
      <w:r>
        <w:rPr>
          <w:rFonts w:ascii="宋体" w:hAnsi="宋体" w:eastAsia="宋体" w:cs="宋体"/>
          <w:spacing w:val="2"/>
          <w:sz w:val="24"/>
          <w:szCs w:val="24"/>
        </w:rPr>
        <w:t>梅、李、</w:t>
      </w:r>
      <w:r>
        <w:rPr>
          <w:rFonts w:ascii="宋体" w:hAnsi="宋体" w:eastAsia="宋体" w:cs="宋体"/>
          <w:sz w:val="24"/>
          <w:szCs w:val="24"/>
        </w:rPr>
        <w:t xml:space="preserve"> </w:t>
      </w:r>
      <w:r>
        <w:rPr>
          <w:rFonts w:ascii="宋体" w:hAnsi="宋体" w:eastAsia="宋体" w:cs="宋体"/>
          <w:spacing w:val="-2"/>
          <w:sz w:val="24"/>
          <w:szCs w:val="24"/>
        </w:rPr>
        <w:t>柑、甘蔗等；主要海产品有马鲛、带鱼、龙虾、贝壳等；有海岸滩涂</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3340</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公顷、渔</w:t>
      </w:r>
      <w:r>
        <w:rPr>
          <w:rFonts w:ascii="宋体" w:hAnsi="宋体" w:eastAsia="宋体" w:cs="宋体"/>
          <w:sz w:val="24"/>
          <w:szCs w:val="24"/>
        </w:rPr>
        <w:t xml:space="preserve"> </w:t>
      </w:r>
      <w:r>
        <w:rPr>
          <w:rFonts w:ascii="宋体" w:hAnsi="宋体" w:eastAsia="宋体" w:cs="宋体"/>
          <w:spacing w:val="-6"/>
          <w:sz w:val="24"/>
          <w:szCs w:val="24"/>
        </w:rPr>
        <w:t>塘水库</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6660</w:t>
      </w:r>
      <w:r>
        <w:rPr>
          <w:rFonts w:ascii="Times New Roman" w:hAnsi="Times New Roman" w:eastAsia="Times New Roman" w:cs="Times New Roman"/>
          <w:spacing w:val="17"/>
          <w:sz w:val="24"/>
          <w:szCs w:val="24"/>
        </w:rPr>
        <w:t xml:space="preserve"> </w:t>
      </w:r>
      <w:r>
        <w:rPr>
          <w:rFonts w:ascii="宋体" w:hAnsi="宋体" w:eastAsia="宋体" w:cs="宋体"/>
          <w:spacing w:val="-6"/>
          <w:sz w:val="24"/>
          <w:szCs w:val="24"/>
        </w:rPr>
        <w:t>公顷，可供开发养殖鲍鱼、翡翠贻贝、花蛤、对虾、蟹、蚝、甲鱼、鲩、</w:t>
      </w:r>
      <w:r>
        <w:rPr>
          <w:rFonts w:ascii="宋体" w:hAnsi="宋体" w:eastAsia="宋体" w:cs="宋体"/>
          <w:sz w:val="24"/>
          <w:szCs w:val="24"/>
        </w:rPr>
        <w:t xml:space="preserve"> </w:t>
      </w:r>
      <w:r>
        <w:rPr>
          <w:rFonts w:ascii="宋体" w:hAnsi="宋体" w:eastAsia="宋体" w:cs="宋体"/>
          <w:spacing w:val="2"/>
          <w:sz w:val="24"/>
          <w:szCs w:val="24"/>
        </w:rPr>
        <w:t>鲤、珍珠等。海丰矿藏种类较多。主要有锡精矿、钨矿、水晶矿、绿柱石等；建筑</w:t>
      </w:r>
      <w:r>
        <w:rPr>
          <w:rFonts w:ascii="宋体" w:hAnsi="宋体" w:eastAsia="宋体" w:cs="宋体"/>
          <w:spacing w:val="6"/>
          <w:sz w:val="24"/>
          <w:szCs w:val="24"/>
        </w:rPr>
        <w:t xml:space="preserve"> </w:t>
      </w:r>
      <w:r>
        <w:rPr>
          <w:rFonts w:ascii="宋体" w:hAnsi="宋体" w:eastAsia="宋体" w:cs="宋体"/>
          <w:spacing w:val="2"/>
          <w:sz w:val="24"/>
          <w:szCs w:val="24"/>
        </w:rPr>
        <w:t>石料、沙、花岗岩和陶瓷粘土等蕴藏量丰富。海丰自古民风淳朴，人文蔚然，为广</w:t>
      </w:r>
      <w:r>
        <w:rPr>
          <w:rFonts w:ascii="宋体" w:hAnsi="宋体" w:eastAsia="宋体" w:cs="宋体"/>
          <w:spacing w:val="6"/>
          <w:sz w:val="24"/>
          <w:szCs w:val="24"/>
        </w:rPr>
        <w:t xml:space="preserve"> </w:t>
      </w:r>
      <w:r>
        <w:rPr>
          <w:rFonts w:ascii="宋体" w:hAnsi="宋体" w:eastAsia="宋体" w:cs="宋体"/>
          <w:spacing w:val="1"/>
          <w:sz w:val="24"/>
          <w:szCs w:val="24"/>
        </w:rPr>
        <w:t>东历史文化名城，全国</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13</w:t>
      </w:r>
      <w:r>
        <w:rPr>
          <w:rFonts w:ascii="宋体" w:hAnsi="宋体" w:eastAsia="宋体" w:cs="宋体"/>
          <w:spacing w:val="1"/>
          <w:sz w:val="24"/>
          <w:szCs w:val="24"/>
        </w:rPr>
        <w:t>块红色根据地之一。</w:t>
      </w:r>
    </w:p>
    <w:p w14:paraId="6E459CEC">
      <w:pPr>
        <w:spacing w:line="380" w:lineRule="auto"/>
        <w:rPr>
          <w:rFonts w:ascii="宋体" w:hAnsi="宋体" w:eastAsia="宋体" w:cs="宋体"/>
          <w:sz w:val="24"/>
          <w:szCs w:val="24"/>
        </w:rPr>
        <w:sectPr>
          <w:footerReference r:id="rId91" w:type="default"/>
          <w:pgSz w:w="11906" w:h="16839"/>
          <w:pgMar w:top="400" w:right="1505" w:bottom="1485" w:left="1598" w:header="0" w:footer="1249" w:gutter="0"/>
          <w:cols w:space="720" w:num="1"/>
        </w:sectPr>
      </w:pPr>
    </w:p>
    <w:p w14:paraId="0AF584F3">
      <w:pPr>
        <w:pStyle w:val="2"/>
        <w:spacing w:line="276" w:lineRule="auto"/>
      </w:pPr>
    </w:p>
    <w:p w14:paraId="62D082D2">
      <w:pPr>
        <w:pStyle w:val="2"/>
        <w:spacing w:line="276" w:lineRule="auto"/>
      </w:pPr>
    </w:p>
    <w:p w14:paraId="1E043434">
      <w:pPr>
        <w:pStyle w:val="2"/>
        <w:spacing w:line="276" w:lineRule="auto"/>
      </w:pPr>
    </w:p>
    <w:p w14:paraId="660BF486">
      <w:pPr>
        <w:pStyle w:val="2"/>
        <w:spacing w:line="277" w:lineRule="auto"/>
      </w:pPr>
    </w:p>
    <w:p w14:paraId="07154513">
      <w:pPr>
        <w:spacing w:before="91" w:line="219" w:lineRule="auto"/>
        <w:ind w:left="30"/>
        <w:outlineLvl w:val="1"/>
        <w:rPr>
          <w:rFonts w:ascii="宋体" w:hAnsi="宋体" w:eastAsia="宋体" w:cs="宋体"/>
          <w:sz w:val="28"/>
          <w:szCs w:val="28"/>
        </w:rPr>
      </w:pPr>
      <w:bookmarkStart w:id="28" w:name="bookmark25"/>
      <w:bookmarkEnd w:id="28"/>
      <w:r>
        <w:rPr>
          <w:rFonts w:ascii="Times New Roman" w:hAnsi="Times New Roman" w:eastAsia="Times New Roman" w:cs="Times New Roman"/>
          <w:b/>
          <w:bCs/>
          <w:spacing w:val="-3"/>
          <w:sz w:val="28"/>
          <w:szCs w:val="28"/>
        </w:rPr>
        <w:t>4.2</w:t>
      </w:r>
      <w:r>
        <w:rPr>
          <w:rFonts w:ascii="宋体" w:hAnsi="宋体" w:eastAsia="宋体" w:cs="宋体"/>
          <w:b/>
          <w:bCs/>
          <w:spacing w:val="-3"/>
          <w:sz w:val="28"/>
          <w:szCs w:val="28"/>
        </w:rPr>
        <w:t>地下水环境质量现状评价</w:t>
      </w:r>
    </w:p>
    <w:p w14:paraId="7BE4A025">
      <w:pPr>
        <w:spacing w:before="260" w:line="381" w:lineRule="auto"/>
        <w:ind w:left="33" w:right="23" w:firstLine="479"/>
        <w:rPr>
          <w:rFonts w:ascii="宋体" w:hAnsi="宋体" w:eastAsia="宋体" w:cs="宋体"/>
          <w:sz w:val="24"/>
          <w:szCs w:val="24"/>
        </w:rPr>
      </w:pPr>
      <w:r>
        <w:rPr>
          <w:rFonts w:ascii="宋体" w:hAnsi="宋体" w:eastAsia="宋体" w:cs="宋体"/>
          <w:spacing w:val="2"/>
          <w:sz w:val="24"/>
          <w:szCs w:val="24"/>
        </w:rPr>
        <w:t>根据项目周围环境状况，本项目地下环境质量现状现状监测委托广东惠利通检</w:t>
      </w:r>
      <w:r>
        <w:rPr>
          <w:rFonts w:ascii="宋体" w:hAnsi="宋体" w:eastAsia="宋体" w:cs="宋体"/>
          <w:spacing w:val="10"/>
          <w:sz w:val="24"/>
          <w:szCs w:val="24"/>
        </w:rPr>
        <w:t xml:space="preserve"> </w:t>
      </w:r>
      <w:r>
        <w:rPr>
          <w:rFonts w:ascii="宋体" w:hAnsi="宋体" w:eastAsia="宋体" w:cs="宋体"/>
          <w:spacing w:val="5"/>
          <w:sz w:val="24"/>
          <w:szCs w:val="24"/>
        </w:rPr>
        <w:t>测技术有限公司进行监测，监测点位布设情</w:t>
      </w:r>
      <w:r>
        <w:rPr>
          <w:rFonts w:ascii="宋体" w:hAnsi="宋体" w:eastAsia="宋体" w:cs="宋体"/>
          <w:spacing w:val="4"/>
          <w:sz w:val="24"/>
          <w:szCs w:val="24"/>
        </w:rPr>
        <w:t>况具体如表</w:t>
      </w:r>
      <w:r>
        <w:rPr>
          <w:rFonts w:ascii="Times New Roman" w:hAnsi="Times New Roman" w:eastAsia="Times New Roman" w:cs="Times New Roman"/>
          <w:spacing w:val="4"/>
          <w:sz w:val="24"/>
          <w:szCs w:val="24"/>
        </w:rPr>
        <w:t>4.2-1</w:t>
      </w:r>
      <w:r>
        <w:rPr>
          <w:rFonts w:ascii="宋体" w:hAnsi="宋体" w:eastAsia="宋体" w:cs="宋体"/>
          <w:spacing w:val="4"/>
          <w:sz w:val="24"/>
          <w:szCs w:val="24"/>
        </w:rPr>
        <w:t>和图</w:t>
      </w:r>
      <w:r>
        <w:rPr>
          <w:rFonts w:ascii="Times New Roman" w:hAnsi="Times New Roman" w:eastAsia="Times New Roman" w:cs="Times New Roman"/>
          <w:spacing w:val="4"/>
          <w:sz w:val="24"/>
          <w:szCs w:val="24"/>
        </w:rPr>
        <w:t>4.2-1</w:t>
      </w:r>
      <w:r>
        <w:rPr>
          <w:rFonts w:ascii="宋体" w:hAnsi="宋体" w:eastAsia="宋体" w:cs="宋体"/>
          <w:spacing w:val="4"/>
          <w:sz w:val="24"/>
          <w:szCs w:val="24"/>
        </w:rPr>
        <w:t>。</w:t>
      </w:r>
    </w:p>
    <w:p w14:paraId="23B8EF79">
      <w:pPr>
        <w:spacing w:line="228" w:lineRule="auto"/>
        <w:ind w:left="2627"/>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b/>
          <w:bCs/>
          <w:spacing w:val="6"/>
          <w:sz w:val="20"/>
          <w:szCs w:val="20"/>
        </w:rPr>
        <w:t xml:space="preserve">4.2-1  </w:t>
      </w:r>
      <w:r>
        <w:rPr>
          <w:rFonts w:ascii="宋体" w:hAnsi="宋体" w:eastAsia="宋体" w:cs="宋体"/>
          <w:b/>
          <w:bCs/>
          <w:spacing w:val="6"/>
          <w:sz w:val="20"/>
          <w:szCs w:val="20"/>
        </w:rPr>
        <w:t>地下水环境质量现状调查监测点位</w:t>
      </w:r>
    </w:p>
    <w:p w14:paraId="39BE53B4">
      <w:pPr>
        <w:spacing w:line="103" w:lineRule="exact"/>
      </w:pPr>
    </w:p>
    <w:tbl>
      <w:tblPr>
        <w:tblStyle w:val="5"/>
        <w:tblW w:w="87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4"/>
        <w:gridCol w:w="3773"/>
        <w:gridCol w:w="3773"/>
      </w:tblGrid>
      <w:tr w14:paraId="4794E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224" w:type="dxa"/>
            <w:vAlign w:val="top"/>
          </w:tcPr>
          <w:p w14:paraId="44003402">
            <w:pPr>
              <w:pStyle w:val="6"/>
              <w:spacing w:before="115" w:line="228" w:lineRule="auto"/>
              <w:ind w:left="410"/>
            </w:pPr>
            <w:r>
              <w:rPr>
                <w:b/>
                <w:bCs/>
                <w:spacing w:val="3"/>
              </w:rPr>
              <w:t>编号</w:t>
            </w:r>
          </w:p>
        </w:tc>
        <w:tc>
          <w:tcPr>
            <w:tcW w:w="3773" w:type="dxa"/>
            <w:vAlign w:val="top"/>
          </w:tcPr>
          <w:p w14:paraId="35D29EEB">
            <w:pPr>
              <w:pStyle w:val="6"/>
              <w:spacing w:before="115" w:line="228" w:lineRule="auto"/>
              <w:ind w:left="1472"/>
            </w:pPr>
            <w:r>
              <w:rPr>
                <w:b/>
                <w:bCs/>
                <w:spacing w:val="6"/>
              </w:rPr>
              <w:t>监测断面</w:t>
            </w:r>
          </w:p>
        </w:tc>
        <w:tc>
          <w:tcPr>
            <w:tcW w:w="3773" w:type="dxa"/>
            <w:vAlign w:val="top"/>
          </w:tcPr>
          <w:p w14:paraId="1F7D2034">
            <w:pPr>
              <w:pStyle w:val="6"/>
              <w:spacing w:before="114" w:line="229" w:lineRule="auto"/>
              <w:ind w:left="1472"/>
            </w:pPr>
            <w:r>
              <w:rPr>
                <w:b/>
                <w:bCs/>
                <w:spacing w:val="6"/>
              </w:rPr>
              <w:t>监测项目</w:t>
            </w:r>
          </w:p>
        </w:tc>
      </w:tr>
      <w:tr w14:paraId="3C57F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224" w:type="dxa"/>
            <w:vAlign w:val="top"/>
          </w:tcPr>
          <w:p w14:paraId="78CE2298">
            <w:pPr>
              <w:spacing w:before="71" w:line="275"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15"/>
                <w:position w:val="2"/>
                <w:sz w:val="20"/>
                <w:szCs w:val="20"/>
              </w:rPr>
              <w:t>U1</w:t>
            </w:r>
          </w:p>
        </w:tc>
        <w:tc>
          <w:tcPr>
            <w:tcW w:w="3773" w:type="dxa"/>
            <w:vAlign w:val="top"/>
          </w:tcPr>
          <w:p w14:paraId="4F31D152">
            <w:pPr>
              <w:pStyle w:val="6"/>
              <w:spacing w:before="110" w:line="274" w:lineRule="exact"/>
              <w:ind w:left="1519"/>
            </w:pPr>
            <w:r>
              <w:rPr>
                <w:rFonts w:ascii="Times New Roman" w:hAnsi="Times New Roman" w:eastAsia="Times New Roman" w:cs="Times New Roman"/>
                <w:spacing w:val="1"/>
                <w:position w:val="1"/>
              </w:rPr>
              <w:t>U</w:t>
            </w:r>
            <w:r>
              <w:rPr>
                <w:rFonts w:ascii="Times New Roman" w:hAnsi="Times New Roman" w:eastAsia="Times New Roman" w:cs="Times New Roman"/>
                <w:spacing w:val="-21"/>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15"/>
                <w:w w:val="101"/>
                <w:position w:val="1"/>
              </w:rPr>
              <w:t xml:space="preserve"> </w:t>
            </w:r>
            <w:r>
              <w:rPr>
                <w:spacing w:val="1"/>
                <w:position w:val="1"/>
              </w:rPr>
              <w:t>项目水井</w:t>
            </w:r>
          </w:p>
        </w:tc>
        <w:tc>
          <w:tcPr>
            <w:tcW w:w="3773" w:type="dxa"/>
            <w:vMerge w:val="restart"/>
            <w:tcBorders>
              <w:bottom w:val="nil"/>
            </w:tcBorders>
            <w:vAlign w:val="top"/>
          </w:tcPr>
          <w:p w14:paraId="54CCD39A">
            <w:pPr>
              <w:pStyle w:val="6"/>
              <w:spacing w:before="208" w:line="221" w:lineRule="auto"/>
              <w:ind w:left="49"/>
            </w:pPr>
            <w:r>
              <w:rPr>
                <w:rFonts w:ascii="Times New Roman" w:hAnsi="Times New Roman" w:eastAsia="Times New Roman" w:cs="Times New Roman"/>
              </w:rPr>
              <w:t>pH</w:t>
            </w:r>
            <w:r>
              <w:rPr>
                <w:rFonts w:ascii="Times New Roman" w:hAnsi="Times New Roman" w:eastAsia="Times New Roman" w:cs="Times New Roman"/>
                <w:spacing w:val="10"/>
              </w:rPr>
              <w:t xml:space="preserve"> </w:t>
            </w:r>
            <w:r>
              <w:rPr>
                <w:spacing w:val="10"/>
              </w:rPr>
              <w:t>值、总硬度、溶解性总固体、耗氧量</w:t>
            </w:r>
          </w:p>
          <w:p w14:paraId="51D743E7">
            <w:pPr>
              <w:pStyle w:val="6"/>
              <w:spacing w:before="60" w:line="275" w:lineRule="exact"/>
              <w:jc w:val="right"/>
            </w:pPr>
            <w:r>
              <w:rPr>
                <w:position w:val="1"/>
              </w:rPr>
              <w:t>（</w:t>
            </w:r>
            <w:r>
              <w:rPr>
                <w:rFonts w:ascii="Times New Roman" w:hAnsi="Times New Roman" w:eastAsia="Times New Roman" w:cs="Times New Roman"/>
                <w:position w:val="1"/>
              </w:rPr>
              <w:t>COD</w:t>
            </w:r>
            <w:r>
              <w:rPr>
                <w:rFonts w:ascii="Times New Roman" w:hAnsi="Times New Roman" w:eastAsia="Times New Roman" w:cs="Times New Roman"/>
                <w:sz w:val="13"/>
                <w:szCs w:val="13"/>
              </w:rPr>
              <w:t xml:space="preserve">Mn </w:t>
            </w:r>
            <w:r>
              <w:rPr>
                <w:position w:val="1"/>
              </w:rPr>
              <w:t>法，以</w:t>
            </w:r>
            <w:r>
              <w:rPr>
                <w:spacing w:val="-33"/>
                <w:position w:val="1"/>
              </w:rPr>
              <w:t xml:space="preserve"> </w:t>
            </w:r>
            <w:r>
              <w:rPr>
                <w:rFonts w:ascii="Times New Roman" w:hAnsi="Times New Roman" w:eastAsia="Times New Roman" w:cs="Times New Roman"/>
                <w:position w:val="1"/>
              </w:rPr>
              <w:t>O</w:t>
            </w:r>
            <w:r>
              <w:rPr>
                <w:rFonts w:ascii="Times New Roman" w:hAnsi="Times New Roman" w:eastAsia="Times New Roman" w:cs="Times New Roman"/>
                <w:sz w:val="13"/>
                <w:szCs w:val="13"/>
              </w:rPr>
              <w:t xml:space="preserve">2 </w:t>
            </w:r>
            <w:r>
              <w:rPr>
                <w:position w:val="1"/>
              </w:rPr>
              <w:t>计）、氨氮、硝酸盐、</w:t>
            </w:r>
          </w:p>
          <w:p w14:paraId="21569D89">
            <w:pPr>
              <w:pStyle w:val="6"/>
              <w:spacing w:before="49" w:line="228" w:lineRule="auto"/>
              <w:ind w:left="1053"/>
            </w:pPr>
            <w:r>
              <w:rPr>
                <w:spacing w:val="8"/>
              </w:rPr>
              <w:t>总大肠菌群、埋深</w:t>
            </w:r>
          </w:p>
        </w:tc>
      </w:tr>
      <w:tr w14:paraId="512DF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224" w:type="dxa"/>
            <w:vAlign w:val="top"/>
          </w:tcPr>
          <w:p w14:paraId="7997223F">
            <w:pPr>
              <w:spacing w:before="72" w:line="274"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U2</w:t>
            </w:r>
          </w:p>
        </w:tc>
        <w:tc>
          <w:tcPr>
            <w:tcW w:w="3773" w:type="dxa"/>
            <w:vAlign w:val="top"/>
          </w:tcPr>
          <w:p w14:paraId="78263D8C">
            <w:pPr>
              <w:pStyle w:val="6"/>
              <w:spacing w:before="108" w:line="274" w:lineRule="exact"/>
              <w:ind w:left="1414"/>
            </w:pPr>
            <w:r>
              <w:rPr>
                <w:rFonts w:ascii="Times New Roman" w:hAnsi="Times New Roman" w:eastAsia="Times New Roman" w:cs="Times New Roman"/>
                <w:spacing w:val="7"/>
                <w:position w:val="1"/>
              </w:rPr>
              <w:t>U2</w:t>
            </w:r>
            <w:r>
              <w:rPr>
                <w:rFonts w:ascii="Times New Roman" w:hAnsi="Times New Roman" w:eastAsia="Times New Roman" w:cs="Times New Roman"/>
                <w:spacing w:val="13"/>
                <w:w w:val="101"/>
                <w:position w:val="1"/>
              </w:rPr>
              <w:t xml:space="preserve"> </w:t>
            </w:r>
            <w:r>
              <w:rPr>
                <w:spacing w:val="7"/>
                <w:position w:val="1"/>
              </w:rPr>
              <w:t>后山村水井</w:t>
            </w:r>
          </w:p>
        </w:tc>
        <w:tc>
          <w:tcPr>
            <w:tcW w:w="3773" w:type="dxa"/>
            <w:vMerge w:val="continue"/>
            <w:tcBorders>
              <w:top w:val="nil"/>
              <w:bottom w:val="nil"/>
            </w:tcBorders>
            <w:vAlign w:val="top"/>
          </w:tcPr>
          <w:p w14:paraId="0B31C6CD">
            <w:pPr>
              <w:rPr>
                <w:rFonts w:ascii="Arial"/>
                <w:sz w:val="21"/>
              </w:rPr>
            </w:pPr>
          </w:p>
        </w:tc>
      </w:tr>
      <w:tr w14:paraId="51D03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224" w:type="dxa"/>
            <w:vAlign w:val="top"/>
          </w:tcPr>
          <w:p w14:paraId="74962C7A">
            <w:pPr>
              <w:spacing w:before="80" w:line="274"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U3</w:t>
            </w:r>
          </w:p>
        </w:tc>
        <w:tc>
          <w:tcPr>
            <w:tcW w:w="3773" w:type="dxa"/>
            <w:vAlign w:val="top"/>
          </w:tcPr>
          <w:p w14:paraId="3A82ADF4">
            <w:pPr>
              <w:pStyle w:val="6"/>
              <w:spacing w:before="109" w:line="274" w:lineRule="exact"/>
              <w:ind w:left="1310"/>
            </w:pPr>
            <w:r>
              <w:rPr>
                <w:rFonts w:ascii="Times New Roman" w:hAnsi="Times New Roman" w:eastAsia="Times New Roman" w:cs="Times New Roman"/>
                <w:spacing w:val="7"/>
                <w:position w:val="1"/>
              </w:rPr>
              <w:t xml:space="preserve">U3 </w:t>
            </w:r>
            <w:r>
              <w:rPr>
                <w:spacing w:val="7"/>
                <w:position w:val="1"/>
              </w:rPr>
              <w:t>龙岗村村水井</w:t>
            </w:r>
          </w:p>
        </w:tc>
        <w:tc>
          <w:tcPr>
            <w:tcW w:w="3773" w:type="dxa"/>
            <w:vMerge w:val="continue"/>
            <w:tcBorders>
              <w:top w:val="nil"/>
            </w:tcBorders>
            <w:vAlign w:val="top"/>
          </w:tcPr>
          <w:p w14:paraId="1680489D">
            <w:pPr>
              <w:rPr>
                <w:rFonts w:ascii="Arial"/>
                <w:sz w:val="21"/>
              </w:rPr>
            </w:pPr>
          </w:p>
        </w:tc>
      </w:tr>
      <w:tr w14:paraId="04E8F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224" w:type="dxa"/>
            <w:vAlign w:val="top"/>
          </w:tcPr>
          <w:p w14:paraId="6A44C5D8">
            <w:pPr>
              <w:spacing w:before="81" w:line="275"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U4</w:t>
            </w:r>
          </w:p>
        </w:tc>
        <w:tc>
          <w:tcPr>
            <w:tcW w:w="3773" w:type="dxa"/>
            <w:vAlign w:val="top"/>
          </w:tcPr>
          <w:p w14:paraId="6C8E0A3C">
            <w:pPr>
              <w:pStyle w:val="6"/>
              <w:spacing w:before="110" w:line="274" w:lineRule="exact"/>
              <w:ind w:left="1519"/>
            </w:pPr>
            <w:r>
              <w:rPr>
                <w:rFonts w:ascii="Times New Roman" w:hAnsi="Times New Roman" w:eastAsia="Times New Roman" w:cs="Times New Roman"/>
                <w:spacing w:val="6"/>
                <w:position w:val="1"/>
              </w:rPr>
              <w:t>U4</w:t>
            </w:r>
            <w:r>
              <w:rPr>
                <w:rFonts w:ascii="Times New Roman" w:hAnsi="Times New Roman" w:eastAsia="Times New Roman" w:cs="Times New Roman"/>
                <w:spacing w:val="15"/>
                <w:position w:val="1"/>
              </w:rPr>
              <w:t xml:space="preserve"> </w:t>
            </w:r>
            <w:r>
              <w:rPr>
                <w:spacing w:val="6"/>
                <w:position w:val="1"/>
              </w:rPr>
              <w:t>项目水井</w:t>
            </w:r>
          </w:p>
        </w:tc>
        <w:tc>
          <w:tcPr>
            <w:tcW w:w="3773" w:type="dxa"/>
            <w:vMerge w:val="restart"/>
            <w:tcBorders>
              <w:bottom w:val="nil"/>
            </w:tcBorders>
            <w:vAlign w:val="top"/>
          </w:tcPr>
          <w:p w14:paraId="783FF063">
            <w:pPr>
              <w:spacing w:line="242" w:lineRule="auto"/>
              <w:rPr>
                <w:rFonts w:ascii="Arial"/>
                <w:sz w:val="21"/>
              </w:rPr>
            </w:pPr>
          </w:p>
          <w:p w14:paraId="463BBDFA">
            <w:pPr>
              <w:spacing w:line="242" w:lineRule="auto"/>
              <w:rPr>
                <w:rFonts w:ascii="Arial"/>
                <w:sz w:val="21"/>
              </w:rPr>
            </w:pPr>
          </w:p>
          <w:p w14:paraId="07ED3747">
            <w:pPr>
              <w:pStyle w:val="6"/>
              <w:spacing w:before="65" w:line="231" w:lineRule="auto"/>
              <w:ind w:left="1680"/>
            </w:pPr>
            <w:r>
              <w:rPr>
                <w:spacing w:val="4"/>
              </w:rPr>
              <w:t>埋深</w:t>
            </w:r>
          </w:p>
        </w:tc>
      </w:tr>
      <w:tr w14:paraId="622F3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224" w:type="dxa"/>
            <w:vAlign w:val="top"/>
          </w:tcPr>
          <w:p w14:paraId="6D700184">
            <w:pPr>
              <w:spacing w:before="152" w:line="192"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U5</w:t>
            </w:r>
          </w:p>
        </w:tc>
        <w:tc>
          <w:tcPr>
            <w:tcW w:w="3773" w:type="dxa"/>
            <w:vAlign w:val="top"/>
          </w:tcPr>
          <w:p w14:paraId="7F98966F">
            <w:pPr>
              <w:pStyle w:val="6"/>
              <w:spacing w:before="143" w:line="228" w:lineRule="auto"/>
              <w:ind w:left="1414"/>
            </w:pPr>
            <w:r>
              <w:rPr>
                <w:rFonts w:ascii="Times New Roman" w:hAnsi="Times New Roman" w:eastAsia="Times New Roman" w:cs="Times New Roman"/>
                <w:spacing w:val="6"/>
              </w:rPr>
              <w:t>U5</w:t>
            </w:r>
            <w:r>
              <w:rPr>
                <w:rFonts w:ascii="Times New Roman" w:hAnsi="Times New Roman" w:eastAsia="Times New Roman" w:cs="Times New Roman"/>
                <w:spacing w:val="20"/>
              </w:rPr>
              <w:t xml:space="preserve"> </w:t>
            </w:r>
            <w:r>
              <w:rPr>
                <w:spacing w:val="6"/>
              </w:rPr>
              <w:t>紫头崛水井</w:t>
            </w:r>
          </w:p>
        </w:tc>
        <w:tc>
          <w:tcPr>
            <w:tcW w:w="3773" w:type="dxa"/>
            <w:vMerge w:val="continue"/>
            <w:tcBorders>
              <w:top w:val="nil"/>
              <w:bottom w:val="nil"/>
            </w:tcBorders>
            <w:vAlign w:val="top"/>
          </w:tcPr>
          <w:p w14:paraId="654172DF">
            <w:pPr>
              <w:rPr>
                <w:rFonts w:ascii="Arial"/>
                <w:sz w:val="21"/>
              </w:rPr>
            </w:pPr>
          </w:p>
        </w:tc>
      </w:tr>
      <w:tr w14:paraId="20C48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224" w:type="dxa"/>
            <w:vAlign w:val="top"/>
          </w:tcPr>
          <w:p w14:paraId="542964BA">
            <w:pPr>
              <w:spacing w:before="84" w:line="274"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U6</w:t>
            </w:r>
          </w:p>
        </w:tc>
        <w:tc>
          <w:tcPr>
            <w:tcW w:w="3773" w:type="dxa"/>
            <w:vAlign w:val="top"/>
          </w:tcPr>
          <w:p w14:paraId="08C346B5">
            <w:pPr>
              <w:pStyle w:val="6"/>
              <w:spacing w:before="113" w:line="274" w:lineRule="exact"/>
              <w:ind w:left="1099"/>
            </w:pPr>
            <w:r>
              <w:rPr>
                <w:rFonts w:ascii="Times New Roman" w:hAnsi="Times New Roman" w:eastAsia="Times New Roman" w:cs="Times New Roman"/>
                <w:spacing w:val="8"/>
                <w:position w:val="1"/>
              </w:rPr>
              <w:t xml:space="preserve">U6 </w:t>
            </w:r>
            <w:r>
              <w:rPr>
                <w:spacing w:val="8"/>
                <w:position w:val="1"/>
              </w:rPr>
              <w:t>潭头垅新村村水井</w:t>
            </w:r>
          </w:p>
        </w:tc>
        <w:tc>
          <w:tcPr>
            <w:tcW w:w="3773" w:type="dxa"/>
            <w:vMerge w:val="continue"/>
            <w:tcBorders>
              <w:top w:val="nil"/>
            </w:tcBorders>
            <w:vAlign w:val="top"/>
          </w:tcPr>
          <w:p w14:paraId="4033629B">
            <w:pPr>
              <w:rPr>
                <w:rFonts w:ascii="Arial"/>
                <w:sz w:val="21"/>
              </w:rPr>
            </w:pPr>
          </w:p>
        </w:tc>
      </w:tr>
    </w:tbl>
    <w:p w14:paraId="4CAF6705">
      <w:pPr>
        <w:pStyle w:val="2"/>
      </w:pPr>
    </w:p>
    <w:p w14:paraId="2B45DDEC">
      <w:pPr>
        <w:sectPr>
          <w:footerReference r:id="rId92" w:type="default"/>
          <w:pgSz w:w="11906" w:h="16839"/>
          <w:pgMar w:top="400" w:right="1565" w:bottom="1485" w:left="1565" w:header="0" w:footer="1249" w:gutter="0"/>
          <w:cols w:space="720" w:num="1"/>
        </w:sectPr>
      </w:pPr>
    </w:p>
    <w:p w14:paraId="333DDDCA">
      <w:pPr>
        <w:pStyle w:val="2"/>
        <w:spacing w:line="275" w:lineRule="auto"/>
      </w:pPr>
    </w:p>
    <w:p w14:paraId="0A212EB4">
      <w:pPr>
        <w:pStyle w:val="2"/>
        <w:spacing w:line="275" w:lineRule="auto"/>
      </w:pPr>
    </w:p>
    <w:p w14:paraId="11DC27F9">
      <w:pPr>
        <w:pStyle w:val="2"/>
        <w:spacing w:line="275" w:lineRule="auto"/>
      </w:pPr>
    </w:p>
    <w:p w14:paraId="511B857C">
      <w:pPr>
        <w:pStyle w:val="2"/>
        <w:spacing w:line="275" w:lineRule="auto"/>
      </w:pPr>
    </w:p>
    <w:p w14:paraId="7F087C10">
      <w:pPr>
        <w:spacing w:line="7973" w:lineRule="exact"/>
        <w:ind w:firstLine="164"/>
      </w:pPr>
      <w:r>
        <w:rPr>
          <w:position w:val="-159"/>
        </w:rPr>
        <w:drawing>
          <wp:inline distT="0" distB="0" distL="0" distR="0">
            <wp:extent cx="5071745" cy="506222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16"/>
                    <a:stretch>
                      <a:fillRect/>
                    </a:stretch>
                  </pic:blipFill>
                  <pic:spPr>
                    <a:xfrm>
                      <a:off x="0" y="0"/>
                      <a:ext cx="5071871" cy="5062728"/>
                    </a:xfrm>
                    <a:prstGeom prst="rect">
                      <a:avLst/>
                    </a:prstGeom>
                  </pic:spPr>
                </pic:pic>
              </a:graphicData>
            </a:graphic>
          </wp:inline>
        </w:drawing>
      </w:r>
    </w:p>
    <w:p w14:paraId="65307909">
      <w:pPr>
        <w:pStyle w:val="2"/>
        <w:spacing w:line="252" w:lineRule="auto"/>
      </w:pPr>
    </w:p>
    <w:p w14:paraId="516D44EE">
      <w:pPr>
        <w:spacing w:before="78" w:line="222" w:lineRule="auto"/>
        <w:ind w:left="2806"/>
        <w:rPr>
          <w:rFonts w:ascii="宋体" w:hAnsi="宋体" w:eastAsia="宋体" w:cs="宋体"/>
          <w:sz w:val="20"/>
          <w:szCs w:val="20"/>
        </w:rPr>
      </w:pPr>
      <w:r>
        <w:rPr>
          <w:rFonts w:ascii="宋体" w:hAnsi="宋体" w:eastAsia="宋体" w:cs="宋体"/>
          <w:b/>
          <w:bCs/>
          <w:spacing w:val="3"/>
          <w:sz w:val="24"/>
          <w:szCs w:val="24"/>
        </w:rPr>
        <w:t>图</w:t>
      </w:r>
      <w:r>
        <w:rPr>
          <w:rFonts w:ascii="宋体" w:hAnsi="宋体" w:eastAsia="宋体" w:cs="宋体"/>
          <w:spacing w:val="-47"/>
          <w:sz w:val="24"/>
          <w:szCs w:val="24"/>
        </w:rPr>
        <w:t xml:space="preserve"> </w:t>
      </w:r>
      <w:r>
        <w:rPr>
          <w:rFonts w:ascii="Times New Roman" w:hAnsi="Times New Roman" w:eastAsia="Times New Roman" w:cs="Times New Roman"/>
          <w:b/>
          <w:bCs/>
          <w:spacing w:val="3"/>
          <w:sz w:val="24"/>
          <w:szCs w:val="24"/>
        </w:rPr>
        <w:t xml:space="preserve">4.2-1  </w:t>
      </w:r>
      <w:r>
        <w:rPr>
          <w:rFonts w:ascii="宋体" w:hAnsi="宋体" w:eastAsia="宋体" w:cs="宋体"/>
          <w:b/>
          <w:bCs/>
          <w:spacing w:val="3"/>
          <w:sz w:val="20"/>
          <w:szCs w:val="20"/>
        </w:rPr>
        <w:t>地下水环境质量现状监测布点</w:t>
      </w:r>
    </w:p>
    <w:p w14:paraId="33A7C5C6">
      <w:pPr>
        <w:pStyle w:val="2"/>
        <w:spacing w:line="418" w:lineRule="auto"/>
      </w:pPr>
    </w:p>
    <w:p w14:paraId="75FFB253">
      <w:pPr>
        <w:spacing w:before="78"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4.2.1</w:t>
      </w:r>
      <w:r>
        <w:rPr>
          <w:rFonts w:ascii="宋体" w:hAnsi="宋体" w:eastAsia="宋体" w:cs="宋体"/>
          <w:b/>
          <w:bCs/>
          <w:spacing w:val="-2"/>
          <w:sz w:val="24"/>
          <w:szCs w:val="24"/>
        </w:rPr>
        <w:t>监测时间频率与监测项目</w:t>
      </w:r>
    </w:p>
    <w:p w14:paraId="1CBD7A3D">
      <w:pPr>
        <w:pStyle w:val="2"/>
        <w:spacing w:line="242" w:lineRule="auto"/>
      </w:pPr>
    </w:p>
    <w:p w14:paraId="1551ADD4">
      <w:pPr>
        <w:spacing w:before="78" w:line="360" w:lineRule="exact"/>
        <w:ind w:left="484"/>
        <w:rPr>
          <w:rFonts w:ascii="宋体" w:hAnsi="宋体" w:eastAsia="宋体" w:cs="宋体"/>
          <w:sz w:val="24"/>
          <w:szCs w:val="24"/>
        </w:rPr>
      </w:pPr>
      <w:r>
        <w:rPr>
          <w:rFonts w:ascii="宋体" w:hAnsi="宋体" w:eastAsia="宋体" w:cs="宋体"/>
          <w:spacing w:val="-4"/>
          <w:position w:val="2"/>
          <w:sz w:val="24"/>
          <w:szCs w:val="24"/>
        </w:rPr>
        <w:t>监测时间为</w:t>
      </w:r>
      <w:r>
        <w:rPr>
          <w:rFonts w:ascii="宋体" w:hAnsi="宋体" w:eastAsia="宋体" w:cs="宋体"/>
          <w:spacing w:val="-37"/>
          <w:position w:val="2"/>
          <w:sz w:val="24"/>
          <w:szCs w:val="24"/>
        </w:rPr>
        <w:t xml:space="preserve"> </w:t>
      </w:r>
      <w:r>
        <w:rPr>
          <w:rFonts w:ascii="Times New Roman" w:hAnsi="Times New Roman" w:eastAsia="Times New Roman" w:cs="Times New Roman"/>
          <w:spacing w:val="-4"/>
          <w:position w:val="2"/>
          <w:sz w:val="24"/>
          <w:szCs w:val="24"/>
        </w:rPr>
        <w:t xml:space="preserve">2020 </w:t>
      </w:r>
      <w:r>
        <w:rPr>
          <w:rFonts w:ascii="宋体" w:hAnsi="宋体" w:eastAsia="宋体" w:cs="宋体"/>
          <w:spacing w:val="-4"/>
          <w:position w:val="2"/>
          <w:sz w:val="24"/>
          <w:szCs w:val="24"/>
        </w:rPr>
        <w:t>年</w:t>
      </w:r>
      <w:r>
        <w:rPr>
          <w:rFonts w:ascii="宋体" w:hAnsi="宋体" w:eastAsia="宋体" w:cs="宋体"/>
          <w:spacing w:val="-32"/>
          <w:position w:val="2"/>
          <w:sz w:val="24"/>
          <w:szCs w:val="24"/>
        </w:rPr>
        <w:t xml:space="preserve"> </w:t>
      </w:r>
      <w:r>
        <w:rPr>
          <w:rFonts w:ascii="Times New Roman" w:hAnsi="Times New Roman" w:eastAsia="Times New Roman" w:cs="Times New Roman"/>
          <w:spacing w:val="-4"/>
          <w:position w:val="2"/>
          <w:sz w:val="24"/>
          <w:szCs w:val="24"/>
        </w:rPr>
        <w:t xml:space="preserve">11 </w:t>
      </w:r>
      <w:r>
        <w:rPr>
          <w:rFonts w:ascii="宋体" w:hAnsi="宋体" w:eastAsia="宋体" w:cs="宋体"/>
          <w:spacing w:val="-4"/>
          <w:position w:val="2"/>
          <w:sz w:val="24"/>
          <w:szCs w:val="24"/>
        </w:rPr>
        <w:t>月</w:t>
      </w:r>
      <w:r>
        <w:rPr>
          <w:rFonts w:ascii="宋体" w:hAnsi="宋体" w:eastAsia="宋体" w:cs="宋体"/>
          <w:spacing w:val="-32"/>
          <w:position w:val="2"/>
          <w:sz w:val="24"/>
          <w:szCs w:val="24"/>
        </w:rPr>
        <w:t xml:space="preserve"> </w:t>
      </w:r>
      <w:r>
        <w:rPr>
          <w:rFonts w:ascii="Times New Roman" w:hAnsi="Times New Roman" w:eastAsia="Times New Roman" w:cs="Times New Roman"/>
          <w:spacing w:val="-4"/>
          <w:position w:val="2"/>
          <w:sz w:val="24"/>
          <w:szCs w:val="24"/>
        </w:rPr>
        <w:t xml:space="preserve">10  </w:t>
      </w:r>
      <w:r>
        <w:rPr>
          <w:rFonts w:ascii="宋体" w:hAnsi="宋体" w:eastAsia="宋体" w:cs="宋体"/>
          <w:spacing w:val="-4"/>
          <w:position w:val="2"/>
          <w:sz w:val="24"/>
          <w:szCs w:val="24"/>
        </w:rPr>
        <w:t xml:space="preserve">日，监测 </w:t>
      </w:r>
      <w:r>
        <w:rPr>
          <w:rFonts w:ascii="Times New Roman" w:hAnsi="Times New Roman" w:eastAsia="Times New Roman" w:cs="Times New Roman"/>
          <w:spacing w:val="-4"/>
          <w:position w:val="2"/>
          <w:sz w:val="24"/>
          <w:szCs w:val="24"/>
        </w:rPr>
        <w:t>1</w:t>
      </w:r>
      <w:r>
        <w:rPr>
          <w:rFonts w:ascii="Times New Roman" w:hAnsi="Times New Roman" w:eastAsia="Times New Roman" w:cs="Times New Roman"/>
          <w:spacing w:val="29"/>
          <w:position w:val="2"/>
          <w:sz w:val="24"/>
          <w:szCs w:val="24"/>
        </w:rPr>
        <w:t xml:space="preserve"> </w:t>
      </w:r>
      <w:r>
        <w:rPr>
          <w:rFonts w:ascii="宋体" w:hAnsi="宋体" w:eastAsia="宋体" w:cs="宋体"/>
          <w:spacing w:val="-4"/>
          <w:position w:val="2"/>
          <w:sz w:val="24"/>
          <w:szCs w:val="24"/>
        </w:rPr>
        <w:t xml:space="preserve">天，每天监测 </w:t>
      </w:r>
      <w:r>
        <w:rPr>
          <w:rFonts w:ascii="Times New Roman" w:hAnsi="Times New Roman" w:eastAsia="Times New Roman" w:cs="Times New Roman"/>
          <w:spacing w:val="-4"/>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4"/>
          <w:position w:val="2"/>
          <w:sz w:val="24"/>
          <w:szCs w:val="24"/>
        </w:rPr>
        <w:t>次。</w:t>
      </w:r>
    </w:p>
    <w:p w14:paraId="79144112">
      <w:pPr>
        <w:spacing w:before="166" w:line="367" w:lineRule="auto"/>
        <w:ind w:left="2"/>
        <w:jc w:val="both"/>
        <w:rPr>
          <w:rFonts w:ascii="宋体" w:hAnsi="宋体" w:eastAsia="宋体" w:cs="宋体"/>
          <w:sz w:val="24"/>
          <w:szCs w:val="24"/>
        </w:rPr>
      </w:pPr>
      <w:r>
        <w:rPr>
          <w:rFonts w:ascii="宋体" w:hAnsi="宋体" w:eastAsia="宋体" w:cs="宋体"/>
          <w:spacing w:val="-2"/>
          <w:sz w:val="24"/>
          <w:szCs w:val="24"/>
        </w:rPr>
        <w:t>根据项目粪污污染物排放特点，本评价选取</w:t>
      </w:r>
      <w:r>
        <w:rPr>
          <w:rFonts w:ascii="宋体" w:hAnsi="宋体" w:eastAsia="宋体" w:cs="宋体"/>
          <w:spacing w:val="-60"/>
          <w:sz w:val="24"/>
          <w:szCs w:val="24"/>
        </w:rPr>
        <w:t xml:space="preserve"> </w:t>
      </w:r>
      <w:r>
        <w:rPr>
          <w:rFonts w:ascii="Times New Roman" w:hAnsi="Times New Roman" w:eastAsia="Times New Roman" w:cs="Times New Roman"/>
          <w:spacing w:val="-3"/>
          <w:sz w:val="24"/>
          <w:szCs w:val="24"/>
        </w:rPr>
        <w:t xml:space="preserve">pH </w:t>
      </w:r>
      <w:r>
        <w:rPr>
          <w:rFonts w:ascii="宋体" w:hAnsi="宋体" w:eastAsia="宋体" w:cs="宋体"/>
          <w:spacing w:val="-3"/>
          <w:sz w:val="24"/>
          <w:szCs w:val="24"/>
        </w:rPr>
        <w:t>值、总硬度、溶解性总固体、耗氧量</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2"/>
          <w:position w:val="-1"/>
          <w:sz w:val="15"/>
          <w:szCs w:val="15"/>
        </w:rPr>
        <w:t>Mn</w:t>
      </w:r>
      <w:r>
        <w:rPr>
          <w:rFonts w:ascii="Times New Roman" w:hAnsi="Times New Roman" w:eastAsia="Times New Roman" w:cs="Times New Roman"/>
          <w:spacing w:val="10"/>
          <w:w w:val="101"/>
          <w:position w:val="-1"/>
          <w:sz w:val="15"/>
          <w:szCs w:val="15"/>
        </w:rPr>
        <w:t xml:space="preserve"> </w:t>
      </w:r>
      <w:r>
        <w:rPr>
          <w:rFonts w:ascii="宋体" w:hAnsi="宋体" w:eastAsia="宋体" w:cs="宋体"/>
          <w:spacing w:val="-2"/>
          <w:sz w:val="24"/>
          <w:szCs w:val="24"/>
        </w:rPr>
        <w:t>法，以</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9"/>
          <w:w w:val="101"/>
          <w:position w:val="-1"/>
          <w:sz w:val="15"/>
          <w:szCs w:val="15"/>
        </w:rPr>
        <w:t xml:space="preserve"> </w:t>
      </w:r>
      <w:r>
        <w:rPr>
          <w:rFonts w:ascii="宋体" w:hAnsi="宋体" w:eastAsia="宋体" w:cs="宋体"/>
          <w:spacing w:val="-2"/>
          <w:sz w:val="24"/>
          <w:szCs w:val="24"/>
        </w:rPr>
        <w:t>计）、氨氮、硝酸盐、总大肠菌群作为地下</w:t>
      </w:r>
      <w:r>
        <w:rPr>
          <w:rFonts w:ascii="宋体" w:hAnsi="宋体" w:eastAsia="宋体" w:cs="宋体"/>
          <w:spacing w:val="-3"/>
          <w:sz w:val="24"/>
          <w:szCs w:val="24"/>
        </w:rPr>
        <w:t>水环境质量现状监测</w:t>
      </w:r>
      <w:r>
        <w:rPr>
          <w:rFonts w:ascii="宋体" w:hAnsi="宋体" w:eastAsia="宋体" w:cs="宋体"/>
          <w:sz w:val="24"/>
          <w:szCs w:val="24"/>
        </w:rPr>
        <w:t xml:space="preserve"> </w:t>
      </w:r>
      <w:r>
        <w:rPr>
          <w:rFonts w:ascii="宋体" w:hAnsi="宋体" w:eastAsia="宋体" w:cs="宋体"/>
          <w:spacing w:val="-1"/>
          <w:sz w:val="24"/>
          <w:szCs w:val="24"/>
        </w:rPr>
        <w:t>评价因子，同时监测埋深。</w:t>
      </w:r>
    </w:p>
    <w:p w14:paraId="5B48B606">
      <w:pPr>
        <w:pStyle w:val="2"/>
        <w:spacing w:line="252" w:lineRule="auto"/>
      </w:pPr>
    </w:p>
    <w:p w14:paraId="69E02EA8">
      <w:pPr>
        <w:spacing w:before="79" w:line="222"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4.2.2</w:t>
      </w:r>
      <w:r>
        <w:rPr>
          <w:rFonts w:ascii="宋体" w:hAnsi="宋体" w:eastAsia="宋体" w:cs="宋体"/>
          <w:b/>
          <w:bCs/>
          <w:spacing w:val="-2"/>
          <w:sz w:val="24"/>
          <w:szCs w:val="24"/>
        </w:rPr>
        <w:t>监测方法</w:t>
      </w:r>
    </w:p>
    <w:p w14:paraId="7A295C91">
      <w:pPr>
        <w:spacing w:before="288" w:line="325" w:lineRule="auto"/>
        <w:ind w:left="242" w:right="143" w:firstLine="487"/>
        <w:jc w:val="both"/>
        <w:rPr>
          <w:rFonts w:ascii="宋体" w:hAnsi="宋体" w:eastAsia="宋体" w:cs="宋体"/>
          <w:sz w:val="24"/>
          <w:szCs w:val="24"/>
        </w:rPr>
      </w:pPr>
      <w:r>
        <w:rPr>
          <w:rFonts w:ascii="宋体" w:hAnsi="宋体" w:eastAsia="宋体" w:cs="宋体"/>
          <w:sz w:val="24"/>
          <w:szCs w:val="24"/>
        </w:rPr>
        <w:t>样品按《地表水环境质量标准》（</w:t>
      </w:r>
      <w:r>
        <w:rPr>
          <w:rFonts w:ascii="Times New Roman" w:hAnsi="Times New Roman" w:eastAsia="Times New Roman" w:cs="Times New Roman"/>
          <w:sz w:val="24"/>
          <w:szCs w:val="24"/>
        </w:rPr>
        <w:t>GB3838-2002</w:t>
      </w:r>
      <w:r>
        <w:rPr>
          <w:rFonts w:ascii="宋体" w:hAnsi="宋体" w:eastAsia="宋体" w:cs="宋体"/>
          <w:sz w:val="24"/>
          <w:szCs w:val="24"/>
        </w:rPr>
        <w:t>）中表</w:t>
      </w:r>
      <w:r>
        <w:rPr>
          <w:rFonts w:ascii="宋体" w:hAnsi="宋体" w:eastAsia="宋体" w:cs="宋体"/>
          <w:spacing w:val="-1"/>
          <w:sz w:val="24"/>
          <w:szCs w:val="24"/>
        </w:rPr>
        <w:t xml:space="preserve"> </w:t>
      </w:r>
      <w:r>
        <w:rPr>
          <w:rFonts w:ascii="Times New Roman" w:hAnsi="Times New Roman" w:eastAsia="Times New Roman" w:cs="Times New Roman"/>
          <w:spacing w:val="-1"/>
          <w:sz w:val="24"/>
          <w:szCs w:val="24"/>
        </w:rPr>
        <w:t>4</w:t>
      </w:r>
      <w:r>
        <w:rPr>
          <w:rFonts w:ascii="宋体" w:hAnsi="宋体" w:eastAsia="宋体" w:cs="宋体"/>
          <w:spacing w:val="-1"/>
          <w:sz w:val="24"/>
          <w:szCs w:val="24"/>
        </w:rPr>
        <w:t>地表水质量标准基</w:t>
      </w:r>
      <w:r>
        <w:rPr>
          <w:rFonts w:ascii="宋体" w:hAnsi="宋体" w:eastAsia="宋体" w:cs="宋体"/>
          <w:sz w:val="24"/>
          <w:szCs w:val="24"/>
        </w:rPr>
        <w:t xml:space="preserve"> </w:t>
      </w:r>
      <w:r>
        <w:rPr>
          <w:rFonts w:ascii="宋体" w:hAnsi="宋体" w:eastAsia="宋体" w:cs="宋体"/>
          <w:spacing w:val="5"/>
          <w:sz w:val="24"/>
          <w:szCs w:val="24"/>
        </w:rPr>
        <w:t>本项目分析方法和国家环保局《水和废水监测分析方法》第四版进</w:t>
      </w:r>
      <w:r>
        <w:rPr>
          <w:rFonts w:ascii="宋体" w:hAnsi="宋体" w:eastAsia="宋体" w:cs="宋体"/>
          <w:spacing w:val="4"/>
          <w:sz w:val="24"/>
          <w:szCs w:val="24"/>
        </w:rPr>
        <w:t>行分析。水</w:t>
      </w:r>
      <w:r>
        <w:rPr>
          <w:rFonts w:ascii="宋体" w:hAnsi="宋体" w:eastAsia="宋体" w:cs="宋体"/>
          <w:sz w:val="24"/>
          <w:szCs w:val="24"/>
        </w:rPr>
        <w:t xml:space="preserve"> </w:t>
      </w:r>
      <w:r>
        <w:rPr>
          <w:rFonts w:ascii="宋体" w:hAnsi="宋体" w:eastAsia="宋体" w:cs="宋体"/>
          <w:spacing w:val="-2"/>
          <w:sz w:val="24"/>
          <w:szCs w:val="24"/>
        </w:rPr>
        <w:t>样的采集、保存、分析的原则和方法按《环境监测技术规范》进行。具体分析方</w:t>
      </w:r>
    </w:p>
    <w:p w14:paraId="761AFC84">
      <w:pPr>
        <w:spacing w:line="325" w:lineRule="auto"/>
        <w:rPr>
          <w:rFonts w:ascii="宋体" w:hAnsi="宋体" w:eastAsia="宋体" w:cs="宋体"/>
          <w:sz w:val="24"/>
          <w:szCs w:val="24"/>
        </w:rPr>
        <w:sectPr>
          <w:footerReference r:id="rId93" w:type="default"/>
          <w:pgSz w:w="11906" w:h="16839"/>
          <w:pgMar w:top="400" w:right="1588" w:bottom="1485" w:left="1594" w:header="0" w:footer="1249" w:gutter="0"/>
          <w:cols w:space="720" w:num="1"/>
        </w:sectPr>
      </w:pPr>
    </w:p>
    <w:p w14:paraId="1A94C37B">
      <w:pPr>
        <w:pStyle w:val="2"/>
        <w:spacing w:line="256" w:lineRule="auto"/>
      </w:pPr>
    </w:p>
    <w:p w14:paraId="7437625B">
      <w:pPr>
        <w:pStyle w:val="2"/>
        <w:spacing w:line="256" w:lineRule="auto"/>
      </w:pPr>
    </w:p>
    <w:p w14:paraId="1E2363AD">
      <w:pPr>
        <w:pStyle w:val="2"/>
        <w:spacing w:line="256" w:lineRule="auto"/>
      </w:pPr>
    </w:p>
    <w:p w14:paraId="624B91C4">
      <w:pPr>
        <w:pStyle w:val="2"/>
        <w:spacing w:line="256" w:lineRule="auto"/>
      </w:pPr>
    </w:p>
    <w:p w14:paraId="5F443058">
      <w:pPr>
        <w:spacing w:before="78" w:line="220" w:lineRule="auto"/>
        <w:ind w:left="363"/>
        <w:rPr>
          <w:rFonts w:ascii="宋体" w:hAnsi="宋体" w:eastAsia="宋体" w:cs="宋体"/>
          <w:sz w:val="24"/>
          <w:szCs w:val="24"/>
        </w:rPr>
      </w:pPr>
      <w:r>
        <w:rPr>
          <w:rFonts w:ascii="宋体" w:hAnsi="宋体" w:eastAsia="宋体" w:cs="宋体"/>
          <w:spacing w:val="-2"/>
          <w:sz w:val="24"/>
          <w:szCs w:val="24"/>
        </w:rPr>
        <w:t>法及检出限见下表。</w:t>
      </w:r>
    </w:p>
    <w:p w14:paraId="671C7D29">
      <w:pPr>
        <w:spacing w:before="182" w:line="228" w:lineRule="auto"/>
        <w:ind w:left="2192"/>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b/>
          <w:bCs/>
          <w:spacing w:val="7"/>
          <w:sz w:val="20"/>
          <w:szCs w:val="20"/>
        </w:rPr>
        <w:t xml:space="preserve">4.2-2  </w:t>
      </w:r>
      <w:r>
        <w:rPr>
          <w:rFonts w:ascii="宋体" w:hAnsi="宋体" w:eastAsia="宋体" w:cs="宋体"/>
          <w:b/>
          <w:bCs/>
          <w:spacing w:val="7"/>
          <w:sz w:val="20"/>
          <w:szCs w:val="20"/>
        </w:rPr>
        <w:t>地下水水水质分析方法及最低检出</w:t>
      </w:r>
      <w:r>
        <w:rPr>
          <w:rFonts w:ascii="宋体" w:hAnsi="宋体" w:eastAsia="宋体" w:cs="宋体"/>
          <w:b/>
          <w:bCs/>
          <w:spacing w:val="6"/>
          <w:sz w:val="20"/>
          <w:szCs w:val="20"/>
        </w:rPr>
        <w:t>浓度一览表</w:t>
      </w:r>
    </w:p>
    <w:p w14:paraId="007610E0">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1551"/>
        <w:gridCol w:w="3143"/>
        <w:gridCol w:w="2044"/>
        <w:gridCol w:w="1349"/>
      </w:tblGrid>
      <w:tr w14:paraId="3360A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863" w:type="dxa"/>
            <w:vAlign w:val="top"/>
          </w:tcPr>
          <w:p w14:paraId="6A98E4EF">
            <w:pPr>
              <w:pStyle w:val="6"/>
              <w:spacing w:before="61" w:line="272" w:lineRule="auto"/>
              <w:ind w:left="298" w:right="84" w:hanging="146"/>
            </w:pPr>
            <w:r>
              <w:rPr>
                <w:spacing w:val="6"/>
              </w:rPr>
              <w:t>检测类</w:t>
            </w:r>
            <w:r>
              <w:rPr>
                <w:spacing w:val="1"/>
              </w:rPr>
              <w:t xml:space="preserve"> </w:t>
            </w:r>
            <w:r>
              <w:t>别</w:t>
            </w:r>
          </w:p>
        </w:tc>
        <w:tc>
          <w:tcPr>
            <w:tcW w:w="1551" w:type="dxa"/>
            <w:vAlign w:val="top"/>
          </w:tcPr>
          <w:p w14:paraId="36C8F406">
            <w:pPr>
              <w:pStyle w:val="6"/>
              <w:spacing w:before="225" w:line="228" w:lineRule="auto"/>
              <w:ind w:left="424"/>
            </w:pPr>
            <w:r>
              <w:rPr>
                <w:spacing w:val="7"/>
              </w:rPr>
              <w:t>检测项目</w:t>
            </w:r>
          </w:p>
        </w:tc>
        <w:tc>
          <w:tcPr>
            <w:tcW w:w="3143" w:type="dxa"/>
            <w:vAlign w:val="top"/>
          </w:tcPr>
          <w:p w14:paraId="1FF91235">
            <w:pPr>
              <w:pStyle w:val="6"/>
              <w:spacing w:before="225" w:line="228" w:lineRule="auto"/>
              <w:ind w:left="1223"/>
            </w:pPr>
            <w:r>
              <w:rPr>
                <w:spacing w:val="7"/>
              </w:rPr>
              <w:t>检测方法</w:t>
            </w:r>
          </w:p>
        </w:tc>
        <w:tc>
          <w:tcPr>
            <w:tcW w:w="2044" w:type="dxa"/>
            <w:vAlign w:val="top"/>
          </w:tcPr>
          <w:p w14:paraId="2947BE88">
            <w:pPr>
              <w:pStyle w:val="6"/>
              <w:spacing w:before="225" w:line="228" w:lineRule="auto"/>
              <w:ind w:left="638"/>
            </w:pPr>
            <w:r>
              <w:rPr>
                <w:spacing w:val="7"/>
              </w:rPr>
              <w:t>检测仪器</w:t>
            </w:r>
          </w:p>
        </w:tc>
        <w:tc>
          <w:tcPr>
            <w:tcW w:w="1349" w:type="dxa"/>
            <w:vAlign w:val="top"/>
          </w:tcPr>
          <w:p w14:paraId="35AAF82F">
            <w:pPr>
              <w:pStyle w:val="6"/>
              <w:spacing w:before="225" w:line="228" w:lineRule="auto"/>
              <w:ind w:left="421"/>
            </w:pPr>
            <w:r>
              <w:rPr>
                <w:spacing w:val="6"/>
              </w:rPr>
              <w:t>检出限</w:t>
            </w:r>
          </w:p>
        </w:tc>
      </w:tr>
      <w:tr w14:paraId="3938A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863" w:type="dxa"/>
            <w:vMerge w:val="restart"/>
            <w:tcBorders>
              <w:bottom w:val="nil"/>
            </w:tcBorders>
            <w:vAlign w:val="top"/>
          </w:tcPr>
          <w:p w14:paraId="40ADD3B0">
            <w:pPr>
              <w:spacing w:line="252" w:lineRule="auto"/>
              <w:rPr>
                <w:rFonts w:ascii="Arial"/>
                <w:sz w:val="21"/>
              </w:rPr>
            </w:pPr>
          </w:p>
          <w:p w14:paraId="68E6D716">
            <w:pPr>
              <w:spacing w:line="252" w:lineRule="auto"/>
              <w:rPr>
                <w:rFonts w:ascii="Arial"/>
                <w:sz w:val="21"/>
              </w:rPr>
            </w:pPr>
          </w:p>
          <w:p w14:paraId="25D3D558">
            <w:pPr>
              <w:spacing w:line="252" w:lineRule="auto"/>
              <w:rPr>
                <w:rFonts w:ascii="Arial"/>
                <w:sz w:val="21"/>
              </w:rPr>
            </w:pPr>
          </w:p>
          <w:p w14:paraId="1B88A477">
            <w:pPr>
              <w:spacing w:line="252" w:lineRule="auto"/>
              <w:rPr>
                <w:rFonts w:ascii="Arial"/>
                <w:sz w:val="21"/>
              </w:rPr>
            </w:pPr>
          </w:p>
          <w:p w14:paraId="7529E923">
            <w:pPr>
              <w:spacing w:line="252" w:lineRule="auto"/>
              <w:rPr>
                <w:rFonts w:ascii="Arial"/>
                <w:sz w:val="21"/>
              </w:rPr>
            </w:pPr>
          </w:p>
          <w:p w14:paraId="1C1A3E26">
            <w:pPr>
              <w:spacing w:line="252" w:lineRule="auto"/>
              <w:rPr>
                <w:rFonts w:ascii="Arial"/>
                <w:sz w:val="21"/>
              </w:rPr>
            </w:pPr>
          </w:p>
          <w:p w14:paraId="60912364">
            <w:pPr>
              <w:spacing w:line="252" w:lineRule="auto"/>
              <w:rPr>
                <w:rFonts w:ascii="Arial"/>
                <w:sz w:val="21"/>
              </w:rPr>
            </w:pPr>
          </w:p>
          <w:p w14:paraId="566FB2F4">
            <w:pPr>
              <w:spacing w:line="252" w:lineRule="auto"/>
              <w:rPr>
                <w:rFonts w:ascii="Arial"/>
                <w:sz w:val="21"/>
              </w:rPr>
            </w:pPr>
          </w:p>
          <w:p w14:paraId="2D3C012C">
            <w:pPr>
              <w:spacing w:line="252" w:lineRule="auto"/>
              <w:rPr>
                <w:rFonts w:ascii="Arial"/>
                <w:sz w:val="21"/>
              </w:rPr>
            </w:pPr>
          </w:p>
          <w:p w14:paraId="56DEAFEE">
            <w:pPr>
              <w:spacing w:line="252" w:lineRule="auto"/>
              <w:rPr>
                <w:rFonts w:ascii="Arial"/>
                <w:sz w:val="21"/>
              </w:rPr>
            </w:pPr>
          </w:p>
          <w:p w14:paraId="626D0E8E">
            <w:pPr>
              <w:spacing w:line="252" w:lineRule="auto"/>
              <w:rPr>
                <w:rFonts w:ascii="Arial"/>
                <w:sz w:val="21"/>
              </w:rPr>
            </w:pPr>
          </w:p>
          <w:p w14:paraId="32FA1CE8">
            <w:pPr>
              <w:pStyle w:val="6"/>
              <w:spacing w:before="66" w:line="228" w:lineRule="auto"/>
              <w:ind w:left="152"/>
            </w:pPr>
            <w:r>
              <w:rPr>
                <w:spacing w:val="6"/>
              </w:rPr>
              <w:t>地表水</w:t>
            </w:r>
          </w:p>
        </w:tc>
        <w:tc>
          <w:tcPr>
            <w:tcW w:w="1551" w:type="dxa"/>
            <w:vAlign w:val="top"/>
          </w:tcPr>
          <w:p w14:paraId="6F98D485">
            <w:pPr>
              <w:pStyle w:val="6"/>
              <w:spacing w:before="279" w:line="221" w:lineRule="auto"/>
              <w:ind w:left="512"/>
            </w:pPr>
            <w:r>
              <w:rPr>
                <w:rFonts w:ascii="Times New Roman" w:hAnsi="Times New Roman" w:eastAsia="Times New Roman" w:cs="Times New Roman"/>
              </w:rPr>
              <w:t>pH</w:t>
            </w:r>
            <w:r>
              <w:rPr>
                <w:rFonts w:ascii="Times New Roman" w:hAnsi="Times New Roman" w:eastAsia="Times New Roman" w:cs="Times New Roman"/>
                <w:spacing w:val="8"/>
              </w:rPr>
              <w:t xml:space="preserve"> </w:t>
            </w:r>
            <w:r>
              <w:rPr>
                <w:spacing w:val="13"/>
              </w:rPr>
              <w:t>值</w:t>
            </w:r>
          </w:p>
        </w:tc>
        <w:tc>
          <w:tcPr>
            <w:tcW w:w="3143" w:type="dxa"/>
            <w:vAlign w:val="top"/>
          </w:tcPr>
          <w:p w14:paraId="50E6507A">
            <w:pPr>
              <w:pStyle w:val="6"/>
              <w:spacing w:before="112" w:line="258" w:lineRule="auto"/>
              <w:ind w:left="685" w:right="120" w:hanging="560"/>
            </w:pPr>
            <w:r>
              <w:rPr>
                <w:rFonts w:ascii="Times New Roman" w:hAnsi="Times New Roman" w:eastAsia="Times New Roman" w:cs="Times New Roman"/>
              </w:rPr>
              <w:t>GB</w:t>
            </w:r>
            <w:r>
              <w:rPr>
                <w:rFonts w:ascii="Times New Roman" w:hAnsi="Times New Roman" w:eastAsia="Times New Roman" w:cs="Times New Roman"/>
                <w:spacing w:val="6"/>
              </w:rPr>
              <w:t>/T 6920-1986</w:t>
            </w:r>
            <w:r>
              <w:rPr>
                <w:spacing w:val="6"/>
              </w:rPr>
              <w:t xml:space="preserve">《水质 </w:t>
            </w:r>
            <w:r>
              <w:rPr>
                <w:rFonts w:ascii="Times New Roman" w:hAnsi="Times New Roman" w:eastAsia="Times New Roman" w:cs="Times New Roman"/>
              </w:rPr>
              <w:t>pH</w:t>
            </w:r>
            <w:r>
              <w:rPr>
                <w:rFonts w:ascii="Times New Roman" w:hAnsi="Times New Roman" w:eastAsia="Times New Roman" w:cs="Times New Roman"/>
                <w:spacing w:val="6"/>
              </w:rPr>
              <w:t xml:space="preserve"> </w:t>
            </w:r>
            <w:r>
              <w:rPr>
                <w:spacing w:val="6"/>
              </w:rPr>
              <w:t>值的</w:t>
            </w:r>
            <w:r>
              <w:rPr>
                <w:spacing w:val="10"/>
              </w:rPr>
              <w:t xml:space="preserve"> </w:t>
            </w:r>
            <w:r>
              <w:rPr>
                <w:spacing w:val="7"/>
              </w:rPr>
              <w:t>测定 玻璃电极法》</w:t>
            </w:r>
          </w:p>
        </w:tc>
        <w:tc>
          <w:tcPr>
            <w:tcW w:w="2044" w:type="dxa"/>
            <w:vAlign w:val="top"/>
          </w:tcPr>
          <w:p w14:paraId="365FA828">
            <w:pPr>
              <w:pStyle w:val="6"/>
              <w:spacing w:before="159" w:line="265" w:lineRule="auto"/>
              <w:ind w:left="595" w:right="8" w:hanging="595"/>
              <w:rPr>
                <w:rFonts w:ascii="Times New Roman" w:hAnsi="Times New Roman" w:eastAsia="Times New Roman" w:cs="Times New Roman"/>
              </w:rPr>
            </w:pPr>
            <w:r>
              <w:rPr>
                <w:spacing w:val="3"/>
              </w:rPr>
              <w:t>便携式多参数分析仪：</w:t>
            </w:r>
            <w:r>
              <w:t xml:space="preserve"> </w:t>
            </w:r>
            <w:r>
              <w:rPr>
                <w:rFonts w:ascii="Times New Roman" w:hAnsi="Times New Roman" w:eastAsia="Times New Roman" w:cs="Times New Roman"/>
              </w:rPr>
              <w:t>DZB</w:t>
            </w:r>
            <w:r>
              <w:rPr>
                <w:rFonts w:ascii="Times New Roman" w:hAnsi="Times New Roman" w:eastAsia="Times New Roman" w:cs="Times New Roman"/>
                <w:spacing w:val="7"/>
              </w:rPr>
              <w:t>-718</w:t>
            </w:r>
          </w:p>
        </w:tc>
        <w:tc>
          <w:tcPr>
            <w:tcW w:w="1349" w:type="dxa"/>
            <w:vAlign w:val="top"/>
          </w:tcPr>
          <w:p w14:paraId="15412973">
            <w:pPr>
              <w:spacing w:line="258" w:lineRule="exact"/>
              <w:ind w:left="42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0.01</w:t>
            </w:r>
          </w:p>
          <w:p w14:paraId="7ACDBE93">
            <w:pPr>
              <w:pStyle w:val="6"/>
              <w:spacing w:before="133" w:line="229" w:lineRule="auto"/>
              <w:ind w:left="95"/>
            </w:pPr>
            <w:r>
              <w:rPr>
                <w:spacing w:val="3"/>
              </w:rPr>
              <w:t>（无量纲）</w:t>
            </w:r>
          </w:p>
        </w:tc>
      </w:tr>
      <w:tr w14:paraId="40A50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63" w:type="dxa"/>
            <w:vMerge w:val="continue"/>
            <w:tcBorders>
              <w:top w:val="nil"/>
              <w:bottom w:val="nil"/>
            </w:tcBorders>
            <w:vAlign w:val="top"/>
          </w:tcPr>
          <w:p w14:paraId="46EC427A">
            <w:pPr>
              <w:rPr>
                <w:rFonts w:ascii="Arial"/>
                <w:sz w:val="21"/>
              </w:rPr>
            </w:pPr>
          </w:p>
        </w:tc>
        <w:tc>
          <w:tcPr>
            <w:tcW w:w="1551" w:type="dxa"/>
            <w:vAlign w:val="top"/>
          </w:tcPr>
          <w:p w14:paraId="785F30FD">
            <w:pPr>
              <w:pStyle w:val="6"/>
              <w:spacing w:before="33" w:line="229" w:lineRule="auto"/>
              <w:ind w:left="468"/>
            </w:pPr>
            <w:r>
              <w:rPr>
                <w:spacing w:val="6"/>
              </w:rPr>
              <w:t>总硬度</w:t>
            </w:r>
          </w:p>
          <w:p w14:paraId="68EAD4C0">
            <w:pPr>
              <w:pStyle w:val="6"/>
              <w:spacing w:before="23" w:line="217" w:lineRule="auto"/>
              <w:ind w:left="31"/>
            </w:pPr>
            <w:r>
              <w:rPr>
                <w:spacing w:val="4"/>
              </w:rPr>
              <w:t>（以</w:t>
            </w:r>
            <w:r>
              <w:rPr>
                <w:spacing w:val="-39"/>
              </w:rPr>
              <w:t xml:space="preserve"> </w:t>
            </w:r>
            <w:r>
              <w:rPr>
                <w:rFonts w:ascii="Times New Roman" w:hAnsi="Times New Roman" w:eastAsia="Times New Roman" w:cs="Times New Roman"/>
              </w:rPr>
              <w:t>CaCO</w:t>
            </w:r>
            <w:r>
              <w:rPr>
                <w:rFonts w:ascii="Times New Roman" w:hAnsi="Times New Roman" w:eastAsia="Times New Roman" w:cs="Times New Roman"/>
                <w:spacing w:val="4"/>
                <w:position w:val="-1"/>
                <w:sz w:val="13"/>
                <w:szCs w:val="13"/>
              </w:rPr>
              <w:t>3</w:t>
            </w:r>
            <w:r>
              <w:rPr>
                <w:rFonts w:ascii="Times New Roman" w:hAnsi="Times New Roman" w:eastAsia="Times New Roman" w:cs="Times New Roman"/>
                <w:spacing w:val="10"/>
                <w:w w:val="101"/>
                <w:position w:val="-1"/>
                <w:sz w:val="13"/>
                <w:szCs w:val="13"/>
              </w:rPr>
              <w:t xml:space="preserve"> </w:t>
            </w:r>
            <w:r>
              <w:rPr>
                <w:spacing w:val="4"/>
              </w:rPr>
              <w:t>计）</w:t>
            </w:r>
          </w:p>
        </w:tc>
        <w:tc>
          <w:tcPr>
            <w:tcW w:w="3143" w:type="dxa"/>
            <w:vAlign w:val="top"/>
          </w:tcPr>
          <w:p w14:paraId="2B82CE23">
            <w:pPr>
              <w:pStyle w:val="6"/>
              <w:spacing w:before="2" w:line="248" w:lineRule="auto"/>
              <w:ind w:left="387" w:right="105" w:hanging="274"/>
            </w:pPr>
            <w:r>
              <w:rPr>
                <w:rFonts w:ascii="Times New Roman" w:hAnsi="Times New Roman" w:eastAsia="Times New Roman" w:cs="Times New Roman"/>
              </w:rPr>
              <w:t>GB</w:t>
            </w:r>
            <w:r>
              <w:rPr>
                <w:rFonts w:ascii="Times New Roman" w:hAnsi="Times New Roman" w:eastAsia="Times New Roman" w:cs="Times New Roman"/>
                <w:spacing w:val="2"/>
              </w:rPr>
              <w:t>/T 7477-1987</w:t>
            </w:r>
            <w:r>
              <w:rPr>
                <w:spacing w:val="2"/>
              </w:rPr>
              <w:t>《水质 钙和镁总</w:t>
            </w:r>
            <w:r>
              <w:rPr>
                <w:spacing w:val="5"/>
              </w:rPr>
              <w:t xml:space="preserve"> </w:t>
            </w:r>
            <w:r>
              <w:rPr>
                <w:spacing w:val="7"/>
              </w:rPr>
              <w:t xml:space="preserve">量的测定 </w:t>
            </w:r>
            <w:r>
              <w:rPr>
                <w:rFonts w:ascii="Times New Roman" w:hAnsi="Times New Roman" w:eastAsia="Times New Roman" w:cs="Times New Roman"/>
              </w:rPr>
              <w:t>EDTA</w:t>
            </w:r>
            <w:r>
              <w:rPr>
                <w:rFonts w:ascii="Times New Roman" w:hAnsi="Times New Roman" w:eastAsia="Times New Roman" w:cs="Times New Roman"/>
                <w:spacing w:val="7"/>
              </w:rPr>
              <w:t xml:space="preserve"> </w:t>
            </w:r>
            <w:r>
              <w:rPr>
                <w:spacing w:val="7"/>
              </w:rPr>
              <w:t>滴定法》</w:t>
            </w:r>
          </w:p>
        </w:tc>
        <w:tc>
          <w:tcPr>
            <w:tcW w:w="2044" w:type="dxa"/>
            <w:vAlign w:val="top"/>
          </w:tcPr>
          <w:p w14:paraId="0E42D5AD">
            <w:pPr>
              <w:pStyle w:val="6"/>
              <w:spacing w:before="167" w:line="229" w:lineRule="auto"/>
              <w:ind w:left="573"/>
            </w:pPr>
            <w:r>
              <w:rPr>
                <w:spacing w:val="6"/>
              </w:rPr>
              <w:t>滴定装置</w:t>
            </w:r>
          </w:p>
        </w:tc>
        <w:tc>
          <w:tcPr>
            <w:tcW w:w="1349" w:type="dxa"/>
            <w:vAlign w:val="top"/>
          </w:tcPr>
          <w:p w14:paraId="5518893B">
            <w:pPr>
              <w:spacing w:before="136" w:line="275"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r>
      <w:tr w14:paraId="31B11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63" w:type="dxa"/>
            <w:vMerge w:val="continue"/>
            <w:tcBorders>
              <w:top w:val="nil"/>
              <w:bottom w:val="nil"/>
            </w:tcBorders>
            <w:vAlign w:val="top"/>
          </w:tcPr>
          <w:p w14:paraId="721D6C17">
            <w:pPr>
              <w:rPr>
                <w:rFonts w:ascii="Arial"/>
                <w:sz w:val="21"/>
              </w:rPr>
            </w:pPr>
          </w:p>
        </w:tc>
        <w:tc>
          <w:tcPr>
            <w:tcW w:w="1551" w:type="dxa"/>
            <w:vAlign w:val="top"/>
          </w:tcPr>
          <w:p w14:paraId="5C7E59A0">
            <w:pPr>
              <w:pStyle w:val="6"/>
              <w:spacing w:before="169" w:line="229" w:lineRule="auto"/>
              <w:ind w:left="151"/>
            </w:pPr>
            <w:r>
              <w:rPr>
                <w:spacing w:val="7"/>
              </w:rPr>
              <w:t>溶解性总固体</w:t>
            </w:r>
          </w:p>
        </w:tc>
        <w:tc>
          <w:tcPr>
            <w:tcW w:w="3143" w:type="dxa"/>
            <w:vAlign w:val="top"/>
          </w:tcPr>
          <w:p w14:paraId="5888923B">
            <w:pPr>
              <w:pStyle w:val="6"/>
              <w:spacing w:before="2" w:line="248" w:lineRule="auto"/>
              <w:ind w:left="111" w:right="106" w:firstLine="41"/>
            </w:pPr>
            <w:r>
              <w:rPr>
                <w:rFonts w:ascii="Times New Roman" w:hAnsi="Times New Roman" w:eastAsia="Times New Roman" w:cs="Times New Roman"/>
              </w:rPr>
              <w:t>DZ</w:t>
            </w:r>
            <w:r>
              <w:rPr>
                <w:rFonts w:ascii="Times New Roman" w:hAnsi="Times New Roman" w:eastAsia="Times New Roman" w:cs="Times New Roman"/>
                <w:spacing w:val="6"/>
              </w:rPr>
              <w:t>/T 0064.9-1993</w:t>
            </w:r>
            <w:r>
              <w:rPr>
                <w:spacing w:val="6"/>
              </w:rPr>
              <w:t>《地下水质检</w:t>
            </w:r>
            <w:r>
              <w:rPr>
                <w:spacing w:val="3"/>
              </w:rPr>
              <w:t xml:space="preserve"> </w:t>
            </w:r>
            <w:r>
              <w:rPr>
                <w:spacing w:val="8"/>
              </w:rPr>
              <w:t>验方法溶解性固体总量的测定》</w:t>
            </w:r>
          </w:p>
        </w:tc>
        <w:tc>
          <w:tcPr>
            <w:tcW w:w="2044" w:type="dxa"/>
            <w:vAlign w:val="top"/>
          </w:tcPr>
          <w:p w14:paraId="657B7FF1">
            <w:pPr>
              <w:pStyle w:val="6"/>
              <w:spacing w:before="138" w:line="274" w:lineRule="exact"/>
              <w:ind w:left="73"/>
              <w:rPr>
                <w:rFonts w:ascii="Times New Roman" w:hAnsi="Times New Roman" w:eastAsia="Times New Roman" w:cs="Times New Roman"/>
              </w:rPr>
            </w:pPr>
            <w:r>
              <w:rPr>
                <w:spacing w:val="6"/>
                <w:position w:val="1"/>
              </w:rPr>
              <w:t>电子天平：</w:t>
            </w:r>
            <w:r>
              <w:rPr>
                <w:rFonts w:ascii="Times New Roman" w:hAnsi="Times New Roman" w:eastAsia="Times New Roman" w:cs="Times New Roman"/>
                <w:position w:val="1"/>
              </w:rPr>
              <w:t>BSA</w:t>
            </w:r>
            <w:r>
              <w:rPr>
                <w:rFonts w:ascii="Times New Roman" w:hAnsi="Times New Roman" w:eastAsia="Times New Roman" w:cs="Times New Roman"/>
                <w:spacing w:val="6"/>
                <w:position w:val="1"/>
              </w:rPr>
              <w:t>224S</w:t>
            </w:r>
          </w:p>
        </w:tc>
        <w:tc>
          <w:tcPr>
            <w:tcW w:w="1349" w:type="dxa"/>
            <w:vAlign w:val="top"/>
          </w:tcPr>
          <w:p w14:paraId="416FBEEA">
            <w:pPr>
              <w:spacing w:before="78" w:line="274" w:lineRule="exact"/>
              <w:ind w:left="5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8160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63" w:type="dxa"/>
            <w:vMerge w:val="continue"/>
            <w:tcBorders>
              <w:top w:val="nil"/>
              <w:bottom w:val="nil"/>
            </w:tcBorders>
            <w:vAlign w:val="top"/>
          </w:tcPr>
          <w:p w14:paraId="77EFFBFD">
            <w:pPr>
              <w:rPr>
                <w:rFonts w:ascii="Arial"/>
                <w:sz w:val="21"/>
              </w:rPr>
            </w:pPr>
          </w:p>
        </w:tc>
        <w:tc>
          <w:tcPr>
            <w:tcW w:w="1551" w:type="dxa"/>
            <w:vAlign w:val="top"/>
          </w:tcPr>
          <w:p w14:paraId="3F14FF29">
            <w:pPr>
              <w:pStyle w:val="6"/>
              <w:spacing w:before="31" w:line="228" w:lineRule="auto"/>
              <w:ind w:left="466"/>
            </w:pPr>
            <w:r>
              <w:rPr>
                <w:spacing w:val="6"/>
              </w:rPr>
              <w:t>耗氧量</w:t>
            </w:r>
          </w:p>
          <w:p w14:paraId="7A142370">
            <w:pPr>
              <w:pStyle w:val="6"/>
              <w:spacing w:before="24" w:line="231" w:lineRule="auto"/>
              <w:jc w:val="right"/>
            </w:pPr>
            <w:r>
              <w:rPr>
                <w:spacing w:val="10"/>
              </w:rPr>
              <w:t>（</w:t>
            </w:r>
            <w:r>
              <w:rPr>
                <w:rFonts w:ascii="Times New Roman" w:hAnsi="Times New Roman" w:eastAsia="Times New Roman" w:cs="Times New Roman"/>
              </w:rPr>
              <w:t>COD</w:t>
            </w:r>
            <w:r>
              <w:rPr>
                <w:rFonts w:ascii="Times New Roman" w:hAnsi="Times New Roman" w:eastAsia="Times New Roman" w:cs="Times New Roman"/>
                <w:position w:val="-1"/>
                <w:sz w:val="13"/>
                <w:szCs w:val="13"/>
              </w:rPr>
              <w:t>Mn</w:t>
            </w:r>
            <w:r>
              <w:rPr>
                <w:rFonts w:ascii="Times New Roman" w:hAnsi="Times New Roman" w:eastAsia="Times New Roman" w:cs="Times New Roman"/>
                <w:spacing w:val="10"/>
                <w:position w:val="-1"/>
                <w:sz w:val="13"/>
                <w:szCs w:val="13"/>
              </w:rPr>
              <w:t xml:space="preserve"> </w:t>
            </w:r>
            <w:r>
              <w:rPr>
                <w:spacing w:val="10"/>
              </w:rPr>
              <w:t>法，以</w:t>
            </w:r>
          </w:p>
          <w:p w14:paraId="1EC6A3CA">
            <w:pPr>
              <w:pStyle w:val="6"/>
              <w:spacing w:before="23" w:line="216" w:lineRule="auto"/>
              <w:ind w:left="440"/>
            </w:pPr>
            <w:r>
              <w:rPr>
                <w:rFonts w:ascii="Times New Roman" w:hAnsi="Times New Roman" w:eastAsia="Times New Roman" w:cs="Times New Roman"/>
              </w:rPr>
              <w:t>O</w:t>
            </w:r>
            <w:r>
              <w:rPr>
                <w:rFonts w:ascii="Times New Roman" w:hAnsi="Times New Roman" w:eastAsia="Times New Roman" w:cs="Times New Roman"/>
                <w:position w:val="-1"/>
                <w:sz w:val="13"/>
                <w:szCs w:val="13"/>
              </w:rPr>
              <w:t>2</w:t>
            </w:r>
            <w:r>
              <w:rPr>
                <w:rFonts w:ascii="Times New Roman" w:hAnsi="Times New Roman" w:eastAsia="Times New Roman" w:cs="Times New Roman"/>
                <w:spacing w:val="13"/>
                <w:position w:val="-1"/>
                <w:sz w:val="13"/>
                <w:szCs w:val="13"/>
              </w:rPr>
              <w:t xml:space="preserve"> </w:t>
            </w:r>
            <w:r>
              <w:t>计）</w:t>
            </w:r>
          </w:p>
        </w:tc>
        <w:tc>
          <w:tcPr>
            <w:tcW w:w="3143" w:type="dxa"/>
            <w:vAlign w:val="top"/>
          </w:tcPr>
          <w:p w14:paraId="1B4214D8">
            <w:pPr>
              <w:pStyle w:val="6"/>
              <w:spacing w:before="2" w:line="367" w:lineRule="auto"/>
              <w:ind w:left="580" w:right="120" w:hanging="32"/>
            </w:pPr>
            <w:r>
              <w:rPr>
                <w:rFonts w:ascii="Times New Roman" w:hAnsi="Times New Roman" w:eastAsia="Times New Roman" w:cs="Times New Roman"/>
              </w:rPr>
              <w:t>GB</w:t>
            </w:r>
            <w:r>
              <w:rPr>
                <w:rFonts w:ascii="Times New Roman" w:hAnsi="Times New Roman" w:eastAsia="Times New Roman" w:cs="Times New Roman"/>
                <w:spacing w:val="4"/>
              </w:rPr>
              <w:t>/T</w:t>
            </w:r>
            <w:r>
              <w:rPr>
                <w:rFonts w:ascii="Times New Roman" w:hAnsi="Times New Roman" w:eastAsia="Times New Roman" w:cs="Times New Roman"/>
                <w:spacing w:val="28"/>
                <w:w w:val="101"/>
              </w:rPr>
              <w:t xml:space="preserve"> </w:t>
            </w:r>
            <w:r>
              <w:rPr>
                <w:rFonts w:ascii="Times New Roman" w:hAnsi="Times New Roman" w:eastAsia="Times New Roman" w:cs="Times New Roman"/>
                <w:spacing w:val="4"/>
              </w:rPr>
              <w:t>11892-1989</w:t>
            </w:r>
            <w:r>
              <w:rPr>
                <w:spacing w:val="4"/>
              </w:rPr>
              <w:t>《水质 高</w:t>
            </w:r>
            <w:r>
              <w:t xml:space="preserve"> </w:t>
            </w:r>
            <w:r>
              <w:rPr>
                <w:spacing w:val="7"/>
              </w:rPr>
              <w:t>锰酸盐指数的测定》</w:t>
            </w:r>
          </w:p>
        </w:tc>
        <w:tc>
          <w:tcPr>
            <w:tcW w:w="2044" w:type="dxa"/>
            <w:vAlign w:val="top"/>
          </w:tcPr>
          <w:p w14:paraId="16871369">
            <w:pPr>
              <w:pStyle w:val="6"/>
              <w:spacing w:before="303" w:line="229" w:lineRule="auto"/>
              <w:ind w:left="573"/>
            </w:pPr>
            <w:r>
              <w:rPr>
                <w:spacing w:val="6"/>
              </w:rPr>
              <w:t>滴定装置</w:t>
            </w:r>
          </w:p>
        </w:tc>
        <w:tc>
          <w:tcPr>
            <w:tcW w:w="1349" w:type="dxa"/>
            <w:vAlign w:val="top"/>
          </w:tcPr>
          <w:p w14:paraId="287EC4EA">
            <w:pPr>
              <w:spacing w:before="272"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r>
      <w:tr w14:paraId="6F109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863" w:type="dxa"/>
            <w:vMerge w:val="continue"/>
            <w:tcBorders>
              <w:top w:val="nil"/>
              <w:bottom w:val="nil"/>
            </w:tcBorders>
            <w:vAlign w:val="top"/>
          </w:tcPr>
          <w:p w14:paraId="4785DF54">
            <w:pPr>
              <w:rPr>
                <w:rFonts w:ascii="Arial"/>
                <w:sz w:val="21"/>
              </w:rPr>
            </w:pPr>
          </w:p>
        </w:tc>
        <w:tc>
          <w:tcPr>
            <w:tcW w:w="1551" w:type="dxa"/>
            <w:vAlign w:val="top"/>
          </w:tcPr>
          <w:p w14:paraId="6E1D6CD4">
            <w:pPr>
              <w:spacing w:line="319" w:lineRule="auto"/>
              <w:rPr>
                <w:rFonts w:ascii="Arial"/>
                <w:sz w:val="21"/>
              </w:rPr>
            </w:pPr>
          </w:p>
          <w:p w14:paraId="0C303E36">
            <w:pPr>
              <w:pStyle w:val="6"/>
              <w:spacing w:before="65" w:line="228" w:lineRule="auto"/>
              <w:ind w:left="21"/>
            </w:pPr>
            <w:r>
              <w:rPr>
                <w:spacing w:val="6"/>
              </w:rPr>
              <w:t>氨氮（以</w:t>
            </w:r>
            <w:r>
              <w:rPr>
                <w:spacing w:val="-46"/>
              </w:rPr>
              <w:t xml:space="preserve"> </w:t>
            </w:r>
            <w:r>
              <w:rPr>
                <w:rFonts w:ascii="Times New Roman" w:hAnsi="Times New Roman" w:eastAsia="Times New Roman" w:cs="Times New Roman"/>
                <w:spacing w:val="6"/>
              </w:rPr>
              <w:t xml:space="preserve">N </w:t>
            </w:r>
            <w:r>
              <w:rPr>
                <w:spacing w:val="6"/>
              </w:rPr>
              <w:t>计）</w:t>
            </w:r>
          </w:p>
        </w:tc>
        <w:tc>
          <w:tcPr>
            <w:tcW w:w="3143" w:type="dxa"/>
            <w:vAlign w:val="top"/>
          </w:tcPr>
          <w:p w14:paraId="6FB1BF23">
            <w:pPr>
              <w:pStyle w:val="6"/>
              <w:spacing w:before="111" w:line="397" w:lineRule="auto"/>
              <w:ind w:left="266" w:right="132" w:firstLine="289"/>
            </w:pPr>
            <w:r>
              <w:rPr>
                <w:rFonts w:ascii="Times New Roman" w:hAnsi="Times New Roman" w:eastAsia="Times New Roman" w:cs="Times New Roman"/>
              </w:rPr>
              <w:t>HJ</w:t>
            </w:r>
            <w:r>
              <w:rPr>
                <w:rFonts w:ascii="Times New Roman" w:hAnsi="Times New Roman" w:eastAsia="Times New Roman" w:cs="Times New Roman"/>
                <w:spacing w:val="6"/>
              </w:rPr>
              <w:t xml:space="preserve"> 535-2009</w:t>
            </w:r>
            <w:r>
              <w:rPr>
                <w:spacing w:val="6"/>
              </w:rPr>
              <w:t>《水质 氨氮的</w:t>
            </w:r>
            <w:r>
              <w:rPr>
                <w:spacing w:val="13"/>
              </w:rPr>
              <w:t xml:space="preserve"> </w:t>
            </w:r>
            <w:r>
              <w:rPr>
                <w:spacing w:val="7"/>
              </w:rPr>
              <w:t>测定 纳氏试剂分光光度法》</w:t>
            </w:r>
          </w:p>
        </w:tc>
        <w:tc>
          <w:tcPr>
            <w:tcW w:w="2044" w:type="dxa"/>
            <w:vAlign w:val="top"/>
          </w:tcPr>
          <w:p w14:paraId="10F85662">
            <w:pPr>
              <w:pStyle w:val="6"/>
              <w:spacing w:before="142" w:line="228" w:lineRule="auto"/>
              <w:jc w:val="right"/>
            </w:pPr>
            <w:r>
              <w:rPr>
                <w:spacing w:val="3"/>
              </w:rPr>
              <w:t>紫外可见分光光度计：</w:t>
            </w:r>
          </w:p>
          <w:p w14:paraId="03CDDB15">
            <w:pPr>
              <w:spacing w:before="209" w:line="274" w:lineRule="exact"/>
              <w:ind w:left="87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T6</w:t>
            </w:r>
          </w:p>
        </w:tc>
        <w:tc>
          <w:tcPr>
            <w:tcW w:w="1349" w:type="dxa"/>
            <w:vAlign w:val="top"/>
          </w:tcPr>
          <w:p w14:paraId="1B8C5C72">
            <w:pPr>
              <w:spacing w:line="294" w:lineRule="auto"/>
              <w:rPr>
                <w:rFonts w:ascii="Arial"/>
                <w:sz w:val="21"/>
              </w:rPr>
            </w:pPr>
          </w:p>
          <w:p w14:paraId="328A953E">
            <w:pPr>
              <w:spacing w:before="57" w:line="275"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0.025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r>
      <w:tr w14:paraId="67277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863" w:type="dxa"/>
            <w:vMerge w:val="continue"/>
            <w:tcBorders>
              <w:top w:val="nil"/>
              <w:bottom w:val="nil"/>
            </w:tcBorders>
            <w:vAlign w:val="top"/>
          </w:tcPr>
          <w:p w14:paraId="4E942F4A">
            <w:pPr>
              <w:rPr>
                <w:rFonts w:ascii="Arial"/>
                <w:sz w:val="21"/>
              </w:rPr>
            </w:pPr>
          </w:p>
        </w:tc>
        <w:tc>
          <w:tcPr>
            <w:tcW w:w="1551" w:type="dxa"/>
            <w:vAlign w:val="top"/>
          </w:tcPr>
          <w:p w14:paraId="4BE5EE94">
            <w:pPr>
              <w:pStyle w:val="6"/>
              <w:spacing w:before="141" w:line="230" w:lineRule="auto"/>
              <w:ind w:left="215"/>
              <w:rPr>
                <w:rFonts w:ascii="Times New Roman" w:hAnsi="Times New Roman" w:eastAsia="Times New Roman" w:cs="Times New Roman"/>
              </w:rPr>
            </w:pPr>
            <w:r>
              <w:rPr>
                <w:spacing w:val="8"/>
              </w:rPr>
              <w:t>硝酸盐（以</w:t>
            </w:r>
            <w:r>
              <w:rPr>
                <w:spacing w:val="-50"/>
              </w:rPr>
              <w:t xml:space="preserve"> </w:t>
            </w:r>
            <w:r>
              <w:rPr>
                <w:rFonts w:ascii="Times New Roman" w:hAnsi="Times New Roman" w:eastAsia="Times New Roman" w:cs="Times New Roman"/>
                <w:spacing w:val="8"/>
              </w:rPr>
              <w:t>N</w:t>
            </w:r>
          </w:p>
          <w:p w14:paraId="3E95DF53">
            <w:pPr>
              <w:pStyle w:val="6"/>
              <w:spacing w:before="240" w:line="230" w:lineRule="auto"/>
              <w:ind w:left="568"/>
            </w:pPr>
            <w:r>
              <w:t>计）</w:t>
            </w:r>
          </w:p>
        </w:tc>
        <w:tc>
          <w:tcPr>
            <w:tcW w:w="3143" w:type="dxa"/>
            <w:vAlign w:val="top"/>
          </w:tcPr>
          <w:p w14:paraId="06C6D7C1">
            <w:pPr>
              <w:pStyle w:val="6"/>
              <w:spacing w:before="84" w:line="274" w:lineRule="exact"/>
              <w:ind w:left="150"/>
            </w:pPr>
            <w:r>
              <w:rPr>
                <w:rFonts w:ascii="Times New Roman" w:hAnsi="Times New Roman" w:eastAsia="Times New Roman" w:cs="Times New Roman"/>
                <w:position w:val="1"/>
              </w:rPr>
              <w:t>HJ</w:t>
            </w:r>
            <w:r>
              <w:rPr>
                <w:rFonts w:ascii="Times New Roman" w:hAnsi="Times New Roman" w:eastAsia="Times New Roman" w:cs="Times New Roman"/>
                <w:spacing w:val="6"/>
                <w:position w:val="1"/>
              </w:rPr>
              <w:t>/T 346-2007</w:t>
            </w:r>
            <w:r>
              <w:rPr>
                <w:spacing w:val="6"/>
                <w:position w:val="1"/>
              </w:rPr>
              <w:t>《水质 硝酸盐氮</w:t>
            </w:r>
          </w:p>
          <w:p w14:paraId="16C96D7D">
            <w:pPr>
              <w:pStyle w:val="6"/>
              <w:spacing w:before="28" w:line="228" w:lineRule="auto"/>
              <w:ind w:left="283"/>
            </w:pPr>
            <w:r>
              <w:rPr>
                <w:spacing w:val="7"/>
              </w:rPr>
              <w:t>的测定 紫外分光光度法（试</w:t>
            </w:r>
          </w:p>
          <w:p w14:paraId="6A5BCF3D">
            <w:pPr>
              <w:pStyle w:val="6"/>
              <w:spacing w:before="23" w:line="229" w:lineRule="auto"/>
              <w:ind w:left="1265"/>
            </w:pPr>
            <w:r>
              <w:rPr>
                <w:spacing w:val="9"/>
              </w:rPr>
              <w:t>行）》</w:t>
            </w:r>
          </w:p>
        </w:tc>
        <w:tc>
          <w:tcPr>
            <w:tcW w:w="2044" w:type="dxa"/>
            <w:vAlign w:val="top"/>
          </w:tcPr>
          <w:p w14:paraId="2EDC8B42">
            <w:pPr>
              <w:pStyle w:val="6"/>
              <w:spacing w:before="265" w:line="209" w:lineRule="auto"/>
              <w:jc w:val="right"/>
            </w:pPr>
            <w:r>
              <w:rPr>
                <w:spacing w:val="3"/>
              </w:rPr>
              <w:t>紫外可见分光光度计：</w:t>
            </w:r>
          </w:p>
          <w:p w14:paraId="39ED28A8">
            <w:pPr>
              <w:spacing w:line="274" w:lineRule="exact"/>
              <w:ind w:left="87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T6</w:t>
            </w:r>
          </w:p>
        </w:tc>
        <w:tc>
          <w:tcPr>
            <w:tcW w:w="1349" w:type="dxa"/>
            <w:vAlign w:val="top"/>
          </w:tcPr>
          <w:p w14:paraId="55FFFE2E">
            <w:pPr>
              <w:spacing w:line="296" w:lineRule="auto"/>
              <w:rPr>
                <w:rFonts w:ascii="Arial"/>
                <w:sz w:val="21"/>
              </w:rPr>
            </w:pPr>
          </w:p>
          <w:p w14:paraId="7B470200">
            <w:pPr>
              <w:spacing w:before="57" w:line="274" w:lineRule="exact"/>
              <w:ind w:left="259"/>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0.08</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r>
      <w:tr w14:paraId="2EB0B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863" w:type="dxa"/>
            <w:vMerge w:val="continue"/>
            <w:tcBorders>
              <w:top w:val="nil"/>
            </w:tcBorders>
            <w:vAlign w:val="top"/>
          </w:tcPr>
          <w:p w14:paraId="4EB6CE72">
            <w:pPr>
              <w:rPr>
                <w:rFonts w:ascii="Arial"/>
                <w:sz w:val="21"/>
              </w:rPr>
            </w:pPr>
          </w:p>
        </w:tc>
        <w:tc>
          <w:tcPr>
            <w:tcW w:w="1551" w:type="dxa"/>
            <w:vAlign w:val="top"/>
          </w:tcPr>
          <w:p w14:paraId="6516DEEE">
            <w:pPr>
              <w:spacing w:line="376" w:lineRule="auto"/>
              <w:rPr>
                <w:rFonts w:ascii="Arial"/>
                <w:sz w:val="21"/>
              </w:rPr>
            </w:pPr>
          </w:p>
          <w:p w14:paraId="3EC3AA88">
            <w:pPr>
              <w:pStyle w:val="6"/>
              <w:spacing w:before="65" w:line="228" w:lineRule="auto"/>
              <w:ind w:left="317"/>
            </w:pPr>
            <w:r>
              <w:rPr>
                <w:spacing w:val="7"/>
              </w:rPr>
              <w:t>总大肠菌群</w:t>
            </w:r>
          </w:p>
        </w:tc>
        <w:tc>
          <w:tcPr>
            <w:tcW w:w="3143" w:type="dxa"/>
            <w:vAlign w:val="top"/>
          </w:tcPr>
          <w:p w14:paraId="2C9F86B0">
            <w:pPr>
              <w:pStyle w:val="6"/>
              <w:spacing w:before="4" w:line="274" w:lineRule="exact"/>
              <w:ind w:left="152"/>
            </w:pPr>
            <w:r>
              <w:rPr>
                <w:rFonts w:ascii="Times New Roman" w:hAnsi="Times New Roman" w:eastAsia="Times New Roman" w:cs="Times New Roman"/>
                <w:position w:val="1"/>
              </w:rPr>
              <w:t>GB</w:t>
            </w:r>
            <w:r>
              <w:rPr>
                <w:rFonts w:ascii="Times New Roman" w:hAnsi="Times New Roman" w:eastAsia="Times New Roman" w:cs="Times New Roman"/>
                <w:spacing w:val="1"/>
                <w:position w:val="1"/>
              </w:rPr>
              <w:t>/T 5750.</w:t>
            </w:r>
            <w:r>
              <w:rPr>
                <w:rFonts w:ascii="Times New Roman" w:hAnsi="Times New Roman" w:eastAsia="Times New Roman" w:cs="Times New Roman"/>
                <w:spacing w:val="-12"/>
                <w:position w:val="1"/>
              </w:rPr>
              <w:t xml:space="preserve"> </w:t>
            </w:r>
            <w:r>
              <w:rPr>
                <w:rFonts w:ascii="Times New Roman" w:hAnsi="Times New Roman" w:eastAsia="Times New Roman" w:cs="Times New Roman"/>
                <w:spacing w:val="1"/>
                <w:position w:val="1"/>
              </w:rPr>
              <w:t>12-2006</w:t>
            </w:r>
            <w:r>
              <w:rPr>
                <w:spacing w:val="1"/>
                <w:position w:val="1"/>
              </w:rPr>
              <w:t>《生活饮用水</w:t>
            </w:r>
          </w:p>
          <w:p w14:paraId="295945FF">
            <w:pPr>
              <w:pStyle w:val="6"/>
              <w:spacing w:before="164" w:line="228" w:lineRule="auto"/>
              <w:ind w:left="161"/>
            </w:pPr>
            <w:r>
              <w:rPr>
                <w:spacing w:val="9"/>
              </w:rPr>
              <w:t>标准检验方法 微生物指标》多</w:t>
            </w:r>
          </w:p>
          <w:p w14:paraId="73A85841">
            <w:pPr>
              <w:pStyle w:val="6"/>
              <w:spacing w:before="129" w:line="275" w:lineRule="exact"/>
              <w:ind w:left="819"/>
            </w:pPr>
            <w:r>
              <w:rPr>
                <w:spacing w:val="2"/>
                <w:position w:val="1"/>
              </w:rPr>
              <w:t>管发酵法（</w:t>
            </w:r>
            <w:r>
              <w:rPr>
                <w:rFonts w:ascii="Times New Roman" w:hAnsi="Times New Roman" w:eastAsia="Times New Roman" w:cs="Times New Roman"/>
                <w:spacing w:val="2"/>
                <w:position w:val="1"/>
              </w:rPr>
              <w:t>2.</w:t>
            </w:r>
            <w:r>
              <w:rPr>
                <w:rFonts w:ascii="Times New Roman" w:hAnsi="Times New Roman" w:eastAsia="Times New Roman" w:cs="Times New Roman"/>
                <w:spacing w:val="-18"/>
                <w:position w:val="1"/>
              </w:rPr>
              <w:t xml:space="preserve"> </w:t>
            </w:r>
            <w:r>
              <w:rPr>
                <w:rFonts w:ascii="Times New Roman" w:hAnsi="Times New Roman" w:eastAsia="Times New Roman" w:cs="Times New Roman"/>
                <w:spacing w:val="2"/>
                <w:position w:val="1"/>
              </w:rPr>
              <w:t>1</w:t>
            </w:r>
            <w:r>
              <w:rPr>
                <w:spacing w:val="2"/>
                <w:position w:val="1"/>
              </w:rPr>
              <w:t>）</w:t>
            </w:r>
          </w:p>
        </w:tc>
        <w:tc>
          <w:tcPr>
            <w:tcW w:w="2044" w:type="dxa"/>
            <w:vAlign w:val="top"/>
          </w:tcPr>
          <w:p w14:paraId="2D7CA404">
            <w:pPr>
              <w:spacing w:line="279" w:lineRule="auto"/>
              <w:rPr>
                <w:rFonts w:ascii="Arial"/>
                <w:sz w:val="21"/>
              </w:rPr>
            </w:pPr>
          </w:p>
          <w:p w14:paraId="79057F32">
            <w:pPr>
              <w:pStyle w:val="6"/>
              <w:spacing w:before="65" w:line="320" w:lineRule="auto"/>
              <w:ind w:left="312" w:right="270" w:hanging="136"/>
              <w:rPr>
                <w:rFonts w:ascii="Times New Roman" w:hAnsi="Times New Roman" w:eastAsia="Times New Roman" w:cs="Times New Roman"/>
              </w:rPr>
            </w:pPr>
            <w:r>
              <w:rPr>
                <w:spacing w:val="-1"/>
              </w:rPr>
              <w:t>电热恒温培养箱：</w:t>
            </w:r>
            <w:r>
              <w:t xml:space="preserve"> </w:t>
            </w:r>
            <w:r>
              <w:rPr>
                <w:rFonts w:ascii="Times New Roman" w:hAnsi="Times New Roman" w:eastAsia="Times New Roman" w:cs="Times New Roman"/>
              </w:rPr>
              <w:t>HPX</w:t>
            </w:r>
            <w:r>
              <w:rPr>
                <w:rFonts w:ascii="Times New Roman" w:hAnsi="Times New Roman" w:eastAsia="Times New Roman" w:cs="Times New Roman"/>
                <w:spacing w:val="11"/>
              </w:rPr>
              <w:t>-9272</w:t>
            </w:r>
            <w:r>
              <w:rPr>
                <w:rFonts w:ascii="Times New Roman" w:hAnsi="Times New Roman" w:eastAsia="Times New Roman" w:cs="Times New Roman"/>
              </w:rPr>
              <w:t>MBE</w:t>
            </w:r>
          </w:p>
        </w:tc>
        <w:tc>
          <w:tcPr>
            <w:tcW w:w="1349" w:type="dxa"/>
            <w:vAlign w:val="top"/>
          </w:tcPr>
          <w:p w14:paraId="2630397F">
            <w:pPr>
              <w:spacing w:line="419" w:lineRule="auto"/>
              <w:rPr>
                <w:rFonts w:ascii="Arial"/>
                <w:sz w:val="21"/>
              </w:rPr>
            </w:pPr>
          </w:p>
          <w:p w14:paraId="6639B1F9">
            <w:pPr>
              <w:spacing w:before="58" w:line="274" w:lineRule="exact"/>
              <w:ind w:left="6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14F6E19C">
      <w:pPr>
        <w:pStyle w:val="2"/>
        <w:spacing w:line="342" w:lineRule="auto"/>
      </w:pPr>
    </w:p>
    <w:p w14:paraId="65FF5FAF">
      <w:pPr>
        <w:spacing w:before="78"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4.2.3</w:t>
      </w:r>
      <w:r>
        <w:rPr>
          <w:rFonts w:ascii="宋体" w:hAnsi="宋体" w:eastAsia="宋体" w:cs="宋体"/>
          <w:b/>
          <w:bCs/>
          <w:spacing w:val="-2"/>
          <w:sz w:val="24"/>
          <w:szCs w:val="24"/>
        </w:rPr>
        <w:t>评价标准</w:t>
      </w:r>
    </w:p>
    <w:p w14:paraId="3D68F70A">
      <w:pPr>
        <w:pStyle w:val="2"/>
        <w:spacing w:line="280" w:lineRule="auto"/>
      </w:pPr>
    </w:p>
    <w:p w14:paraId="3E4D423B">
      <w:pPr>
        <w:spacing w:before="78" w:line="390" w:lineRule="auto"/>
        <w:ind w:left="134" w:right="127" w:firstLine="468"/>
        <w:rPr>
          <w:rFonts w:ascii="宋体" w:hAnsi="宋体" w:eastAsia="宋体" w:cs="宋体"/>
          <w:sz w:val="24"/>
          <w:szCs w:val="24"/>
        </w:rPr>
      </w:pPr>
      <w:r>
        <w:rPr>
          <w:rFonts w:ascii="宋体" w:hAnsi="宋体" w:eastAsia="宋体" w:cs="宋体"/>
          <w:spacing w:val="9"/>
          <w:sz w:val="24"/>
          <w:szCs w:val="24"/>
        </w:rPr>
        <w:t>根据各调查水域的水体功能类别，本项目所在区域执行《地下水质量标准》</w:t>
      </w:r>
      <w:r>
        <w:rPr>
          <w:rFonts w:ascii="宋体" w:hAnsi="宋体" w:eastAsia="宋体" w:cs="宋体"/>
          <w:spacing w:val="6"/>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GB/T</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3"/>
          <w:sz w:val="24"/>
          <w:szCs w:val="24"/>
        </w:rPr>
        <w:t>14848-93</w:t>
      </w:r>
      <w:r>
        <w:rPr>
          <w:rFonts w:ascii="宋体" w:hAnsi="宋体" w:eastAsia="宋体" w:cs="宋体"/>
          <w:spacing w:val="-3"/>
          <w:sz w:val="24"/>
          <w:szCs w:val="24"/>
        </w:rPr>
        <w:t>）中的Ⅲ类水质标准。</w:t>
      </w:r>
    </w:p>
    <w:p w14:paraId="75ACF258">
      <w:pPr>
        <w:spacing w:before="263"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4.2.4</w:t>
      </w:r>
      <w:r>
        <w:rPr>
          <w:rFonts w:ascii="宋体" w:hAnsi="宋体" w:eastAsia="宋体" w:cs="宋体"/>
          <w:b/>
          <w:bCs/>
          <w:spacing w:val="-2"/>
          <w:sz w:val="24"/>
          <w:szCs w:val="24"/>
        </w:rPr>
        <w:t>评价方法</w:t>
      </w:r>
    </w:p>
    <w:p w14:paraId="39EFFE65">
      <w:pPr>
        <w:pStyle w:val="2"/>
        <w:spacing w:line="242" w:lineRule="auto"/>
      </w:pPr>
    </w:p>
    <w:p w14:paraId="7D0243E6">
      <w:pPr>
        <w:spacing w:before="79" w:line="368" w:lineRule="auto"/>
        <w:ind w:left="123" w:right="110" w:firstLine="480"/>
        <w:rPr>
          <w:rFonts w:ascii="宋体" w:hAnsi="宋体" w:eastAsia="宋体" w:cs="宋体"/>
          <w:sz w:val="24"/>
          <w:szCs w:val="24"/>
        </w:rPr>
      </w:pPr>
      <w:r>
        <w:rPr>
          <w:rFonts w:ascii="宋体" w:hAnsi="宋体" w:eastAsia="宋体" w:cs="宋体"/>
          <w:spacing w:val="2"/>
          <w:sz w:val="24"/>
          <w:szCs w:val="24"/>
        </w:rPr>
        <w:t>按照《环境影响评价技术导则—地下水环境》（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610-2016</w:t>
      </w:r>
      <w:r>
        <w:rPr>
          <w:rFonts w:ascii="宋体" w:hAnsi="宋体" w:eastAsia="宋体" w:cs="宋体"/>
          <w:spacing w:val="2"/>
          <w:sz w:val="24"/>
          <w:szCs w:val="24"/>
        </w:rPr>
        <w:t>）所推荐的单项评</w:t>
      </w:r>
      <w:r>
        <w:rPr>
          <w:rFonts w:ascii="宋体" w:hAnsi="宋体" w:eastAsia="宋体" w:cs="宋体"/>
          <w:spacing w:val="18"/>
          <w:sz w:val="24"/>
          <w:szCs w:val="24"/>
        </w:rPr>
        <w:t xml:space="preserve"> </w:t>
      </w:r>
      <w:r>
        <w:rPr>
          <w:rFonts w:ascii="宋体" w:hAnsi="宋体" w:eastAsia="宋体" w:cs="宋体"/>
          <w:spacing w:val="-1"/>
          <w:sz w:val="24"/>
          <w:szCs w:val="24"/>
        </w:rPr>
        <w:t>价标准指数法进行地下水水质现状评价。</w:t>
      </w:r>
    </w:p>
    <w:p w14:paraId="6E9C07B1">
      <w:pPr>
        <w:spacing w:before="24" w:line="333" w:lineRule="exact"/>
        <w:ind w:left="604"/>
        <w:rPr>
          <w:rFonts w:ascii="宋体" w:hAnsi="宋体" w:eastAsia="宋体" w:cs="宋体"/>
          <w:sz w:val="24"/>
          <w:szCs w:val="24"/>
        </w:rPr>
      </w:pPr>
      <w:r>
        <w:rPr>
          <w:rFonts w:ascii="宋体" w:hAnsi="宋体" w:eastAsia="宋体" w:cs="宋体"/>
          <w:spacing w:val="-1"/>
          <w:position w:val="3"/>
          <w:sz w:val="24"/>
          <w:szCs w:val="24"/>
        </w:rPr>
        <w:t>单项水质参数</w:t>
      </w:r>
      <w:r>
        <w:rPr>
          <w:rFonts w:ascii="宋体" w:hAnsi="宋体" w:eastAsia="宋体" w:cs="宋体"/>
          <w:spacing w:val="-47"/>
          <w:position w:val="3"/>
          <w:sz w:val="24"/>
          <w:szCs w:val="24"/>
        </w:rPr>
        <w:t xml:space="preserve"> </w:t>
      </w:r>
      <w:r>
        <w:rPr>
          <w:rFonts w:ascii="Times New Roman" w:hAnsi="Times New Roman" w:eastAsia="Times New Roman" w:cs="Times New Roman"/>
          <w:spacing w:val="-1"/>
          <w:position w:val="3"/>
          <w:sz w:val="24"/>
          <w:szCs w:val="24"/>
        </w:rPr>
        <w:t xml:space="preserve">i </w:t>
      </w:r>
      <w:r>
        <w:rPr>
          <w:rFonts w:ascii="宋体" w:hAnsi="宋体" w:eastAsia="宋体" w:cs="宋体"/>
          <w:spacing w:val="-1"/>
          <w:position w:val="3"/>
          <w:sz w:val="24"/>
          <w:szCs w:val="24"/>
        </w:rPr>
        <w:t xml:space="preserve">在第 </w:t>
      </w:r>
      <w:r>
        <w:rPr>
          <w:rFonts w:ascii="Times New Roman" w:hAnsi="Times New Roman" w:eastAsia="Times New Roman" w:cs="Times New Roman"/>
          <w:spacing w:val="-1"/>
          <w:position w:val="3"/>
          <w:sz w:val="24"/>
          <w:szCs w:val="24"/>
        </w:rPr>
        <w:t xml:space="preserve">j  </w:t>
      </w:r>
      <w:r>
        <w:rPr>
          <w:rFonts w:ascii="宋体" w:hAnsi="宋体" w:eastAsia="宋体" w:cs="宋体"/>
          <w:spacing w:val="-1"/>
          <w:position w:val="3"/>
          <w:sz w:val="24"/>
          <w:szCs w:val="24"/>
        </w:rPr>
        <w:t>点的标准指数计算公式如下：</w:t>
      </w:r>
    </w:p>
    <w:p w14:paraId="2DBFBDFF">
      <w:pPr>
        <w:spacing w:before="156" w:line="315" w:lineRule="exact"/>
        <w:ind w:left="3883"/>
        <w:outlineLvl w:val="0"/>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Pi,j=Ci,j/Csi</w:t>
      </w:r>
    </w:p>
    <w:p w14:paraId="4813B44C">
      <w:pPr>
        <w:spacing w:before="173" w:line="332" w:lineRule="exact"/>
        <w:ind w:left="607"/>
        <w:rPr>
          <w:rFonts w:ascii="宋体" w:hAnsi="宋体" w:eastAsia="宋体" w:cs="宋体"/>
          <w:sz w:val="24"/>
          <w:szCs w:val="24"/>
        </w:rPr>
      </w:pPr>
      <w:r>
        <w:rPr>
          <w:rFonts w:ascii="宋体" w:hAnsi="宋体" w:eastAsia="宋体" w:cs="宋体"/>
          <w:spacing w:val="-1"/>
          <w:position w:val="3"/>
          <w:sz w:val="24"/>
          <w:szCs w:val="24"/>
        </w:rPr>
        <w:t>式中：</w:t>
      </w:r>
      <w:r>
        <w:rPr>
          <w:rFonts w:ascii="Times New Roman" w:hAnsi="Times New Roman" w:eastAsia="Times New Roman" w:cs="Times New Roman"/>
          <w:spacing w:val="-1"/>
          <w:position w:val="3"/>
          <w:sz w:val="24"/>
          <w:szCs w:val="24"/>
        </w:rPr>
        <w:t>Pi,j</w:t>
      </w:r>
      <w:r>
        <w:rPr>
          <w:rFonts w:ascii="宋体" w:hAnsi="宋体" w:eastAsia="宋体" w:cs="宋体"/>
          <w:spacing w:val="-1"/>
          <w:position w:val="3"/>
          <w:sz w:val="24"/>
          <w:szCs w:val="24"/>
        </w:rPr>
        <w:t>：单项水质评价因子</w:t>
      </w:r>
      <w:r>
        <w:rPr>
          <w:rFonts w:ascii="宋体" w:hAnsi="宋体" w:eastAsia="宋体" w:cs="宋体"/>
          <w:spacing w:val="-44"/>
          <w:position w:val="3"/>
          <w:sz w:val="24"/>
          <w:szCs w:val="24"/>
        </w:rPr>
        <w:t xml:space="preserve"> </w:t>
      </w:r>
      <w:r>
        <w:rPr>
          <w:rFonts w:ascii="Times New Roman" w:hAnsi="Times New Roman" w:eastAsia="Times New Roman" w:cs="Times New Roman"/>
          <w:spacing w:val="-1"/>
          <w:position w:val="3"/>
          <w:sz w:val="24"/>
          <w:szCs w:val="24"/>
        </w:rPr>
        <w:t xml:space="preserve">i </w:t>
      </w:r>
      <w:r>
        <w:rPr>
          <w:rFonts w:ascii="宋体" w:hAnsi="宋体" w:eastAsia="宋体" w:cs="宋体"/>
          <w:spacing w:val="-1"/>
          <w:position w:val="3"/>
          <w:sz w:val="24"/>
          <w:szCs w:val="24"/>
        </w:rPr>
        <w:t xml:space="preserve">在第 </w:t>
      </w:r>
      <w:r>
        <w:rPr>
          <w:rFonts w:ascii="Times New Roman" w:hAnsi="Times New Roman" w:eastAsia="Times New Roman" w:cs="Times New Roman"/>
          <w:spacing w:val="-1"/>
          <w:position w:val="3"/>
          <w:sz w:val="24"/>
          <w:szCs w:val="24"/>
        </w:rPr>
        <w:t xml:space="preserve">j  </w:t>
      </w:r>
      <w:r>
        <w:rPr>
          <w:rFonts w:ascii="宋体" w:hAnsi="宋体" w:eastAsia="宋体" w:cs="宋体"/>
          <w:spacing w:val="-1"/>
          <w:position w:val="3"/>
          <w:sz w:val="24"/>
          <w:szCs w:val="24"/>
        </w:rPr>
        <w:t>取样点的标准指数；</w:t>
      </w:r>
    </w:p>
    <w:p w14:paraId="3AF15B10">
      <w:pPr>
        <w:spacing w:before="157" w:line="333" w:lineRule="exact"/>
        <w:ind w:left="602"/>
        <w:rPr>
          <w:rFonts w:ascii="Times New Roman" w:hAnsi="Times New Roman" w:eastAsia="Times New Roman" w:cs="Times New Roman"/>
          <w:sz w:val="24"/>
          <w:szCs w:val="24"/>
        </w:rPr>
      </w:pPr>
      <w:r>
        <w:rPr>
          <w:rFonts w:ascii="Times New Roman" w:hAnsi="Times New Roman" w:eastAsia="Times New Roman" w:cs="Times New Roman"/>
          <w:spacing w:val="-1"/>
          <w:position w:val="3"/>
          <w:sz w:val="24"/>
          <w:szCs w:val="24"/>
        </w:rPr>
        <w:t>Cij</w:t>
      </w:r>
      <w:r>
        <w:rPr>
          <w:rFonts w:ascii="宋体" w:hAnsi="宋体" w:eastAsia="宋体" w:cs="宋体"/>
          <w:spacing w:val="-1"/>
          <w:position w:val="3"/>
          <w:sz w:val="24"/>
          <w:szCs w:val="24"/>
        </w:rPr>
        <w:t>：水质评价因子</w:t>
      </w:r>
      <w:r>
        <w:rPr>
          <w:rFonts w:ascii="宋体" w:hAnsi="宋体" w:eastAsia="宋体" w:cs="宋体"/>
          <w:spacing w:val="-44"/>
          <w:position w:val="3"/>
          <w:sz w:val="24"/>
          <w:szCs w:val="24"/>
        </w:rPr>
        <w:t xml:space="preserve"> </w:t>
      </w:r>
      <w:r>
        <w:rPr>
          <w:rFonts w:ascii="Times New Roman" w:hAnsi="Times New Roman" w:eastAsia="Times New Roman" w:cs="Times New Roman"/>
          <w:spacing w:val="-1"/>
          <w:position w:val="3"/>
          <w:sz w:val="24"/>
          <w:szCs w:val="24"/>
        </w:rPr>
        <w:t xml:space="preserve">i </w:t>
      </w:r>
      <w:r>
        <w:rPr>
          <w:rFonts w:ascii="宋体" w:hAnsi="宋体" w:eastAsia="宋体" w:cs="宋体"/>
          <w:spacing w:val="-1"/>
          <w:position w:val="3"/>
          <w:sz w:val="24"/>
          <w:szCs w:val="24"/>
        </w:rPr>
        <w:t xml:space="preserve">在第 </w:t>
      </w:r>
      <w:r>
        <w:rPr>
          <w:rFonts w:ascii="Times New Roman" w:hAnsi="Times New Roman" w:eastAsia="Times New Roman" w:cs="Times New Roman"/>
          <w:spacing w:val="-1"/>
          <w:position w:val="3"/>
          <w:sz w:val="24"/>
          <w:szCs w:val="24"/>
        </w:rPr>
        <w:t xml:space="preserve">j  </w:t>
      </w:r>
      <w:r>
        <w:rPr>
          <w:rFonts w:ascii="宋体" w:hAnsi="宋体" w:eastAsia="宋体" w:cs="宋体"/>
          <w:spacing w:val="-1"/>
          <w:position w:val="3"/>
          <w:sz w:val="24"/>
          <w:szCs w:val="24"/>
        </w:rPr>
        <w:t>取样点的浓度，</w:t>
      </w:r>
      <w:r>
        <w:rPr>
          <w:rFonts w:ascii="Times New Roman" w:hAnsi="Times New Roman" w:eastAsia="Times New Roman" w:cs="Times New Roman"/>
          <w:spacing w:val="-1"/>
          <w:position w:val="3"/>
          <w:sz w:val="24"/>
          <w:szCs w:val="24"/>
        </w:rPr>
        <w:t>mg/L;</w:t>
      </w:r>
    </w:p>
    <w:p w14:paraId="34CD593D">
      <w:pPr>
        <w:spacing w:before="157" w:line="333" w:lineRule="exact"/>
        <w:ind w:left="602"/>
        <w:rPr>
          <w:rFonts w:ascii="宋体" w:hAnsi="宋体" w:eastAsia="宋体" w:cs="宋体"/>
          <w:sz w:val="24"/>
          <w:szCs w:val="24"/>
        </w:rPr>
      </w:pPr>
      <w:r>
        <w:rPr>
          <w:rFonts w:ascii="Times New Roman" w:hAnsi="Times New Roman" w:eastAsia="Times New Roman" w:cs="Times New Roman"/>
          <w:spacing w:val="-3"/>
          <w:position w:val="3"/>
          <w:sz w:val="24"/>
          <w:szCs w:val="24"/>
        </w:rPr>
        <w:t>Csi</w:t>
      </w:r>
      <w:r>
        <w:rPr>
          <w:rFonts w:ascii="宋体" w:hAnsi="宋体" w:eastAsia="宋体" w:cs="宋体"/>
          <w:spacing w:val="-3"/>
          <w:position w:val="3"/>
          <w:sz w:val="24"/>
          <w:szCs w:val="24"/>
        </w:rPr>
        <w:t>：评价因子</w:t>
      </w:r>
      <w:r>
        <w:rPr>
          <w:rFonts w:ascii="宋体" w:hAnsi="宋体" w:eastAsia="宋体" w:cs="宋体"/>
          <w:spacing w:val="-42"/>
          <w:position w:val="3"/>
          <w:sz w:val="24"/>
          <w:szCs w:val="24"/>
        </w:rPr>
        <w:t xml:space="preserve"> </w:t>
      </w:r>
      <w:r>
        <w:rPr>
          <w:rFonts w:ascii="Times New Roman" w:hAnsi="Times New Roman" w:eastAsia="Times New Roman" w:cs="Times New Roman"/>
          <w:spacing w:val="-3"/>
          <w:position w:val="3"/>
          <w:sz w:val="24"/>
          <w:szCs w:val="24"/>
        </w:rPr>
        <w:t>i</w:t>
      </w:r>
      <w:r>
        <w:rPr>
          <w:rFonts w:ascii="Times New Roman" w:hAnsi="Times New Roman" w:eastAsia="Times New Roman" w:cs="Times New Roman"/>
          <w:spacing w:val="27"/>
          <w:w w:val="101"/>
          <w:position w:val="3"/>
          <w:sz w:val="24"/>
          <w:szCs w:val="24"/>
        </w:rPr>
        <w:t xml:space="preserve"> </w:t>
      </w:r>
      <w:r>
        <w:rPr>
          <w:rFonts w:ascii="宋体" w:hAnsi="宋体" w:eastAsia="宋体" w:cs="宋体"/>
          <w:spacing w:val="-3"/>
          <w:position w:val="3"/>
          <w:sz w:val="24"/>
          <w:szCs w:val="24"/>
        </w:rPr>
        <w:t>的评价标准，</w:t>
      </w:r>
      <w:r>
        <w:rPr>
          <w:rFonts w:ascii="Times New Roman" w:hAnsi="Times New Roman" w:eastAsia="Times New Roman" w:cs="Times New Roman"/>
          <w:spacing w:val="-3"/>
          <w:position w:val="3"/>
          <w:sz w:val="24"/>
          <w:szCs w:val="24"/>
        </w:rPr>
        <w:t>mg/L</w:t>
      </w:r>
      <w:r>
        <w:rPr>
          <w:rFonts w:ascii="宋体" w:hAnsi="宋体" w:eastAsia="宋体" w:cs="宋体"/>
          <w:spacing w:val="-3"/>
          <w:position w:val="3"/>
          <w:sz w:val="24"/>
          <w:szCs w:val="24"/>
        </w:rPr>
        <w:t>。</w:t>
      </w:r>
    </w:p>
    <w:p w14:paraId="19290B1C">
      <w:pPr>
        <w:spacing w:line="333" w:lineRule="exact"/>
        <w:rPr>
          <w:rFonts w:ascii="宋体" w:hAnsi="宋体" w:eastAsia="宋体" w:cs="宋体"/>
          <w:sz w:val="24"/>
          <w:szCs w:val="24"/>
        </w:rPr>
        <w:sectPr>
          <w:footerReference r:id="rId94" w:type="default"/>
          <w:pgSz w:w="11906" w:h="16839"/>
          <w:pgMar w:top="400" w:right="1475" w:bottom="1485" w:left="1475" w:header="0" w:footer="1249" w:gutter="0"/>
          <w:cols w:space="720" w:num="1"/>
        </w:sectPr>
      </w:pPr>
    </w:p>
    <w:p w14:paraId="033EAC82">
      <w:pPr>
        <w:pStyle w:val="2"/>
        <w:spacing w:line="264" w:lineRule="auto"/>
      </w:pPr>
    </w:p>
    <w:p w14:paraId="40C015B8">
      <w:pPr>
        <w:pStyle w:val="2"/>
        <w:spacing w:line="264" w:lineRule="auto"/>
      </w:pPr>
    </w:p>
    <w:p w14:paraId="06B6902C">
      <w:pPr>
        <w:pStyle w:val="2"/>
        <w:spacing w:line="264" w:lineRule="auto"/>
      </w:pPr>
    </w:p>
    <w:p w14:paraId="3A0383A8">
      <w:pPr>
        <w:pStyle w:val="2"/>
        <w:spacing w:line="265" w:lineRule="auto"/>
      </w:pPr>
    </w:p>
    <w:p w14:paraId="1BF35C0A">
      <w:pPr>
        <w:spacing w:before="78" w:line="212" w:lineRule="auto"/>
        <w:ind w:left="593"/>
        <w:rPr>
          <w:rFonts w:ascii="宋体" w:hAnsi="宋体" w:eastAsia="宋体" w:cs="宋体"/>
          <w:sz w:val="24"/>
          <w:szCs w:val="24"/>
        </w:rPr>
      </w:pPr>
      <w:r>
        <w:rPr>
          <w:rFonts w:ascii="Times New Roman" w:hAnsi="Times New Roman" w:eastAsia="Times New Roman" w:cs="Times New Roman"/>
          <w:spacing w:val="-1"/>
          <w:sz w:val="24"/>
          <w:szCs w:val="24"/>
        </w:rPr>
        <w:t xml:space="preserve">pH  </w:t>
      </w:r>
      <w:r>
        <w:rPr>
          <w:rFonts w:ascii="宋体" w:hAnsi="宋体" w:eastAsia="宋体" w:cs="宋体"/>
          <w:spacing w:val="-1"/>
          <w:sz w:val="24"/>
          <w:szCs w:val="24"/>
        </w:rPr>
        <w:t>值单因子指数按下式计算：</w:t>
      </w:r>
    </w:p>
    <w:p w14:paraId="43217BC9">
      <w:pPr>
        <w:spacing w:before="179" w:line="361" w:lineRule="auto"/>
        <w:ind w:left="2200" w:right="2157" w:hanging="52"/>
        <w:rPr>
          <w:rFonts w:ascii="宋体" w:hAnsi="宋体" w:eastAsia="宋体" w:cs="宋体"/>
          <w:sz w:val="24"/>
          <w:szCs w:val="24"/>
        </w:rPr>
      </w:pPr>
      <w:r>
        <w:rPr>
          <w:rFonts w:ascii="Times New Roman" w:hAnsi="Times New Roman" w:eastAsia="Times New Roman" w:cs="Times New Roman"/>
          <w:spacing w:val="-1"/>
          <w:sz w:val="24"/>
          <w:szCs w:val="24"/>
        </w:rPr>
        <w:t xml:space="preserve">PpH,j=(7.0- pHj)/ (7.0- pHsd)  </w:t>
      </w:r>
      <w:r>
        <w:rPr>
          <w:rFonts w:ascii="宋体" w:hAnsi="宋体" w:eastAsia="宋体" w:cs="宋体"/>
          <w:spacing w:val="-1"/>
          <w:sz w:val="24"/>
          <w:szCs w:val="24"/>
        </w:rPr>
        <w:t xml:space="preserve">（当 </w:t>
      </w:r>
      <w:r>
        <w:rPr>
          <w:rFonts w:ascii="Times New Roman" w:hAnsi="Times New Roman" w:eastAsia="Times New Roman" w:cs="Times New Roman"/>
          <w:spacing w:val="-1"/>
          <w:sz w:val="24"/>
          <w:szCs w:val="24"/>
        </w:rPr>
        <w:t>pH</w:t>
      </w:r>
      <w:r>
        <w:rPr>
          <w:rFonts w:ascii="宋体" w:hAnsi="宋体" w:eastAsia="宋体" w:cs="宋体"/>
          <w:spacing w:val="-1"/>
          <w:sz w:val="24"/>
          <w:szCs w:val="24"/>
        </w:rPr>
        <w:t>≤</w:t>
      </w:r>
      <w:r>
        <w:rPr>
          <w:rFonts w:ascii="Times New Roman" w:hAnsi="Times New Roman" w:eastAsia="Times New Roman" w:cs="Times New Roman"/>
          <w:spacing w:val="-1"/>
          <w:sz w:val="24"/>
          <w:szCs w:val="24"/>
        </w:rPr>
        <w:t>7.0</w:t>
      </w:r>
      <w:r>
        <w:rPr>
          <w:rFonts w:ascii="宋体" w:hAnsi="宋体" w:eastAsia="宋体" w:cs="宋体"/>
          <w:spacing w:val="-1"/>
          <w:sz w:val="24"/>
          <w:szCs w:val="24"/>
        </w:rPr>
        <w:t>）</w:t>
      </w:r>
      <w:r>
        <w:rPr>
          <w:rFonts w:ascii="宋体" w:hAnsi="宋体" w:eastAsia="宋体" w:cs="宋体"/>
          <w:spacing w:val="15"/>
          <w:sz w:val="24"/>
          <w:szCs w:val="24"/>
        </w:rPr>
        <w:t xml:space="preserve"> </w:t>
      </w:r>
      <w:r>
        <w:rPr>
          <w:rFonts w:ascii="Times New Roman" w:hAnsi="Times New Roman" w:eastAsia="Times New Roman" w:cs="Times New Roman"/>
          <w:sz w:val="24"/>
          <w:szCs w:val="24"/>
        </w:rPr>
        <w:t xml:space="preserve">PpH,j=( pHj-7.0)/ (pHsu -7.0)  </w:t>
      </w:r>
      <w:r>
        <w:rPr>
          <w:rFonts w:ascii="宋体" w:hAnsi="宋体" w:eastAsia="宋体" w:cs="宋体"/>
          <w:sz w:val="24"/>
          <w:szCs w:val="24"/>
        </w:rPr>
        <w:t xml:space="preserve">（当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H&gt;7.0</w:t>
      </w:r>
      <w:r>
        <w:rPr>
          <w:rFonts w:ascii="宋体" w:hAnsi="宋体" w:eastAsia="宋体" w:cs="宋体"/>
          <w:spacing w:val="-1"/>
          <w:sz w:val="24"/>
          <w:szCs w:val="24"/>
        </w:rPr>
        <w:t>）</w:t>
      </w:r>
    </w:p>
    <w:p w14:paraId="375F1439">
      <w:pPr>
        <w:spacing w:before="36" w:line="333" w:lineRule="exact"/>
        <w:ind w:left="607"/>
        <w:rPr>
          <w:rFonts w:ascii="宋体" w:hAnsi="宋体" w:eastAsia="宋体" w:cs="宋体"/>
          <w:sz w:val="24"/>
          <w:szCs w:val="24"/>
        </w:rPr>
      </w:pPr>
      <w:r>
        <w:rPr>
          <w:rFonts w:ascii="宋体" w:hAnsi="宋体" w:eastAsia="宋体" w:cs="宋体"/>
          <w:spacing w:val="-2"/>
          <w:position w:val="3"/>
          <w:sz w:val="24"/>
          <w:szCs w:val="24"/>
        </w:rPr>
        <w:t>式中：</w:t>
      </w:r>
      <w:r>
        <w:rPr>
          <w:rFonts w:ascii="Times New Roman" w:hAnsi="Times New Roman" w:eastAsia="Times New Roman" w:cs="Times New Roman"/>
          <w:spacing w:val="-2"/>
          <w:position w:val="3"/>
          <w:sz w:val="24"/>
          <w:szCs w:val="24"/>
        </w:rPr>
        <w:t>pHj</w:t>
      </w:r>
      <w:r>
        <w:rPr>
          <w:rFonts w:ascii="宋体" w:hAnsi="宋体" w:eastAsia="宋体" w:cs="宋体"/>
          <w:spacing w:val="-2"/>
          <w:position w:val="3"/>
          <w:sz w:val="24"/>
          <w:szCs w:val="24"/>
        </w:rPr>
        <w:t>：监测值；</w:t>
      </w:r>
    </w:p>
    <w:p w14:paraId="7A9DDDDE">
      <w:pPr>
        <w:spacing w:before="157" w:line="333" w:lineRule="exact"/>
        <w:ind w:left="593"/>
        <w:rPr>
          <w:rFonts w:ascii="宋体" w:hAnsi="宋体" w:eastAsia="宋体" w:cs="宋体"/>
          <w:sz w:val="24"/>
          <w:szCs w:val="24"/>
        </w:rPr>
      </w:pPr>
      <w:r>
        <w:rPr>
          <w:rFonts w:ascii="Times New Roman" w:hAnsi="Times New Roman" w:eastAsia="Times New Roman" w:cs="Times New Roman"/>
          <w:spacing w:val="-2"/>
          <w:position w:val="3"/>
          <w:sz w:val="24"/>
          <w:szCs w:val="24"/>
        </w:rPr>
        <w:t>pHsd</w:t>
      </w:r>
      <w:r>
        <w:rPr>
          <w:rFonts w:ascii="宋体" w:hAnsi="宋体" w:eastAsia="宋体" w:cs="宋体"/>
          <w:spacing w:val="-2"/>
          <w:position w:val="3"/>
          <w:sz w:val="24"/>
          <w:szCs w:val="24"/>
        </w:rPr>
        <w:t xml:space="preserve">：水质标准中规定的 </w:t>
      </w:r>
      <w:r>
        <w:rPr>
          <w:rFonts w:ascii="Times New Roman" w:hAnsi="Times New Roman" w:eastAsia="Times New Roman" w:cs="Times New Roman"/>
          <w:spacing w:val="-2"/>
          <w:position w:val="3"/>
          <w:sz w:val="24"/>
          <w:szCs w:val="24"/>
        </w:rPr>
        <w:t>pH</w:t>
      </w:r>
      <w:r>
        <w:rPr>
          <w:rFonts w:ascii="Times New Roman" w:hAnsi="Times New Roman" w:eastAsia="Times New Roman" w:cs="Times New Roman"/>
          <w:spacing w:val="20"/>
          <w:position w:val="3"/>
          <w:sz w:val="24"/>
          <w:szCs w:val="24"/>
        </w:rPr>
        <w:t xml:space="preserve">  </w:t>
      </w:r>
      <w:r>
        <w:rPr>
          <w:rFonts w:ascii="宋体" w:hAnsi="宋体" w:eastAsia="宋体" w:cs="宋体"/>
          <w:spacing w:val="-2"/>
          <w:position w:val="3"/>
          <w:sz w:val="24"/>
          <w:szCs w:val="24"/>
        </w:rPr>
        <w:t>的下限值；</w:t>
      </w:r>
    </w:p>
    <w:p w14:paraId="15AA64C7">
      <w:pPr>
        <w:spacing w:before="192" w:line="212" w:lineRule="auto"/>
        <w:ind w:left="593"/>
        <w:rPr>
          <w:rFonts w:ascii="宋体" w:hAnsi="宋体" w:eastAsia="宋体" w:cs="宋体"/>
          <w:sz w:val="24"/>
          <w:szCs w:val="24"/>
        </w:rPr>
      </w:pPr>
      <w:r>
        <w:rPr>
          <w:rFonts w:ascii="Times New Roman" w:hAnsi="Times New Roman" w:eastAsia="Times New Roman" w:cs="Times New Roman"/>
          <w:spacing w:val="-2"/>
          <w:sz w:val="24"/>
          <w:szCs w:val="24"/>
        </w:rPr>
        <w:t>pHsu</w:t>
      </w:r>
      <w:r>
        <w:rPr>
          <w:rFonts w:ascii="宋体" w:hAnsi="宋体" w:eastAsia="宋体" w:cs="宋体"/>
          <w:spacing w:val="-2"/>
          <w:sz w:val="24"/>
          <w:szCs w:val="24"/>
        </w:rPr>
        <w:t xml:space="preserve">：水质标准中规定的 </w:t>
      </w:r>
      <w:r>
        <w:rPr>
          <w:rFonts w:ascii="Times New Roman" w:hAnsi="Times New Roman" w:eastAsia="Times New Roman" w:cs="Times New Roman"/>
          <w:spacing w:val="-2"/>
          <w:sz w:val="24"/>
          <w:szCs w:val="24"/>
        </w:rPr>
        <w:t>pH</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的上限值。</w:t>
      </w:r>
    </w:p>
    <w:p w14:paraId="0CAE1C0E">
      <w:pPr>
        <w:spacing w:before="176" w:line="368" w:lineRule="auto"/>
        <w:ind w:left="122" w:right="113" w:firstLine="482"/>
        <w:rPr>
          <w:rFonts w:ascii="宋体" w:hAnsi="宋体" w:eastAsia="宋体" w:cs="宋体"/>
          <w:sz w:val="24"/>
          <w:szCs w:val="24"/>
        </w:rPr>
      </w:pPr>
      <w:r>
        <w:rPr>
          <w:rFonts w:ascii="宋体" w:hAnsi="宋体" w:eastAsia="宋体" w:cs="宋体"/>
          <w:sz w:val="24"/>
          <w:szCs w:val="24"/>
        </w:rPr>
        <w:t>水质参数的标准指数</w:t>
      </w:r>
      <w:r>
        <w:rPr>
          <w:rFonts w:ascii="Times New Roman" w:hAnsi="Times New Roman" w:eastAsia="Times New Roman" w:cs="Times New Roman"/>
          <w:sz w:val="24"/>
          <w:szCs w:val="24"/>
        </w:rPr>
        <w:t>&gt;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，表明该水质参数超过了规定的水质标准限值。已不能 满足水质功能要求。水质参数的指标指数越</w:t>
      </w:r>
      <w:r>
        <w:rPr>
          <w:rFonts w:ascii="宋体" w:hAnsi="宋体" w:eastAsia="宋体" w:cs="宋体"/>
          <w:spacing w:val="-1"/>
          <w:sz w:val="24"/>
          <w:szCs w:val="24"/>
        </w:rPr>
        <w:t>大，则水质超标越严重。</w:t>
      </w:r>
    </w:p>
    <w:p w14:paraId="40F663BF">
      <w:pPr>
        <w:pStyle w:val="2"/>
        <w:spacing w:line="274" w:lineRule="auto"/>
      </w:pPr>
    </w:p>
    <w:p w14:paraId="6254C35C">
      <w:pPr>
        <w:spacing w:before="79" w:line="219" w:lineRule="auto"/>
        <w:ind w:left="119"/>
        <w:outlineLvl w:val="1"/>
        <w:rPr>
          <w:rFonts w:ascii="宋体" w:hAnsi="宋体" w:eastAsia="宋体" w:cs="宋体"/>
          <w:sz w:val="24"/>
          <w:szCs w:val="24"/>
        </w:rPr>
      </w:pPr>
      <w:r>
        <w:rPr>
          <w:rFonts w:ascii="Times New Roman" w:hAnsi="Times New Roman" w:eastAsia="Times New Roman" w:cs="Times New Roman"/>
          <w:b/>
          <w:bCs/>
          <w:spacing w:val="-2"/>
          <w:sz w:val="24"/>
          <w:szCs w:val="24"/>
        </w:rPr>
        <w:t>4.2.5</w:t>
      </w:r>
      <w:r>
        <w:rPr>
          <w:rFonts w:ascii="宋体" w:hAnsi="宋体" w:eastAsia="宋体" w:cs="宋体"/>
          <w:b/>
          <w:bCs/>
          <w:spacing w:val="-2"/>
          <w:sz w:val="24"/>
          <w:szCs w:val="24"/>
        </w:rPr>
        <w:t>评价结果</w:t>
      </w:r>
    </w:p>
    <w:p w14:paraId="309DEDEE">
      <w:pPr>
        <w:pStyle w:val="2"/>
        <w:spacing w:line="282" w:lineRule="auto"/>
      </w:pPr>
    </w:p>
    <w:p w14:paraId="49612018">
      <w:pPr>
        <w:spacing w:before="78" w:line="382" w:lineRule="auto"/>
        <w:ind w:left="125" w:right="113" w:firstLine="479"/>
        <w:rPr>
          <w:rFonts w:ascii="宋体" w:hAnsi="宋体" w:eastAsia="宋体" w:cs="宋体"/>
          <w:sz w:val="24"/>
          <w:szCs w:val="24"/>
        </w:rPr>
      </w:pPr>
      <w:r>
        <w:rPr>
          <w:rFonts w:ascii="宋体" w:hAnsi="宋体" w:eastAsia="宋体" w:cs="宋体"/>
          <w:spacing w:val="2"/>
          <w:sz w:val="24"/>
          <w:szCs w:val="24"/>
        </w:rPr>
        <w:t>经计算，可得到评价区域地下水各个监测点监测指标的标准指数值，具体结果</w:t>
      </w:r>
      <w:r>
        <w:rPr>
          <w:rFonts w:ascii="宋体" w:hAnsi="宋体" w:eastAsia="宋体" w:cs="宋体"/>
          <w:spacing w:val="8"/>
          <w:sz w:val="24"/>
          <w:szCs w:val="24"/>
        </w:rPr>
        <w:t xml:space="preserve"> </w:t>
      </w:r>
      <w:r>
        <w:rPr>
          <w:rFonts w:ascii="宋体" w:hAnsi="宋体" w:eastAsia="宋体" w:cs="宋体"/>
          <w:spacing w:val="-2"/>
          <w:sz w:val="24"/>
          <w:szCs w:val="24"/>
        </w:rPr>
        <w:t xml:space="preserve">详见 </w:t>
      </w:r>
      <w:r>
        <w:rPr>
          <w:rFonts w:ascii="Times New Roman" w:hAnsi="Times New Roman" w:eastAsia="Times New Roman" w:cs="Times New Roman"/>
          <w:spacing w:val="-2"/>
          <w:sz w:val="24"/>
          <w:szCs w:val="24"/>
        </w:rPr>
        <w:t>4.2-3</w:t>
      </w:r>
      <w:r>
        <w:rPr>
          <w:rFonts w:ascii="宋体" w:hAnsi="宋体" w:eastAsia="宋体" w:cs="宋体"/>
          <w:spacing w:val="-2"/>
          <w:sz w:val="24"/>
          <w:szCs w:val="24"/>
        </w:rPr>
        <w:t>。</w:t>
      </w:r>
    </w:p>
    <w:p w14:paraId="762CAC7F">
      <w:pPr>
        <w:spacing w:before="1" w:line="228" w:lineRule="auto"/>
        <w:ind w:left="248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6"/>
          <w:sz w:val="20"/>
          <w:szCs w:val="20"/>
        </w:rPr>
        <w:t xml:space="preserve">4.2-3  </w:t>
      </w:r>
      <w:r>
        <w:rPr>
          <w:rFonts w:ascii="宋体" w:hAnsi="宋体" w:eastAsia="宋体" w:cs="宋体"/>
          <w:b/>
          <w:bCs/>
          <w:spacing w:val="6"/>
          <w:sz w:val="20"/>
          <w:szCs w:val="20"/>
        </w:rPr>
        <w:t>地下水水值监测指标的标准指数值</w:t>
      </w:r>
    </w:p>
    <w:p w14:paraId="18D6721B">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3"/>
        <w:gridCol w:w="1249"/>
        <w:gridCol w:w="962"/>
        <w:gridCol w:w="777"/>
        <w:gridCol w:w="798"/>
        <w:gridCol w:w="801"/>
        <w:gridCol w:w="1207"/>
        <w:gridCol w:w="1189"/>
        <w:gridCol w:w="1094"/>
      </w:tblGrid>
      <w:tr w14:paraId="0E5F0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873" w:type="dxa"/>
            <w:vAlign w:val="top"/>
          </w:tcPr>
          <w:p w14:paraId="5D4F705C">
            <w:pPr>
              <w:rPr>
                <w:rFonts w:ascii="Arial"/>
                <w:sz w:val="21"/>
              </w:rPr>
            </w:pPr>
          </w:p>
          <w:p w14:paraId="5DD8CE05">
            <w:pPr>
              <w:pStyle w:val="6"/>
              <w:spacing w:before="65" w:line="230" w:lineRule="auto"/>
              <w:ind w:left="127"/>
            </w:pPr>
            <w:r>
              <w:rPr>
                <w:b/>
                <w:bCs/>
                <w:spacing w:val="5"/>
              </w:rPr>
              <w:t>监测点</w:t>
            </w:r>
          </w:p>
          <w:p w14:paraId="5A1A6A76">
            <w:pPr>
              <w:pStyle w:val="6"/>
              <w:spacing w:before="22" w:line="230" w:lineRule="auto"/>
              <w:ind w:left="337"/>
            </w:pPr>
            <w:r>
              <w:rPr>
                <w:b/>
                <w:bCs/>
                <w:spacing w:val="-2"/>
              </w:rPr>
              <w:t>位</w:t>
            </w:r>
          </w:p>
        </w:tc>
        <w:tc>
          <w:tcPr>
            <w:tcW w:w="1249" w:type="dxa"/>
            <w:vAlign w:val="top"/>
          </w:tcPr>
          <w:p w14:paraId="578D1A22">
            <w:pPr>
              <w:spacing w:line="377" w:lineRule="auto"/>
              <w:rPr>
                <w:rFonts w:ascii="Arial"/>
                <w:sz w:val="21"/>
              </w:rPr>
            </w:pPr>
          </w:p>
          <w:p w14:paraId="2A5C715D">
            <w:pPr>
              <w:pStyle w:val="6"/>
              <w:spacing w:before="65" w:line="229" w:lineRule="auto"/>
              <w:ind w:left="423"/>
            </w:pPr>
            <w:r>
              <w:rPr>
                <w:b/>
                <w:bCs/>
                <w:spacing w:val="2"/>
              </w:rPr>
              <w:t>项目</w:t>
            </w:r>
          </w:p>
        </w:tc>
        <w:tc>
          <w:tcPr>
            <w:tcW w:w="962" w:type="dxa"/>
            <w:vAlign w:val="top"/>
          </w:tcPr>
          <w:p w14:paraId="2A66CE75">
            <w:pPr>
              <w:spacing w:line="422" w:lineRule="auto"/>
              <w:rPr>
                <w:rFonts w:ascii="Arial"/>
                <w:sz w:val="21"/>
              </w:rPr>
            </w:pPr>
          </w:p>
          <w:p w14:paraId="735ED429">
            <w:pPr>
              <w:spacing w:before="58" w:line="194" w:lineRule="auto"/>
              <w:ind w:left="342"/>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777" w:type="dxa"/>
            <w:vAlign w:val="top"/>
          </w:tcPr>
          <w:p w14:paraId="7F75CCE4">
            <w:pPr>
              <w:spacing w:line="376" w:lineRule="auto"/>
              <w:rPr>
                <w:rFonts w:ascii="Arial"/>
                <w:sz w:val="21"/>
              </w:rPr>
            </w:pPr>
          </w:p>
          <w:p w14:paraId="5896970E">
            <w:pPr>
              <w:pStyle w:val="6"/>
              <w:spacing w:before="65" w:line="228" w:lineRule="auto"/>
              <w:ind w:left="183"/>
            </w:pPr>
            <w:r>
              <w:rPr>
                <w:b/>
                <w:bCs/>
                <w:spacing w:val="3"/>
              </w:rPr>
              <w:t>氨氮</w:t>
            </w:r>
          </w:p>
        </w:tc>
        <w:tc>
          <w:tcPr>
            <w:tcW w:w="798" w:type="dxa"/>
            <w:vAlign w:val="top"/>
          </w:tcPr>
          <w:p w14:paraId="40FD003B">
            <w:pPr>
              <w:rPr>
                <w:rFonts w:ascii="Arial"/>
                <w:sz w:val="21"/>
              </w:rPr>
            </w:pPr>
          </w:p>
          <w:p w14:paraId="68CA4025">
            <w:pPr>
              <w:pStyle w:val="6"/>
              <w:spacing w:before="65" w:line="255" w:lineRule="auto"/>
              <w:ind w:left="300" w:right="186" w:hanging="105"/>
            </w:pPr>
            <w:r>
              <w:rPr>
                <w:b/>
                <w:bCs/>
                <w:spacing w:val="3"/>
              </w:rPr>
              <w:t>硝酸</w:t>
            </w:r>
            <w:r>
              <w:t xml:space="preserve"> </w:t>
            </w:r>
            <w:r>
              <w:rPr>
                <w:b/>
                <w:bCs/>
                <w:spacing w:val="-3"/>
              </w:rPr>
              <w:t>盐</w:t>
            </w:r>
          </w:p>
        </w:tc>
        <w:tc>
          <w:tcPr>
            <w:tcW w:w="801" w:type="dxa"/>
            <w:vAlign w:val="top"/>
          </w:tcPr>
          <w:p w14:paraId="5A7015D9">
            <w:pPr>
              <w:spacing w:line="241" w:lineRule="auto"/>
              <w:rPr>
                <w:rFonts w:ascii="Arial"/>
                <w:sz w:val="21"/>
              </w:rPr>
            </w:pPr>
          </w:p>
          <w:p w14:paraId="6A633FD4">
            <w:pPr>
              <w:pStyle w:val="6"/>
              <w:spacing w:before="65" w:line="252" w:lineRule="auto"/>
              <w:ind w:left="299" w:right="188" w:hanging="102"/>
            </w:pPr>
            <w:r>
              <w:rPr>
                <w:b/>
                <w:bCs/>
                <w:spacing w:val="2"/>
              </w:rPr>
              <w:t>总硬</w:t>
            </w:r>
            <w:r>
              <w:t xml:space="preserve"> </w:t>
            </w:r>
            <w:r>
              <w:rPr>
                <w:b/>
                <w:bCs/>
                <w:spacing w:val="-1"/>
              </w:rPr>
              <w:t>度</w:t>
            </w:r>
          </w:p>
        </w:tc>
        <w:tc>
          <w:tcPr>
            <w:tcW w:w="1207" w:type="dxa"/>
            <w:vAlign w:val="top"/>
          </w:tcPr>
          <w:p w14:paraId="623F2BD4">
            <w:pPr>
              <w:spacing w:line="241" w:lineRule="auto"/>
              <w:rPr>
                <w:rFonts w:ascii="Arial"/>
                <w:sz w:val="21"/>
              </w:rPr>
            </w:pPr>
          </w:p>
          <w:p w14:paraId="265074B9">
            <w:pPr>
              <w:pStyle w:val="6"/>
              <w:spacing w:before="65" w:line="229" w:lineRule="auto"/>
              <w:ind w:left="191"/>
            </w:pPr>
            <w:r>
              <w:rPr>
                <w:b/>
                <w:bCs/>
                <w:spacing w:val="5"/>
              </w:rPr>
              <w:t>溶解性总</w:t>
            </w:r>
          </w:p>
          <w:p w14:paraId="0A725C43">
            <w:pPr>
              <w:pStyle w:val="6"/>
              <w:spacing w:before="23" w:line="229" w:lineRule="auto"/>
              <w:ind w:left="417"/>
            </w:pPr>
            <w:r>
              <w:rPr>
                <w:b/>
                <w:bCs/>
                <w:spacing w:val="-6"/>
              </w:rPr>
              <w:t>固体</w:t>
            </w:r>
          </w:p>
        </w:tc>
        <w:tc>
          <w:tcPr>
            <w:tcW w:w="1189" w:type="dxa"/>
            <w:vAlign w:val="top"/>
          </w:tcPr>
          <w:p w14:paraId="51EA1A22">
            <w:pPr>
              <w:pStyle w:val="6"/>
              <w:spacing w:before="36" w:line="251" w:lineRule="auto"/>
              <w:ind w:left="146" w:right="130" w:firstLine="141"/>
              <w:rPr>
                <w:rFonts w:ascii="Times New Roman" w:hAnsi="Times New Roman" w:eastAsia="Times New Roman" w:cs="Times New Roman"/>
                <w:sz w:val="13"/>
                <w:szCs w:val="13"/>
              </w:rPr>
            </w:pPr>
            <w:r>
              <w:rPr>
                <w:b/>
                <w:bCs/>
                <w:spacing w:val="5"/>
              </w:rPr>
              <w:t>耗氧量</w:t>
            </w:r>
            <w:r>
              <w:t xml:space="preserve">  </w:t>
            </w:r>
            <w:r>
              <w:rPr>
                <w:b/>
                <w:bCs/>
                <w:spacing w:val="48"/>
              </w:rPr>
              <w:t>（</w:t>
            </w:r>
            <w:r>
              <w:rPr>
                <w:rFonts w:ascii="Times New Roman" w:hAnsi="Times New Roman" w:eastAsia="Times New Roman" w:cs="Times New Roman"/>
                <w:b/>
                <w:bCs/>
              </w:rPr>
              <w:t>COD</w:t>
            </w:r>
            <w:r>
              <w:rPr>
                <w:rFonts w:ascii="Times New Roman" w:hAnsi="Times New Roman" w:eastAsia="Times New Roman" w:cs="Times New Roman"/>
                <w:b/>
                <w:bCs/>
                <w:position w:val="-1"/>
                <w:sz w:val="13"/>
                <w:szCs w:val="13"/>
              </w:rPr>
              <w:t xml:space="preserve">Mn  </w:t>
            </w:r>
            <w:r>
              <w:rPr>
                <w:b/>
                <w:bCs/>
                <w:spacing w:val="3"/>
              </w:rPr>
              <w:t>法，以</w:t>
            </w:r>
            <w:r>
              <w:rPr>
                <w:spacing w:val="-37"/>
              </w:rPr>
              <w:t xml:space="preserve"> </w:t>
            </w:r>
            <w:r>
              <w:rPr>
                <w:rFonts w:ascii="Times New Roman" w:hAnsi="Times New Roman" w:eastAsia="Times New Roman" w:cs="Times New Roman"/>
                <w:b/>
                <w:bCs/>
                <w:spacing w:val="3"/>
              </w:rPr>
              <w:t>O</w:t>
            </w:r>
            <w:r>
              <w:rPr>
                <w:rFonts w:ascii="Times New Roman" w:hAnsi="Times New Roman" w:eastAsia="Times New Roman" w:cs="Times New Roman"/>
                <w:b/>
                <w:bCs/>
                <w:spacing w:val="3"/>
                <w:position w:val="-1"/>
                <w:sz w:val="13"/>
                <w:szCs w:val="13"/>
              </w:rPr>
              <w:t>2</w:t>
            </w:r>
          </w:p>
          <w:p w14:paraId="041B860D">
            <w:pPr>
              <w:pStyle w:val="6"/>
              <w:spacing w:line="217" w:lineRule="auto"/>
              <w:ind w:left="392"/>
            </w:pPr>
            <w:r>
              <w:rPr>
                <w:b/>
                <w:bCs/>
                <w:spacing w:val="-2"/>
              </w:rPr>
              <w:t>计）</w:t>
            </w:r>
          </w:p>
        </w:tc>
        <w:tc>
          <w:tcPr>
            <w:tcW w:w="1094" w:type="dxa"/>
            <w:vAlign w:val="top"/>
          </w:tcPr>
          <w:p w14:paraId="76359761">
            <w:pPr>
              <w:spacing w:line="241" w:lineRule="auto"/>
              <w:rPr>
                <w:rFonts w:ascii="Arial"/>
                <w:sz w:val="21"/>
              </w:rPr>
            </w:pPr>
          </w:p>
          <w:p w14:paraId="13DC9F66">
            <w:pPr>
              <w:pStyle w:val="6"/>
              <w:spacing w:before="65" w:line="228" w:lineRule="auto"/>
              <w:ind w:left="135"/>
            </w:pPr>
            <w:r>
              <w:rPr>
                <w:b/>
                <w:bCs/>
                <w:spacing w:val="5"/>
              </w:rPr>
              <w:t>总大肠菌</w:t>
            </w:r>
          </w:p>
          <w:p w14:paraId="18948F88">
            <w:pPr>
              <w:pStyle w:val="6"/>
              <w:spacing w:before="24" w:line="228" w:lineRule="auto"/>
              <w:ind w:left="447"/>
            </w:pPr>
            <w:r>
              <w:rPr>
                <w:b/>
                <w:bCs/>
                <w:spacing w:val="-2"/>
              </w:rPr>
              <w:t>群</w:t>
            </w:r>
          </w:p>
        </w:tc>
      </w:tr>
      <w:tr w14:paraId="25B75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73" w:type="dxa"/>
            <w:vMerge w:val="restart"/>
            <w:tcBorders>
              <w:bottom w:val="nil"/>
            </w:tcBorders>
            <w:vAlign w:val="top"/>
          </w:tcPr>
          <w:p w14:paraId="58BD8EF0">
            <w:pPr>
              <w:spacing w:line="247" w:lineRule="auto"/>
              <w:rPr>
                <w:rFonts w:ascii="Arial"/>
                <w:sz w:val="21"/>
              </w:rPr>
            </w:pPr>
          </w:p>
          <w:p w14:paraId="666799BA">
            <w:pPr>
              <w:spacing w:line="248" w:lineRule="auto"/>
              <w:rPr>
                <w:rFonts w:ascii="Arial"/>
                <w:sz w:val="21"/>
              </w:rPr>
            </w:pPr>
          </w:p>
          <w:p w14:paraId="0F1C7CEC">
            <w:pPr>
              <w:spacing w:line="248" w:lineRule="auto"/>
              <w:rPr>
                <w:rFonts w:ascii="Arial"/>
                <w:sz w:val="21"/>
              </w:rPr>
            </w:pPr>
          </w:p>
          <w:p w14:paraId="23432BA3">
            <w:pPr>
              <w:spacing w:before="58"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15"/>
                <w:position w:val="2"/>
                <w:sz w:val="20"/>
                <w:szCs w:val="20"/>
              </w:rPr>
              <w:t>U1</w:t>
            </w:r>
          </w:p>
        </w:tc>
        <w:tc>
          <w:tcPr>
            <w:tcW w:w="1249" w:type="dxa"/>
            <w:vAlign w:val="top"/>
          </w:tcPr>
          <w:p w14:paraId="40CCEF0C">
            <w:pPr>
              <w:pStyle w:val="6"/>
              <w:spacing w:before="121" w:line="228" w:lineRule="auto"/>
              <w:ind w:left="314"/>
            </w:pPr>
            <w:r>
              <w:rPr>
                <w:spacing w:val="6"/>
              </w:rPr>
              <w:t>监测值</w:t>
            </w:r>
          </w:p>
        </w:tc>
        <w:tc>
          <w:tcPr>
            <w:tcW w:w="962" w:type="dxa"/>
            <w:vAlign w:val="top"/>
          </w:tcPr>
          <w:p w14:paraId="2C85C1F8">
            <w:pPr>
              <w:spacing w:before="92" w:line="27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7.24</w:t>
            </w:r>
          </w:p>
        </w:tc>
        <w:tc>
          <w:tcPr>
            <w:tcW w:w="777" w:type="dxa"/>
            <w:vAlign w:val="top"/>
          </w:tcPr>
          <w:p w14:paraId="63737A12">
            <w:pPr>
              <w:spacing w:before="92" w:line="275"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0.057</w:t>
            </w:r>
          </w:p>
        </w:tc>
        <w:tc>
          <w:tcPr>
            <w:tcW w:w="798" w:type="dxa"/>
            <w:vAlign w:val="top"/>
          </w:tcPr>
          <w:p w14:paraId="5505A014">
            <w:pPr>
              <w:spacing w:before="92" w:line="275"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0.40</w:t>
            </w:r>
          </w:p>
        </w:tc>
        <w:tc>
          <w:tcPr>
            <w:tcW w:w="801" w:type="dxa"/>
            <w:vAlign w:val="top"/>
          </w:tcPr>
          <w:p w14:paraId="45476534">
            <w:pPr>
              <w:spacing w:before="92" w:line="275" w:lineRule="exact"/>
              <w:ind w:left="2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7.28</w:t>
            </w:r>
          </w:p>
        </w:tc>
        <w:tc>
          <w:tcPr>
            <w:tcW w:w="1207" w:type="dxa"/>
            <w:vAlign w:val="top"/>
          </w:tcPr>
          <w:p w14:paraId="017402BB">
            <w:pPr>
              <w:spacing w:before="92" w:line="275" w:lineRule="exact"/>
              <w:ind w:left="5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32</w:t>
            </w:r>
          </w:p>
        </w:tc>
        <w:tc>
          <w:tcPr>
            <w:tcW w:w="1189" w:type="dxa"/>
            <w:vAlign w:val="top"/>
          </w:tcPr>
          <w:p w14:paraId="0C8AD10C">
            <w:pPr>
              <w:spacing w:before="92" w:line="275" w:lineRule="exact"/>
              <w:ind w:left="4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0.5L</w:t>
            </w:r>
          </w:p>
        </w:tc>
        <w:tc>
          <w:tcPr>
            <w:tcW w:w="1094" w:type="dxa"/>
            <w:vAlign w:val="top"/>
          </w:tcPr>
          <w:p w14:paraId="7951A0AA">
            <w:pPr>
              <w:pStyle w:val="6"/>
              <w:spacing w:before="121" w:line="228" w:lineRule="auto"/>
              <w:ind w:left="241"/>
            </w:pPr>
            <w:r>
              <w:rPr>
                <w:spacing w:val="5"/>
              </w:rPr>
              <w:t>未检出</w:t>
            </w:r>
          </w:p>
        </w:tc>
      </w:tr>
      <w:tr w14:paraId="71C21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3" w:type="dxa"/>
            <w:vMerge w:val="continue"/>
            <w:tcBorders>
              <w:top w:val="nil"/>
              <w:bottom w:val="nil"/>
            </w:tcBorders>
            <w:vAlign w:val="top"/>
          </w:tcPr>
          <w:p w14:paraId="0A36920F">
            <w:pPr>
              <w:rPr>
                <w:rFonts w:ascii="Arial"/>
                <w:sz w:val="21"/>
              </w:rPr>
            </w:pPr>
          </w:p>
        </w:tc>
        <w:tc>
          <w:tcPr>
            <w:tcW w:w="1249" w:type="dxa"/>
            <w:vAlign w:val="top"/>
          </w:tcPr>
          <w:p w14:paraId="28167632">
            <w:pPr>
              <w:pStyle w:val="6"/>
              <w:spacing w:before="124" w:line="228" w:lineRule="auto"/>
              <w:ind w:left="314"/>
            </w:pPr>
            <w:r>
              <w:rPr>
                <w:spacing w:val="6"/>
              </w:rPr>
              <w:t>标准值</w:t>
            </w:r>
          </w:p>
        </w:tc>
        <w:tc>
          <w:tcPr>
            <w:tcW w:w="962" w:type="dxa"/>
            <w:vAlign w:val="top"/>
          </w:tcPr>
          <w:p w14:paraId="0C85C350">
            <w:pPr>
              <w:spacing w:before="93"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6.5~8.5</w:t>
            </w:r>
          </w:p>
        </w:tc>
        <w:tc>
          <w:tcPr>
            <w:tcW w:w="777" w:type="dxa"/>
            <w:vAlign w:val="top"/>
          </w:tcPr>
          <w:p w14:paraId="5326A7EF">
            <w:pPr>
              <w:spacing w:before="93" w:line="274"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798" w:type="dxa"/>
            <w:vAlign w:val="top"/>
          </w:tcPr>
          <w:p w14:paraId="1A682DC7">
            <w:pPr>
              <w:spacing w:before="93" w:line="274" w:lineRule="exact"/>
              <w:ind w:left="29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01" w:type="dxa"/>
            <w:vAlign w:val="top"/>
          </w:tcPr>
          <w:p w14:paraId="0FA42BF6">
            <w:pPr>
              <w:spacing w:before="93" w:line="274" w:lineRule="exact"/>
              <w:ind w:left="24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450</w:t>
            </w:r>
          </w:p>
        </w:tc>
        <w:tc>
          <w:tcPr>
            <w:tcW w:w="1207" w:type="dxa"/>
            <w:vAlign w:val="top"/>
          </w:tcPr>
          <w:p w14:paraId="25E1F7BD">
            <w:pPr>
              <w:spacing w:before="93" w:line="274"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1189" w:type="dxa"/>
            <w:vAlign w:val="top"/>
          </w:tcPr>
          <w:p w14:paraId="02DF3FB8">
            <w:pPr>
              <w:spacing w:before="93"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c>
          <w:tcPr>
            <w:tcW w:w="1094" w:type="dxa"/>
            <w:vAlign w:val="top"/>
          </w:tcPr>
          <w:p w14:paraId="78B64996">
            <w:pPr>
              <w:spacing w:before="93" w:line="274" w:lineRule="exact"/>
              <w:ind w:left="42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r>
      <w:tr w14:paraId="27DC3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873" w:type="dxa"/>
            <w:vMerge w:val="continue"/>
            <w:tcBorders>
              <w:top w:val="nil"/>
              <w:bottom w:val="nil"/>
            </w:tcBorders>
            <w:vAlign w:val="top"/>
          </w:tcPr>
          <w:p w14:paraId="41947D98">
            <w:pPr>
              <w:rPr>
                <w:rFonts w:ascii="Arial"/>
                <w:sz w:val="21"/>
              </w:rPr>
            </w:pPr>
          </w:p>
        </w:tc>
        <w:tc>
          <w:tcPr>
            <w:tcW w:w="1249" w:type="dxa"/>
            <w:vAlign w:val="top"/>
          </w:tcPr>
          <w:p w14:paraId="2729BCF1">
            <w:pPr>
              <w:pStyle w:val="6"/>
              <w:spacing w:before="142" w:line="228" w:lineRule="auto"/>
              <w:ind w:left="209"/>
            </w:pPr>
            <w:r>
              <w:rPr>
                <w:spacing w:val="7"/>
              </w:rPr>
              <w:t>标准指数</w:t>
            </w:r>
          </w:p>
        </w:tc>
        <w:tc>
          <w:tcPr>
            <w:tcW w:w="962" w:type="dxa"/>
            <w:vAlign w:val="top"/>
          </w:tcPr>
          <w:p w14:paraId="7F1BF3B6">
            <w:pPr>
              <w:spacing w:before="111" w:line="274" w:lineRule="exact"/>
              <w:ind w:left="3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0.37</w:t>
            </w:r>
          </w:p>
        </w:tc>
        <w:tc>
          <w:tcPr>
            <w:tcW w:w="777" w:type="dxa"/>
            <w:vAlign w:val="top"/>
          </w:tcPr>
          <w:p w14:paraId="36AACAA0">
            <w:pPr>
              <w:spacing w:before="111"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0.11</w:t>
            </w:r>
          </w:p>
        </w:tc>
        <w:tc>
          <w:tcPr>
            <w:tcW w:w="798" w:type="dxa"/>
            <w:vAlign w:val="top"/>
          </w:tcPr>
          <w:p w14:paraId="464745AB">
            <w:pPr>
              <w:spacing w:before="111"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801" w:type="dxa"/>
            <w:vAlign w:val="top"/>
          </w:tcPr>
          <w:p w14:paraId="4A2507C8">
            <w:pPr>
              <w:spacing w:before="111" w:line="274" w:lineRule="exact"/>
              <w:ind w:left="2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1207" w:type="dxa"/>
            <w:vAlign w:val="top"/>
          </w:tcPr>
          <w:p w14:paraId="0C8F2E61">
            <w:pPr>
              <w:spacing w:before="111" w:line="274"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189" w:type="dxa"/>
            <w:vAlign w:val="top"/>
          </w:tcPr>
          <w:p w14:paraId="488B9A31">
            <w:pPr>
              <w:spacing w:before="89" w:line="315" w:lineRule="exact"/>
              <w:ind w:left="565"/>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094" w:type="dxa"/>
            <w:vAlign w:val="top"/>
          </w:tcPr>
          <w:p w14:paraId="66AF4AC2">
            <w:pPr>
              <w:spacing w:before="111" w:line="274" w:lineRule="exact"/>
              <w:ind w:left="5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EA0F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3" w:type="dxa"/>
            <w:vMerge w:val="continue"/>
            <w:tcBorders>
              <w:top w:val="nil"/>
            </w:tcBorders>
            <w:vAlign w:val="top"/>
          </w:tcPr>
          <w:p w14:paraId="573A3F84">
            <w:pPr>
              <w:rPr>
                <w:rFonts w:ascii="Arial"/>
                <w:sz w:val="21"/>
              </w:rPr>
            </w:pPr>
          </w:p>
        </w:tc>
        <w:tc>
          <w:tcPr>
            <w:tcW w:w="1249" w:type="dxa"/>
            <w:vAlign w:val="top"/>
          </w:tcPr>
          <w:p w14:paraId="0095632D">
            <w:pPr>
              <w:pStyle w:val="6"/>
              <w:spacing w:before="124" w:line="229" w:lineRule="auto"/>
              <w:ind w:left="207"/>
            </w:pPr>
            <w:r>
              <w:rPr>
                <w:spacing w:val="7"/>
              </w:rPr>
              <w:t>达标情况</w:t>
            </w:r>
          </w:p>
        </w:tc>
        <w:tc>
          <w:tcPr>
            <w:tcW w:w="962" w:type="dxa"/>
            <w:vAlign w:val="top"/>
          </w:tcPr>
          <w:p w14:paraId="5B878F11">
            <w:pPr>
              <w:pStyle w:val="6"/>
              <w:spacing w:before="124" w:line="229" w:lineRule="auto"/>
              <w:ind w:left="273"/>
            </w:pPr>
            <w:r>
              <w:rPr>
                <w:spacing w:val="5"/>
              </w:rPr>
              <w:t>达标</w:t>
            </w:r>
          </w:p>
        </w:tc>
        <w:tc>
          <w:tcPr>
            <w:tcW w:w="777" w:type="dxa"/>
            <w:vAlign w:val="top"/>
          </w:tcPr>
          <w:p w14:paraId="4144B95F">
            <w:pPr>
              <w:pStyle w:val="6"/>
              <w:spacing w:before="124" w:line="229" w:lineRule="auto"/>
              <w:ind w:left="183"/>
            </w:pPr>
            <w:r>
              <w:rPr>
                <w:spacing w:val="5"/>
              </w:rPr>
              <w:t>达标</w:t>
            </w:r>
          </w:p>
        </w:tc>
        <w:tc>
          <w:tcPr>
            <w:tcW w:w="798" w:type="dxa"/>
            <w:vAlign w:val="top"/>
          </w:tcPr>
          <w:p w14:paraId="3246AA97">
            <w:pPr>
              <w:pStyle w:val="6"/>
              <w:spacing w:before="124" w:line="229" w:lineRule="auto"/>
              <w:ind w:left="193"/>
            </w:pPr>
            <w:r>
              <w:rPr>
                <w:spacing w:val="5"/>
              </w:rPr>
              <w:t>达标</w:t>
            </w:r>
          </w:p>
        </w:tc>
        <w:tc>
          <w:tcPr>
            <w:tcW w:w="801" w:type="dxa"/>
            <w:vAlign w:val="top"/>
          </w:tcPr>
          <w:p w14:paraId="31B6903D">
            <w:pPr>
              <w:pStyle w:val="6"/>
              <w:spacing w:before="124" w:line="229" w:lineRule="auto"/>
              <w:ind w:left="194"/>
            </w:pPr>
            <w:r>
              <w:rPr>
                <w:spacing w:val="5"/>
              </w:rPr>
              <w:t>达标</w:t>
            </w:r>
          </w:p>
        </w:tc>
        <w:tc>
          <w:tcPr>
            <w:tcW w:w="1207" w:type="dxa"/>
            <w:vAlign w:val="top"/>
          </w:tcPr>
          <w:p w14:paraId="310CCEA9">
            <w:pPr>
              <w:pStyle w:val="6"/>
              <w:spacing w:before="124" w:line="229" w:lineRule="auto"/>
              <w:ind w:left="399"/>
            </w:pPr>
            <w:r>
              <w:rPr>
                <w:spacing w:val="5"/>
              </w:rPr>
              <w:t>达标</w:t>
            </w:r>
          </w:p>
        </w:tc>
        <w:tc>
          <w:tcPr>
            <w:tcW w:w="1189" w:type="dxa"/>
            <w:vAlign w:val="top"/>
          </w:tcPr>
          <w:p w14:paraId="71D0FFB2">
            <w:pPr>
              <w:spacing w:before="93" w:line="274" w:lineRule="exact"/>
              <w:ind w:left="56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94" w:type="dxa"/>
            <w:vAlign w:val="top"/>
          </w:tcPr>
          <w:p w14:paraId="6143B7C2">
            <w:pPr>
              <w:pStyle w:val="6"/>
              <w:spacing w:before="124" w:line="229" w:lineRule="auto"/>
              <w:ind w:left="343"/>
            </w:pPr>
            <w:r>
              <w:rPr>
                <w:spacing w:val="5"/>
              </w:rPr>
              <w:t>达标</w:t>
            </w:r>
          </w:p>
        </w:tc>
      </w:tr>
      <w:tr w14:paraId="594C5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3" w:type="dxa"/>
            <w:vMerge w:val="restart"/>
            <w:tcBorders>
              <w:bottom w:val="nil"/>
            </w:tcBorders>
            <w:vAlign w:val="top"/>
          </w:tcPr>
          <w:p w14:paraId="54FD8CC9">
            <w:pPr>
              <w:spacing w:line="243" w:lineRule="auto"/>
              <w:rPr>
                <w:rFonts w:ascii="Arial"/>
                <w:sz w:val="21"/>
              </w:rPr>
            </w:pPr>
          </w:p>
          <w:p w14:paraId="22355F58">
            <w:pPr>
              <w:spacing w:line="243" w:lineRule="auto"/>
              <w:rPr>
                <w:rFonts w:ascii="Arial"/>
                <w:sz w:val="21"/>
              </w:rPr>
            </w:pPr>
          </w:p>
          <w:p w14:paraId="611DBE0A">
            <w:pPr>
              <w:spacing w:line="243" w:lineRule="auto"/>
              <w:rPr>
                <w:rFonts w:ascii="Arial"/>
                <w:sz w:val="21"/>
              </w:rPr>
            </w:pPr>
          </w:p>
          <w:p w14:paraId="1B26B78B">
            <w:pPr>
              <w:spacing w:before="57"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U2</w:t>
            </w:r>
          </w:p>
        </w:tc>
        <w:tc>
          <w:tcPr>
            <w:tcW w:w="1249" w:type="dxa"/>
            <w:vAlign w:val="top"/>
          </w:tcPr>
          <w:p w14:paraId="373190E6">
            <w:pPr>
              <w:pStyle w:val="6"/>
              <w:spacing w:before="123" w:line="228" w:lineRule="auto"/>
              <w:ind w:left="314"/>
            </w:pPr>
            <w:r>
              <w:rPr>
                <w:spacing w:val="6"/>
              </w:rPr>
              <w:t>监测值</w:t>
            </w:r>
          </w:p>
        </w:tc>
        <w:tc>
          <w:tcPr>
            <w:tcW w:w="962" w:type="dxa"/>
            <w:vAlign w:val="top"/>
          </w:tcPr>
          <w:p w14:paraId="5FB88F33">
            <w:pPr>
              <w:spacing w:before="95" w:line="274"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7.31</w:t>
            </w:r>
          </w:p>
        </w:tc>
        <w:tc>
          <w:tcPr>
            <w:tcW w:w="777" w:type="dxa"/>
            <w:vAlign w:val="top"/>
          </w:tcPr>
          <w:p w14:paraId="4964416D">
            <w:pPr>
              <w:spacing w:before="95"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0.048</w:t>
            </w:r>
          </w:p>
        </w:tc>
        <w:tc>
          <w:tcPr>
            <w:tcW w:w="798" w:type="dxa"/>
            <w:vAlign w:val="top"/>
          </w:tcPr>
          <w:p w14:paraId="268AD8DA">
            <w:pPr>
              <w:spacing w:before="95"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0.51</w:t>
            </w:r>
          </w:p>
        </w:tc>
        <w:tc>
          <w:tcPr>
            <w:tcW w:w="801" w:type="dxa"/>
            <w:vAlign w:val="top"/>
          </w:tcPr>
          <w:p w14:paraId="2730E9F2">
            <w:pPr>
              <w:spacing w:before="95" w:line="274" w:lineRule="exact"/>
              <w:ind w:left="2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50.1</w:t>
            </w:r>
          </w:p>
        </w:tc>
        <w:tc>
          <w:tcPr>
            <w:tcW w:w="1207" w:type="dxa"/>
            <w:vAlign w:val="top"/>
          </w:tcPr>
          <w:p w14:paraId="09C0713A">
            <w:pPr>
              <w:spacing w:before="95" w:line="274" w:lineRule="exact"/>
              <w:ind w:left="4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295</w:t>
            </w:r>
          </w:p>
        </w:tc>
        <w:tc>
          <w:tcPr>
            <w:tcW w:w="1189" w:type="dxa"/>
            <w:vAlign w:val="top"/>
          </w:tcPr>
          <w:p w14:paraId="7D895809">
            <w:pPr>
              <w:spacing w:before="95" w:line="274" w:lineRule="exact"/>
              <w:ind w:left="4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2.6</w:t>
            </w:r>
          </w:p>
        </w:tc>
        <w:tc>
          <w:tcPr>
            <w:tcW w:w="1094" w:type="dxa"/>
            <w:vAlign w:val="top"/>
          </w:tcPr>
          <w:p w14:paraId="6355FC36">
            <w:pPr>
              <w:pStyle w:val="6"/>
              <w:spacing w:before="123" w:line="228" w:lineRule="auto"/>
              <w:ind w:left="241"/>
            </w:pPr>
            <w:r>
              <w:rPr>
                <w:spacing w:val="5"/>
              </w:rPr>
              <w:t>未检出</w:t>
            </w:r>
          </w:p>
        </w:tc>
      </w:tr>
      <w:tr w14:paraId="72DB5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73" w:type="dxa"/>
            <w:vMerge w:val="continue"/>
            <w:tcBorders>
              <w:top w:val="nil"/>
              <w:bottom w:val="nil"/>
            </w:tcBorders>
            <w:vAlign w:val="top"/>
          </w:tcPr>
          <w:p w14:paraId="3C35787B">
            <w:pPr>
              <w:rPr>
                <w:rFonts w:ascii="Arial"/>
                <w:sz w:val="21"/>
              </w:rPr>
            </w:pPr>
          </w:p>
        </w:tc>
        <w:tc>
          <w:tcPr>
            <w:tcW w:w="1249" w:type="dxa"/>
            <w:vAlign w:val="top"/>
          </w:tcPr>
          <w:p w14:paraId="594BE38E">
            <w:pPr>
              <w:pStyle w:val="6"/>
              <w:spacing w:before="125" w:line="228" w:lineRule="auto"/>
              <w:ind w:left="314"/>
            </w:pPr>
            <w:r>
              <w:rPr>
                <w:spacing w:val="6"/>
              </w:rPr>
              <w:t>标准值</w:t>
            </w:r>
          </w:p>
        </w:tc>
        <w:tc>
          <w:tcPr>
            <w:tcW w:w="962" w:type="dxa"/>
            <w:vAlign w:val="top"/>
          </w:tcPr>
          <w:p w14:paraId="75652851">
            <w:pPr>
              <w:spacing w:before="94"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6.5~8.5</w:t>
            </w:r>
          </w:p>
        </w:tc>
        <w:tc>
          <w:tcPr>
            <w:tcW w:w="777" w:type="dxa"/>
            <w:vAlign w:val="top"/>
          </w:tcPr>
          <w:p w14:paraId="0E867449">
            <w:pPr>
              <w:spacing w:before="94" w:line="274"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798" w:type="dxa"/>
            <w:vAlign w:val="top"/>
          </w:tcPr>
          <w:p w14:paraId="2BBE3747">
            <w:pPr>
              <w:spacing w:before="94" w:line="274" w:lineRule="exact"/>
              <w:ind w:left="29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01" w:type="dxa"/>
            <w:vAlign w:val="top"/>
          </w:tcPr>
          <w:p w14:paraId="1CDF9ECD">
            <w:pPr>
              <w:spacing w:before="94" w:line="274" w:lineRule="exact"/>
              <w:ind w:left="24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450</w:t>
            </w:r>
          </w:p>
        </w:tc>
        <w:tc>
          <w:tcPr>
            <w:tcW w:w="1207" w:type="dxa"/>
            <w:vAlign w:val="top"/>
          </w:tcPr>
          <w:p w14:paraId="3F976CB5">
            <w:pPr>
              <w:spacing w:before="94" w:line="274"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1189" w:type="dxa"/>
            <w:vAlign w:val="top"/>
          </w:tcPr>
          <w:p w14:paraId="456D787F">
            <w:pPr>
              <w:spacing w:before="94"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c>
          <w:tcPr>
            <w:tcW w:w="1094" w:type="dxa"/>
            <w:vAlign w:val="top"/>
          </w:tcPr>
          <w:p w14:paraId="6B3C18E8">
            <w:pPr>
              <w:spacing w:before="94" w:line="274" w:lineRule="exact"/>
              <w:ind w:left="42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r>
      <w:tr w14:paraId="5C885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3" w:type="dxa"/>
            <w:vMerge w:val="continue"/>
            <w:tcBorders>
              <w:top w:val="nil"/>
              <w:bottom w:val="nil"/>
            </w:tcBorders>
            <w:vAlign w:val="top"/>
          </w:tcPr>
          <w:p w14:paraId="75B20B52">
            <w:pPr>
              <w:rPr>
                <w:rFonts w:ascii="Arial"/>
                <w:sz w:val="21"/>
              </w:rPr>
            </w:pPr>
          </w:p>
        </w:tc>
        <w:tc>
          <w:tcPr>
            <w:tcW w:w="1249" w:type="dxa"/>
            <w:vAlign w:val="top"/>
          </w:tcPr>
          <w:p w14:paraId="2BA499D1">
            <w:pPr>
              <w:pStyle w:val="6"/>
              <w:spacing w:before="125" w:line="228" w:lineRule="auto"/>
              <w:ind w:left="209"/>
            </w:pPr>
            <w:r>
              <w:rPr>
                <w:spacing w:val="7"/>
              </w:rPr>
              <w:t>标准指数</w:t>
            </w:r>
          </w:p>
        </w:tc>
        <w:tc>
          <w:tcPr>
            <w:tcW w:w="962" w:type="dxa"/>
            <w:vAlign w:val="top"/>
          </w:tcPr>
          <w:p w14:paraId="2D8D339B">
            <w:pPr>
              <w:spacing w:before="94" w:line="274" w:lineRule="exact"/>
              <w:ind w:left="3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0.41</w:t>
            </w:r>
          </w:p>
        </w:tc>
        <w:tc>
          <w:tcPr>
            <w:tcW w:w="777" w:type="dxa"/>
            <w:vAlign w:val="top"/>
          </w:tcPr>
          <w:p w14:paraId="5F4F2EB1">
            <w:pPr>
              <w:spacing w:before="94"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w:t>
            </w:r>
          </w:p>
        </w:tc>
        <w:tc>
          <w:tcPr>
            <w:tcW w:w="798" w:type="dxa"/>
            <w:vAlign w:val="top"/>
          </w:tcPr>
          <w:p w14:paraId="2083CB1C">
            <w:pPr>
              <w:spacing w:before="94"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801" w:type="dxa"/>
            <w:vAlign w:val="top"/>
          </w:tcPr>
          <w:p w14:paraId="5DB16EF3">
            <w:pPr>
              <w:spacing w:before="94" w:line="274" w:lineRule="exact"/>
              <w:ind w:left="22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0.11</w:t>
            </w:r>
          </w:p>
        </w:tc>
        <w:tc>
          <w:tcPr>
            <w:tcW w:w="1207" w:type="dxa"/>
            <w:vAlign w:val="top"/>
          </w:tcPr>
          <w:p w14:paraId="24F3E363">
            <w:pPr>
              <w:spacing w:before="94" w:line="274" w:lineRule="exact"/>
              <w:ind w:left="42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0.30</w:t>
            </w:r>
          </w:p>
        </w:tc>
        <w:tc>
          <w:tcPr>
            <w:tcW w:w="1189" w:type="dxa"/>
            <w:vAlign w:val="top"/>
          </w:tcPr>
          <w:p w14:paraId="259CD0C1">
            <w:pPr>
              <w:spacing w:before="94" w:line="274"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0.87</w:t>
            </w:r>
          </w:p>
        </w:tc>
        <w:tc>
          <w:tcPr>
            <w:tcW w:w="1094" w:type="dxa"/>
            <w:vAlign w:val="top"/>
          </w:tcPr>
          <w:p w14:paraId="43723429">
            <w:pPr>
              <w:spacing w:before="94" w:line="274" w:lineRule="exact"/>
              <w:ind w:left="5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B2D1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3" w:type="dxa"/>
            <w:vMerge w:val="continue"/>
            <w:tcBorders>
              <w:top w:val="nil"/>
            </w:tcBorders>
            <w:vAlign w:val="top"/>
          </w:tcPr>
          <w:p w14:paraId="5581EBC2">
            <w:pPr>
              <w:rPr>
                <w:rFonts w:ascii="Arial"/>
                <w:sz w:val="21"/>
              </w:rPr>
            </w:pPr>
          </w:p>
        </w:tc>
        <w:tc>
          <w:tcPr>
            <w:tcW w:w="1249" w:type="dxa"/>
            <w:vAlign w:val="top"/>
          </w:tcPr>
          <w:p w14:paraId="4711EF28">
            <w:pPr>
              <w:pStyle w:val="6"/>
              <w:spacing w:before="124" w:line="229" w:lineRule="auto"/>
              <w:ind w:left="207"/>
            </w:pPr>
            <w:r>
              <w:rPr>
                <w:spacing w:val="7"/>
              </w:rPr>
              <w:t>达标情况</w:t>
            </w:r>
          </w:p>
        </w:tc>
        <w:tc>
          <w:tcPr>
            <w:tcW w:w="962" w:type="dxa"/>
            <w:vAlign w:val="top"/>
          </w:tcPr>
          <w:p w14:paraId="3530D44E">
            <w:pPr>
              <w:pStyle w:val="6"/>
              <w:spacing w:before="124" w:line="229" w:lineRule="auto"/>
              <w:ind w:left="273"/>
            </w:pPr>
            <w:r>
              <w:rPr>
                <w:spacing w:val="5"/>
              </w:rPr>
              <w:t>达标</w:t>
            </w:r>
          </w:p>
        </w:tc>
        <w:tc>
          <w:tcPr>
            <w:tcW w:w="777" w:type="dxa"/>
            <w:vAlign w:val="top"/>
          </w:tcPr>
          <w:p w14:paraId="4B285A33">
            <w:pPr>
              <w:pStyle w:val="6"/>
              <w:spacing w:before="124" w:line="229" w:lineRule="auto"/>
              <w:ind w:left="183"/>
            </w:pPr>
            <w:r>
              <w:rPr>
                <w:spacing w:val="5"/>
              </w:rPr>
              <w:t>达标</w:t>
            </w:r>
          </w:p>
        </w:tc>
        <w:tc>
          <w:tcPr>
            <w:tcW w:w="798" w:type="dxa"/>
            <w:vAlign w:val="top"/>
          </w:tcPr>
          <w:p w14:paraId="647BE0BA">
            <w:pPr>
              <w:pStyle w:val="6"/>
              <w:spacing w:before="124" w:line="229" w:lineRule="auto"/>
              <w:ind w:left="193"/>
            </w:pPr>
            <w:r>
              <w:rPr>
                <w:spacing w:val="5"/>
              </w:rPr>
              <w:t>达标</w:t>
            </w:r>
          </w:p>
        </w:tc>
        <w:tc>
          <w:tcPr>
            <w:tcW w:w="801" w:type="dxa"/>
            <w:vAlign w:val="top"/>
          </w:tcPr>
          <w:p w14:paraId="015C5439">
            <w:pPr>
              <w:pStyle w:val="6"/>
              <w:spacing w:before="124" w:line="229" w:lineRule="auto"/>
              <w:ind w:left="194"/>
            </w:pPr>
            <w:r>
              <w:rPr>
                <w:spacing w:val="5"/>
              </w:rPr>
              <w:t>达标</w:t>
            </w:r>
          </w:p>
        </w:tc>
        <w:tc>
          <w:tcPr>
            <w:tcW w:w="1207" w:type="dxa"/>
            <w:vAlign w:val="top"/>
          </w:tcPr>
          <w:p w14:paraId="75435EF0">
            <w:pPr>
              <w:pStyle w:val="6"/>
              <w:spacing w:before="124" w:line="229" w:lineRule="auto"/>
              <w:ind w:left="399"/>
            </w:pPr>
            <w:r>
              <w:rPr>
                <w:spacing w:val="5"/>
              </w:rPr>
              <w:t>达标</w:t>
            </w:r>
          </w:p>
        </w:tc>
        <w:tc>
          <w:tcPr>
            <w:tcW w:w="1189" w:type="dxa"/>
            <w:vAlign w:val="top"/>
          </w:tcPr>
          <w:p w14:paraId="4C54BAC1">
            <w:pPr>
              <w:pStyle w:val="6"/>
              <w:spacing w:before="124" w:line="229" w:lineRule="auto"/>
              <w:ind w:left="392"/>
            </w:pPr>
            <w:r>
              <w:rPr>
                <w:spacing w:val="5"/>
              </w:rPr>
              <w:t>达标</w:t>
            </w:r>
          </w:p>
        </w:tc>
        <w:tc>
          <w:tcPr>
            <w:tcW w:w="1094" w:type="dxa"/>
            <w:vAlign w:val="top"/>
          </w:tcPr>
          <w:p w14:paraId="2994D49A">
            <w:pPr>
              <w:pStyle w:val="6"/>
              <w:spacing w:before="124" w:line="229" w:lineRule="auto"/>
              <w:ind w:left="343"/>
            </w:pPr>
            <w:r>
              <w:rPr>
                <w:spacing w:val="5"/>
              </w:rPr>
              <w:t>达标</w:t>
            </w:r>
          </w:p>
        </w:tc>
      </w:tr>
      <w:tr w14:paraId="287EB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3" w:type="dxa"/>
            <w:vMerge w:val="restart"/>
            <w:tcBorders>
              <w:bottom w:val="nil"/>
            </w:tcBorders>
            <w:vAlign w:val="top"/>
          </w:tcPr>
          <w:p w14:paraId="2C2D2FFB">
            <w:pPr>
              <w:spacing w:line="243" w:lineRule="auto"/>
              <w:rPr>
                <w:rFonts w:ascii="Arial"/>
                <w:sz w:val="21"/>
              </w:rPr>
            </w:pPr>
          </w:p>
          <w:p w14:paraId="0C42C4B9">
            <w:pPr>
              <w:spacing w:line="243" w:lineRule="auto"/>
              <w:rPr>
                <w:rFonts w:ascii="Arial"/>
                <w:sz w:val="21"/>
              </w:rPr>
            </w:pPr>
          </w:p>
          <w:p w14:paraId="63ABCBC3">
            <w:pPr>
              <w:spacing w:line="243" w:lineRule="auto"/>
              <w:rPr>
                <w:rFonts w:ascii="Arial"/>
                <w:sz w:val="21"/>
              </w:rPr>
            </w:pPr>
          </w:p>
          <w:p w14:paraId="6F1913D8">
            <w:pPr>
              <w:spacing w:before="57" w:line="275"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U3</w:t>
            </w:r>
          </w:p>
        </w:tc>
        <w:tc>
          <w:tcPr>
            <w:tcW w:w="1249" w:type="dxa"/>
            <w:vAlign w:val="top"/>
          </w:tcPr>
          <w:p w14:paraId="49F2E818">
            <w:pPr>
              <w:pStyle w:val="6"/>
              <w:spacing w:before="126" w:line="228" w:lineRule="auto"/>
              <w:ind w:left="314"/>
            </w:pPr>
            <w:r>
              <w:rPr>
                <w:spacing w:val="6"/>
              </w:rPr>
              <w:t>监测值</w:t>
            </w:r>
          </w:p>
        </w:tc>
        <w:tc>
          <w:tcPr>
            <w:tcW w:w="962" w:type="dxa"/>
            <w:vAlign w:val="top"/>
          </w:tcPr>
          <w:p w14:paraId="0573316A">
            <w:pPr>
              <w:spacing w:before="95" w:line="274"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7.29</w:t>
            </w:r>
          </w:p>
        </w:tc>
        <w:tc>
          <w:tcPr>
            <w:tcW w:w="777" w:type="dxa"/>
            <w:vAlign w:val="top"/>
          </w:tcPr>
          <w:p w14:paraId="0FDD518C">
            <w:pPr>
              <w:spacing w:before="95"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0.031</w:t>
            </w:r>
          </w:p>
        </w:tc>
        <w:tc>
          <w:tcPr>
            <w:tcW w:w="798" w:type="dxa"/>
            <w:vAlign w:val="top"/>
          </w:tcPr>
          <w:p w14:paraId="6E7F4614">
            <w:pPr>
              <w:spacing w:before="95"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0.45</w:t>
            </w:r>
          </w:p>
        </w:tc>
        <w:tc>
          <w:tcPr>
            <w:tcW w:w="801" w:type="dxa"/>
            <w:vAlign w:val="top"/>
          </w:tcPr>
          <w:p w14:paraId="5AB8F834">
            <w:pPr>
              <w:spacing w:before="95"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20.6</w:t>
            </w:r>
          </w:p>
        </w:tc>
        <w:tc>
          <w:tcPr>
            <w:tcW w:w="1207" w:type="dxa"/>
            <w:vAlign w:val="top"/>
          </w:tcPr>
          <w:p w14:paraId="46EBCF51">
            <w:pPr>
              <w:spacing w:before="95" w:line="274" w:lineRule="exact"/>
              <w:ind w:left="5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66</w:t>
            </w:r>
          </w:p>
        </w:tc>
        <w:tc>
          <w:tcPr>
            <w:tcW w:w="1189" w:type="dxa"/>
            <w:vAlign w:val="top"/>
          </w:tcPr>
          <w:p w14:paraId="39313BC9">
            <w:pPr>
              <w:spacing w:before="95" w:line="274" w:lineRule="exact"/>
              <w:ind w:left="48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1.3</w:t>
            </w:r>
          </w:p>
        </w:tc>
        <w:tc>
          <w:tcPr>
            <w:tcW w:w="1094" w:type="dxa"/>
            <w:vAlign w:val="top"/>
          </w:tcPr>
          <w:p w14:paraId="6A31D637">
            <w:pPr>
              <w:pStyle w:val="6"/>
              <w:spacing w:before="126" w:line="228" w:lineRule="auto"/>
              <w:ind w:left="241"/>
            </w:pPr>
            <w:r>
              <w:rPr>
                <w:spacing w:val="5"/>
              </w:rPr>
              <w:t>未检出</w:t>
            </w:r>
          </w:p>
        </w:tc>
      </w:tr>
      <w:tr w14:paraId="63EE3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3" w:type="dxa"/>
            <w:vMerge w:val="continue"/>
            <w:tcBorders>
              <w:top w:val="nil"/>
              <w:bottom w:val="nil"/>
            </w:tcBorders>
            <w:vAlign w:val="top"/>
          </w:tcPr>
          <w:p w14:paraId="22BD50FE">
            <w:pPr>
              <w:rPr>
                <w:rFonts w:ascii="Arial"/>
                <w:sz w:val="21"/>
              </w:rPr>
            </w:pPr>
          </w:p>
        </w:tc>
        <w:tc>
          <w:tcPr>
            <w:tcW w:w="1249" w:type="dxa"/>
            <w:vAlign w:val="top"/>
          </w:tcPr>
          <w:p w14:paraId="36C73A1F">
            <w:pPr>
              <w:pStyle w:val="6"/>
              <w:spacing w:before="125" w:line="228" w:lineRule="auto"/>
              <w:ind w:left="314"/>
            </w:pPr>
            <w:r>
              <w:rPr>
                <w:spacing w:val="6"/>
              </w:rPr>
              <w:t>标准值</w:t>
            </w:r>
          </w:p>
        </w:tc>
        <w:tc>
          <w:tcPr>
            <w:tcW w:w="962" w:type="dxa"/>
            <w:vAlign w:val="top"/>
          </w:tcPr>
          <w:p w14:paraId="70CF8946">
            <w:pPr>
              <w:spacing w:before="94"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6.5~8.5</w:t>
            </w:r>
          </w:p>
        </w:tc>
        <w:tc>
          <w:tcPr>
            <w:tcW w:w="777" w:type="dxa"/>
            <w:vAlign w:val="top"/>
          </w:tcPr>
          <w:p w14:paraId="0DEA04E8">
            <w:pPr>
              <w:spacing w:before="94" w:line="274"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798" w:type="dxa"/>
            <w:vAlign w:val="top"/>
          </w:tcPr>
          <w:p w14:paraId="2EE6EB51">
            <w:pPr>
              <w:spacing w:before="94" w:line="274" w:lineRule="exact"/>
              <w:ind w:left="29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01" w:type="dxa"/>
            <w:vAlign w:val="top"/>
          </w:tcPr>
          <w:p w14:paraId="43DDA994">
            <w:pPr>
              <w:spacing w:before="94" w:line="274" w:lineRule="exact"/>
              <w:ind w:left="24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450</w:t>
            </w:r>
          </w:p>
        </w:tc>
        <w:tc>
          <w:tcPr>
            <w:tcW w:w="1207" w:type="dxa"/>
            <w:vAlign w:val="top"/>
          </w:tcPr>
          <w:p w14:paraId="4CEE7DD1">
            <w:pPr>
              <w:spacing w:before="94" w:line="274"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1189" w:type="dxa"/>
            <w:vAlign w:val="top"/>
          </w:tcPr>
          <w:p w14:paraId="10E0BBF8">
            <w:pPr>
              <w:spacing w:before="94"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c>
          <w:tcPr>
            <w:tcW w:w="1094" w:type="dxa"/>
            <w:vAlign w:val="top"/>
          </w:tcPr>
          <w:p w14:paraId="355B0A95">
            <w:pPr>
              <w:spacing w:before="94" w:line="274" w:lineRule="exact"/>
              <w:ind w:left="42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r>
      <w:tr w14:paraId="5BF90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73" w:type="dxa"/>
            <w:vMerge w:val="continue"/>
            <w:tcBorders>
              <w:top w:val="nil"/>
              <w:bottom w:val="nil"/>
            </w:tcBorders>
            <w:vAlign w:val="top"/>
          </w:tcPr>
          <w:p w14:paraId="5B38907B">
            <w:pPr>
              <w:rPr>
                <w:rFonts w:ascii="Arial"/>
                <w:sz w:val="21"/>
              </w:rPr>
            </w:pPr>
          </w:p>
        </w:tc>
        <w:tc>
          <w:tcPr>
            <w:tcW w:w="1249" w:type="dxa"/>
            <w:vAlign w:val="top"/>
          </w:tcPr>
          <w:p w14:paraId="6BDA65B8">
            <w:pPr>
              <w:pStyle w:val="6"/>
              <w:spacing w:before="124" w:line="228" w:lineRule="auto"/>
              <w:ind w:left="209"/>
            </w:pPr>
            <w:r>
              <w:rPr>
                <w:spacing w:val="7"/>
              </w:rPr>
              <w:t>标准指数</w:t>
            </w:r>
          </w:p>
        </w:tc>
        <w:tc>
          <w:tcPr>
            <w:tcW w:w="962" w:type="dxa"/>
            <w:vAlign w:val="top"/>
          </w:tcPr>
          <w:p w14:paraId="593ED04E">
            <w:pPr>
              <w:spacing w:before="96" w:line="274" w:lineRule="exact"/>
              <w:ind w:left="3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0.40</w:t>
            </w:r>
          </w:p>
        </w:tc>
        <w:tc>
          <w:tcPr>
            <w:tcW w:w="777" w:type="dxa"/>
            <w:vAlign w:val="top"/>
          </w:tcPr>
          <w:p w14:paraId="46236113">
            <w:pPr>
              <w:spacing w:before="96" w:line="274" w:lineRule="exact"/>
              <w:ind w:left="2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798" w:type="dxa"/>
            <w:vAlign w:val="top"/>
          </w:tcPr>
          <w:p w14:paraId="3740BDEC">
            <w:pPr>
              <w:spacing w:before="96" w:line="274"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801" w:type="dxa"/>
            <w:vAlign w:val="top"/>
          </w:tcPr>
          <w:p w14:paraId="3DA0EE04">
            <w:pPr>
              <w:spacing w:before="96" w:line="274" w:lineRule="exact"/>
              <w:ind w:left="22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1207" w:type="dxa"/>
            <w:vAlign w:val="top"/>
          </w:tcPr>
          <w:p w14:paraId="603EF40A">
            <w:pPr>
              <w:spacing w:before="96" w:line="274" w:lineRule="exact"/>
              <w:ind w:left="42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1189" w:type="dxa"/>
            <w:vAlign w:val="top"/>
          </w:tcPr>
          <w:p w14:paraId="11D5DB44">
            <w:pPr>
              <w:spacing w:before="96" w:line="274" w:lineRule="exact"/>
              <w:ind w:left="41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0.43</w:t>
            </w:r>
          </w:p>
        </w:tc>
        <w:tc>
          <w:tcPr>
            <w:tcW w:w="1094" w:type="dxa"/>
            <w:vAlign w:val="top"/>
          </w:tcPr>
          <w:p w14:paraId="78144A16">
            <w:pPr>
              <w:spacing w:before="96" w:line="274" w:lineRule="exact"/>
              <w:ind w:left="5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376C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73" w:type="dxa"/>
            <w:vMerge w:val="continue"/>
            <w:tcBorders>
              <w:top w:val="nil"/>
            </w:tcBorders>
            <w:vAlign w:val="top"/>
          </w:tcPr>
          <w:p w14:paraId="5EF686E1">
            <w:pPr>
              <w:rPr>
                <w:rFonts w:ascii="Arial"/>
                <w:sz w:val="21"/>
              </w:rPr>
            </w:pPr>
          </w:p>
        </w:tc>
        <w:tc>
          <w:tcPr>
            <w:tcW w:w="1249" w:type="dxa"/>
            <w:vAlign w:val="top"/>
          </w:tcPr>
          <w:p w14:paraId="6759B6DD">
            <w:pPr>
              <w:pStyle w:val="6"/>
              <w:spacing w:before="127" w:line="229" w:lineRule="auto"/>
              <w:ind w:left="207"/>
            </w:pPr>
            <w:r>
              <w:rPr>
                <w:spacing w:val="7"/>
              </w:rPr>
              <w:t>达标情况</w:t>
            </w:r>
          </w:p>
        </w:tc>
        <w:tc>
          <w:tcPr>
            <w:tcW w:w="962" w:type="dxa"/>
            <w:vAlign w:val="top"/>
          </w:tcPr>
          <w:p w14:paraId="029A283C">
            <w:pPr>
              <w:pStyle w:val="6"/>
              <w:spacing w:before="127" w:line="229" w:lineRule="auto"/>
              <w:ind w:left="273"/>
            </w:pPr>
            <w:r>
              <w:rPr>
                <w:spacing w:val="5"/>
              </w:rPr>
              <w:t>达标</w:t>
            </w:r>
          </w:p>
        </w:tc>
        <w:tc>
          <w:tcPr>
            <w:tcW w:w="777" w:type="dxa"/>
            <w:vAlign w:val="top"/>
          </w:tcPr>
          <w:p w14:paraId="06D55FB6">
            <w:pPr>
              <w:pStyle w:val="6"/>
              <w:spacing w:before="127" w:line="229" w:lineRule="auto"/>
              <w:ind w:left="183"/>
            </w:pPr>
            <w:r>
              <w:rPr>
                <w:spacing w:val="5"/>
              </w:rPr>
              <w:t>达标</w:t>
            </w:r>
          </w:p>
        </w:tc>
        <w:tc>
          <w:tcPr>
            <w:tcW w:w="798" w:type="dxa"/>
            <w:vAlign w:val="top"/>
          </w:tcPr>
          <w:p w14:paraId="52F72A3C">
            <w:pPr>
              <w:pStyle w:val="6"/>
              <w:spacing w:before="127" w:line="229" w:lineRule="auto"/>
              <w:ind w:left="193"/>
            </w:pPr>
            <w:r>
              <w:rPr>
                <w:spacing w:val="5"/>
              </w:rPr>
              <w:t>达标</w:t>
            </w:r>
          </w:p>
        </w:tc>
        <w:tc>
          <w:tcPr>
            <w:tcW w:w="801" w:type="dxa"/>
            <w:vAlign w:val="top"/>
          </w:tcPr>
          <w:p w14:paraId="146FFFA0">
            <w:pPr>
              <w:pStyle w:val="6"/>
              <w:spacing w:before="127" w:line="229" w:lineRule="auto"/>
              <w:ind w:left="194"/>
            </w:pPr>
            <w:r>
              <w:rPr>
                <w:spacing w:val="5"/>
              </w:rPr>
              <w:t>达标</w:t>
            </w:r>
          </w:p>
        </w:tc>
        <w:tc>
          <w:tcPr>
            <w:tcW w:w="1207" w:type="dxa"/>
            <w:vAlign w:val="top"/>
          </w:tcPr>
          <w:p w14:paraId="0C0046A2">
            <w:pPr>
              <w:pStyle w:val="6"/>
              <w:spacing w:before="127" w:line="229" w:lineRule="auto"/>
              <w:ind w:left="399"/>
            </w:pPr>
            <w:r>
              <w:rPr>
                <w:spacing w:val="5"/>
              </w:rPr>
              <w:t>达标</w:t>
            </w:r>
          </w:p>
        </w:tc>
        <w:tc>
          <w:tcPr>
            <w:tcW w:w="1189" w:type="dxa"/>
            <w:vAlign w:val="top"/>
          </w:tcPr>
          <w:p w14:paraId="7658FA5F">
            <w:pPr>
              <w:pStyle w:val="6"/>
              <w:spacing w:before="127" w:line="229" w:lineRule="auto"/>
              <w:ind w:left="392"/>
            </w:pPr>
            <w:r>
              <w:rPr>
                <w:spacing w:val="5"/>
              </w:rPr>
              <w:t>达标</w:t>
            </w:r>
          </w:p>
        </w:tc>
        <w:tc>
          <w:tcPr>
            <w:tcW w:w="1094" w:type="dxa"/>
            <w:vAlign w:val="top"/>
          </w:tcPr>
          <w:p w14:paraId="70FFE7F7">
            <w:pPr>
              <w:pStyle w:val="6"/>
              <w:spacing w:before="127" w:line="229" w:lineRule="auto"/>
              <w:ind w:left="343"/>
            </w:pPr>
            <w:r>
              <w:rPr>
                <w:spacing w:val="5"/>
              </w:rPr>
              <w:t>达标</w:t>
            </w:r>
          </w:p>
        </w:tc>
      </w:tr>
      <w:tr w14:paraId="22162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950" w:type="dxa"/>
            <w:gridSpan w:val="9"/>
            <w:vAlign w:val="top"/>
          </w:tcPr>
          <w:p w14:paraId="1CBCE140">
            <w:pPr>
              <w:pStyle w:val="6"/>
              <w:spacing w:before="126" w:line="229" w:lineRule="auto"/>
              <w:ind w:left="3851"/>
            </w:pPr>
            <w:r>
              <w:rPr>
                <w:spacing w:val="8"/>
              </w:rPr>
              <w:t>埋深监测结果</w:t>
            </w:r>
          </w:p>
        </w:tc>
      </w:tr>
    </w:tbl>
    <w:p w14:paraId="40E1B9CA">
      <w:pPr>
        <w:pStyle w:val="2"/>
      </w:pPr>
    </w:p>
    <w:p w14:paraId="462CF858">
      <w:pPr>
        <w:sectPr>
          <w:footerReference r:id="rId95" w:type="default"/>
          <w:pgSz w:w="11906" w:h="16839"/>
          <w:pgMar w:top="400" w:right="1475" w:bottom="1485" w:left="1475" w:header="0" w:footer="1249" w:gutter="0"/>
          <w:cols w:space="720" w:num="1"/>
        </w:sectPr>
      </w:pPr>
    </w:p>
    <w:p w14:paraId="58D02385">
      <w:pPr>
        <w:spacing w:before="13"/>
      </w:pPr>
    </w:p>
    <w:p w14:paraId="799E1068">
      <w:pPr>
        <w:spacing w:before="13"/>
      </w:pPr>
    </w:p>
    <w:p w14:paraId="57AAAE12">
      <w:pPr>
        <w:spacing w:before="13"/>
      </w:pPr>
    </w:p>
    <w:p w14:paraId="176BDEA9">
      <w:pPr>
        <w:spacing w:before="13"/>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2"/>
        <w:gridCol w:w="1483"/>
        <w:gridCol w:w="1395"/>
        <w:gridCol w:w="1194"/>
        <w:gridCol w:w="1188"/>
        <w:gridCol w:w="1259"/>
        <w:gridCol w:w="1389"/>
      </w:tblGrid>
      <w:tr w14:paraId="418E1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042" w:type="dxa"/>
            <w:vAlign w:val="top"/>
          </w:tcPr>
          <w:p w14:paraId="7AB85076">
            <w:pPr>
              <w:pStyle w:val="6"/>
              <w:spacing w:before="145" w:line="230" w:lineRule="auto"/>
              <w:ind w:left="213"/>
            </w:pPr>
            <w:r>
              <w:rPr>
                <w:spacing w:val="6"/>
              </w:rPr>
              <w:t>监测点</w:t>
            </w:r>
          </w:p>
        </w:tc>
        <w:tc>
          <w:tcPr>
            <w:tcW w:w="1483" w:type="dxa"/>
            <w:vAlign w:val="top"/>
          </w:tcPr>
          <w:p w14:paraId="3DF4B369">
            <w:pPr>
              <w:spacing w:before="114" w:line="275"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15"/>
                <w:position w:val="2"/>
                <w:sz w:val="20"/>
                <w:szCs w:val="20"/>
              </w:rPr>
              <w:t>U1</w:t>
            </w:r>
          </w:p>
        </w:tc>
        <w:tc>
          <w:tcPr>
            <w:tcW w:w="1395" w:type="dxa"/>
            <w:vAlign w:val="top"/>
          </w:tcPr>
          <w:p w14:paraId="6BA8EEDB">
            <w:pPr>
              <w:spacing w:before="114" w:line="275" w:lineRule="exact"/>
              <w:ind w:left="56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U2</w:t>
            </w:r>
          </w:p>
        </w:tc>
        <w:tc>
          <w:tcPr>
            <w:tcW w:w="1194" w:type="dxa"/>
            <w:vAlign w:val="top"/>
          </w:tcPr>
          <w:p w14:paraId="5FF45D00">
            <w:pPr>
              <w:spacing w:before="114" w:line="275" w:lineRule="exact"/>
              <w:ind w:left="46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U3</w:t>
            </w:r>
          </w:p>
        </w:tc>
        <w:tc>
          <w:tcPr>
            <w:tcW w:w="1188" w:type="dxa"/>
            <w:vAlign w:val="top"/>
          </w:tcPr>
          <w:p w14:paraId="59EA3F13">
            <w:pPr>
              <w:spacing w:before="114" w:line="275" w:lineRule="exact"/>
              <w:ind w:left="465"/>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U4</w:t>
            </w:r>
          </w:p>
        </w:tc>
        <w:tc>
          <w:tcPr>
            <w:tcW w:w="1259" w:type="dxa"/>
            <w:vAlign w:val="top"/>
          </w:tcPr>
          <w:p w14:paraId="0BD34999">
            <w:pPr>
              <w:spacing w:before="184" w:line="192"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U5</w:t>
            </w:r>
          </w:p>
        </w:tc>
        <w:tc>
          <w:tcPr>
            <w:tcW w:w="1389" w:type="dxa"/>
            <w:vAlign w:val="top"/>
          </w:tcPr>
          <w:p w14:paraId="2C0CA7C3">
            <w:pPr>
              <w:spacing w:before="114" w:line="275" w:lineRule="exact"/>
              <w:ind w:left="56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U6</w:t>
            </w:r>
          </w:p>
        </w:tc>
      </w:tr>
      <w:tr w14:paraId="4C501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042" w:type="dxa"/>
            <w:vAlign w:val="top"/>
          </w:tcPr>
          <w:p w14:paraId="623CF1A5">
            <w:pPr>
              <w:pStyle w:val="6"/>
              <w:spacing w:before="124" w:line="231" w:lineRule="auto"/>
              <w:ind w:right="14"/>
              <w:jc w:val="right"/>
            </w:pPr>
            <w:r>
              <w:rPr>
                <w:spacing w:val="-11"/>
              </w:rPr>
              <w:t>埋深（</w:t>
            </w:r>
            <w:r>
              <w:rPr>
                <w:rFonts w:ascii="Times New Roman" w:hAnsi="Times New Roman" w:eastAsia="Times New Roman" w:cs="Times New Roman"/>
                <w:spacing w:val="-11"/>
              </w:rPr>
              <w:t>m</w:t>
            </w:r>
            <w:r>
              <w:rPr>
                <w:spacing w:val="-11"/>
              </w:rPr>
              <w:t>）</w:t>
            </w:r>
          </w:p>
        </w:tc>
        <w:tc>
          <w:tcPr>
            <w:tcW w:w="1483" w:type="dxa"/>
            <w:vAlign w:val="top"/>
          </w:tcPr>
          <w:p w14:paraId="19D51F22">
            <w:pPr>
              <w:spacing w:before="95" w:line="274" w:lineRule="exact"/>
              <w:ind w:left="64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32</w:t>
            </w:r>
          </w:p>
        </w:tc>
        <w:tc>
          <w:tcPr>
            <w:tcW w:w="1395" w:type="dxa"/>
            <w:vAlign w:val="top"/>
          </w:tcPr>
          <w:p w14:paraId="4BF054AF">
            <w:pPr>
              <w:spacing w:before="95" w:line="274" w:lineRule="exact"/>
              <w:ind w:left="5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18.5</w:t>
            </w:r>
          </w:p>
        </w:tc>
        <w:tc>
          <w:tcPr>
            <w:tcW w:w="1194" w:type="dxa"/>
            <w:vAlign w:val="top"/>
          </w:tcPr>
          <w:p w14:paraId="7EC5B7C3">
            <w:pPr>
              <w:spacing w:before="95" w:line="274" w:lineRule="exact"/>
              <w:ind w:left="54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188" w:type="dxa"/>
            <w:vAlign w:val="top"/>
          </w:tcPr>
          <w:p w14:paraId="4C6E8646">
            <w:pPr>
              <w:spacing w:before="95" w:line="274"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1259" w:type="dxa"/>
            <w:vAlign w:val="top"/>
          </w:tcPr>
          <w:p w14:paraId="50C6C2D8">
            <w:pPr>
              <w:spacing w:before="95" w:line="274" w:lineRule="exact"/>
              <w:ind w:left="54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389" w:type="dxa"/>
            <w:vAlign w:val="top"/>
          </w:tcPr>
          <w:p w14:paraId="6EDDE3FF">
            <w:pPr>
              <w:spacing w:before="95" w:line="274" w:lineRule="exact"/>
              <w:ind w:left="64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r>
    </w:tbl>
    <w:p w14:paraId="54AD4C37">
      <w:pPr>
        <w:spacing w:before="251" w:line="365" w:lineRule="auto"/>
        <w:ind w:left="124" w:right="110" w:firstLine="480"/>
        <w:jc w:val="both"/>
        <w:rPr>
          <w:rFonts w:ascii="宋体" w:hAnsi="宋体" w:eastAsia="宋体" w:cs="宋体"/>
          <w:sz w:val="24"/>
          <w:szCs w:val="24"/>
        </w:rPr>
      </w:pPr>
      <w:r>
        <w:rPr>
          <w:rFonts w:ascii="宋体" w:hAnsi="宋体" w:eastAsia="宋体" w:cs="宋体"/>
          <w:spacing w:val="1"/>
          <w:sz w:val="24"/>
          <w:szCs w:val="24"/>
        </w:rPr>
        <w:t>从表</w:t>
      </w:r>
      <w:r>
        <w:rPr>
          <w:rFonts w:ascii="Times New Roman" w:hAnsi="Times New Roman" w:eastAsia="Times New Roman" w:cs="Times New Roman"/>
          <w:spacing w:val="1"/>
          <w:sz w:val="24"/>
          <w:szCs w:val="24"/>
        </w:rPr>
        <w:t>4.2-3</w:t>
      </w:r>
      <w:r>
        <w:rPr>
          <w:rFonts w:ascii="宋体" w:hAnsi="宋体" w:eastAsia="宋体" w:cs="宋体"/>
          <w:spacing w:val="1"/>
          <w:sz w:val="24"/>
          <w:szCs w:val="24"/>
        </w:rPr>
        <w:t>计算结果可以看出，项目地下水监测点各项监测指标均能达到《地下</w:t>
      </w:r>
      <w:r>
        <w:rPr>
          <w:rFonts w:ascii="宋体" w:hAnsi="宋体" w:eastAsia="宋体" w:cs="宋体"/>
          <w:spacing w:val="18"/>
          <w:sz w:val="24"/>
          <w:szCs w:val="24"/>
        </w:rPr>
        <w:t xml:space="preserve"> </w:t>
      </w:r>
      <w:r>
        <w:rPr>
          <w:rFonts w:ascii="宋体" w:hAnsi="宋体" w:eastAsia="宋体" w:cs="宋体"/>
          <w:spacing w:val="1"/>
          <w:sz w:val="24"/>
          <w:szCs w:val="24"/>
        </w:rPr>
        <w:t>水质量标准》（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14848-93</w:t>
      </w:r>
      <w:r>
        <w:rPr>
          <w:rFonts w:ascii="宋体" w:hAnsi="宋体" w:eastAsia="宋体" w:cs="宋体"/>
          <w:spacing w:val="1"/>
          <w:sz w:val="24"/>
          <w:szCs w:val="24"/>
        </w:rPr>
        <w:t>）中的Ⅲ类水质</w:t>
      </w:r>
      <w:r>
        <w:rPr>
          <w:rFonts w:ascii="宋体" w:hAnsi="宋体" w:eastAsia="宋体" w:cs="宋体"/>
          <w:sz w:val="24"/>
          <w:szCs w:val="24"/>
        </w:rPr>
        <w:t xml:space="preserve">标准。说明项目所在区域地下水环境 </w:t>
      </w:r>
      <w:r>
        <w:rPr>
          <w:rFonts w:ascii="宋体" w:hAnsi="宋体" w:eastAsia="宋体" w:cs="宋体"/>
          <w:spacing w:val="-2"/>
          <w:sz w:val="24"/>
          <w:szCs w:val="24"/>
        </w:rPr>
        <w:t>现状质量较好。</w:t>
      </w:r>
    </w:p>
    <w:p w14:paraId="310C3700">
      <w:pPr>
        <w:pStyle w:val="2"/>
        <w:spacing w:line="281" w:lineRule="auto"/>
      </w:pPr>
    </w:p>
    <w:p w14:paraId="6862A93B">
      <w:pPr>
        <w:spacing w:before="100" w:line="224" w:lineRule="auto"/>
        <w:ind w:left="121"/>
        <w:outlineLvl w:val="1"/>
        <w:rPr>
          <w:rFonts w:ascii="宋体" w:hAnsi="宋体" w:eastAsia="宋体" w:cs="宋体"/>
          <w:sz w:val="31"/>
          <w:szCs w:val="31"/>
        </w:rPr>
      </w:pPr>
      <w:bookmarkStart w:id="29" w:name="bookmark26"/>
      <w:bookmarkEnd w:id="29"/>
      <w:r>
        <w:rPr>
          <w:rFonts w:ascii="Times New Roman" w:hAnsi="Times New Roman" w:eastAsia="Times New Roman" w:cs="Times New Roman"/>
          <w:b/>
          <w:bCs/>
          <w:spacing w:val="6"/>
          <w:sz w:val="31"/>
          <w:szCs w:val="31"/>
        </w:rPr>
        <w:t>4.3</w:t>
      </w:r>
      <w:r>
        <w:rPr>
          <w:rFonts w:ascii="宋体" w:hAnsi="宋体" w:eastAsia="宋体" w:cs="宋体"/>
          <w:b/>
          <w:bCs/>
          <w:spacing w:val="6"/>
          <w:sz w:val="31"/>
          <w:szCs w:val="31"/>
        </w:rPr>
        <w:t>空气环境质量现状评价</w:t>
      </w:r>
    </w:p>
    <w:p w14:paraId="75E692C2">
      <w:pPr>
        <w:pStyle w:val="2"/>
        <w:spacing w:line="409" w:lineRule="auto"/>
      </w:pPr>
    </w:p>
    <w:p w14:paraId="23A520F9">
      <w:pPr>
        <w:spacing w:before="78" w:line="372" w:lineRule="auto"/>
        <w:ind w:left="122" w:right="108" w:firstLine="481"/>
        <w:jc w:val="both"/>
        <w:rPr>
          <w:rFonts w:ascii="宋体" w:hAnsi="宋体" w:eastAsia="宋体" w:cs="宋体"/>
          <w:sz w:val="24"/>
          <w:szCs w:val="24"/>
        </w:rPr>
      </w:pPr>
      <w:r>
        <w:rPr>
          <w:rFonts w:ascii="宋体" w:hAnsi="宋体" w:eastAsia="宋体" w:cs="宋体"/>
          <w:spacing w:val="2"/>
          <w:sz w:val="24"/>
          <w:szCs w:val="24"/>
        </w:rPr>
        <w:t>本项目大气环境影响评价工作等级为二级，根据《环境影响评价技术导则大气</w:t>
      </w:r>
      <w:r>
        <w:rPr>
          <w:rFonts w:ascii="宋体" w:hAnsi="宋体" w:eastAsia="宋体" w:cs="宋体"/>
          <w:spacing w:val="9"/>
          <w:sz w:val="24"/>
          <w:szCs w:val="24"/>
        </w:rPr>
        <w:t xml:space="preserve"> </w:t>
      </w:r>
      <w:r>
        <w:rPr>
          <w:rFonts w:ascii="宋体" w:hAnsi="宋体" w:eastAsia="宋体" w:cs="宋体"/>
          <w:spacing w:val="-2"/>
          <w:sz w:val="24"/>
          <w:szCs w:val="24"/>
        </w:rPr>
        <w:t>环境》（</w:t>
      </w:r>
      <w:r>
        <w:rPr>
          <w:rFonts w:ascii="Times New Roman" w:hAnsi="Times New Roman" w:eastAsia="Times New Roman" w:cs="Times New Roman"/>
          <w:spacing w:val="-2"/>
          <w:sz w:val="24"/>
          <w:szCs w:val="24"/>
        </w:rPr>
        <w:t>HJ2.2-2018</w:t>
      </w:r>
      <w:r>
        <w:rPr>
          <w:rFonts w:ascii="宋体" w:hAnsi="宋体" w:eastAsia="宋体" w:cs="宋体"/>
          <w:spacing w:val="-2"/>
          <w:sz w:val="24"/>
          <w:szCs w:val="24"/>
        </w:rPr>
        <w:t>），本项目环境空气质量现状调查和评价的内容和目的包括：①</w:t>
      </w:r>
      <w:r>
        <w:rPr>
          <w:rFonts w:ascii="宋体" w:hAnsi="宋体" w:eastAsia="宋体" w:cs="宋体"/>
          <w:spacing w:val="1"/>
          <w:sz w:val="24"/>
          <w:szCs w:val="24"/>
        </w:rPr>
        <w:t xml:space="preserve"> </w:t>
      </w:r>
      <w:r>
        <w:rPr>
          <w:rFonts w:ascii="宋体" w:hAnsi="宋体" w:eastAsia="宋体" w:cs="宋体"/>
          <w:spacing w:val="2"/>
          <w:sz w:val="24"/>
          <w:szCs w:val="24"/>
        </w:rPr>
        <w:t>调查本项目所在区域环境质量达标情况；②调查评价范围内有环境质量标准的评价</w:t>
      </w:r>
      <w:r>
        <w:rPr>
          <w:rFonts w:ascii="宋体" w:hAnsi="宋体" w:eastAsia="宋体" w:cs="宋体"/>
          <w:spacing w:val="7"/>
          <w:sz w:val="24"/>
          <w:szCs w:val="24"/>
        </w:rPr>
        <w:t xml:space="preserve"> </w:t>
      </w:r>
      <w:r>
        <w:rPr>
          <w:rFonts w:ascii="宋体" w:hAnsi="宋体" w:eastAsia="宋体" w:cs="宋体"/>
          <w:spacing w:val="2"/>
          <w:sz w:val="24"/>
          <w:szCs w:val="24"/>
        </w:rPr>
        <w:t>因子的环境质量监测数据或进行补充监测，用于评价项目所在区域污染物环境质量</w:t>
      </w:r>
      <w:r>
        <w:rPr>
          <w:rFonts w:ascii="宋体" w:hAnsi="宋体" w:eastAsia="宋体" w:cs="宋体"/>
          <w:spacing w:val="7"/>
          <w:sz w:val="24"/>
          <w:szCs w:val="24"/>
        </w:rPr>
        <w:t xml:space="preserve"> </w:t>
      </w:r>
      <w:r>
        <w:rPr>
          <w:rFonts w:ascii="宋体" w:hAnsi="宋体" w:eastAsia="宋体" w:cs="宋体"/>
          <w:spacing w:val="-2"/>
          <w:sz w:val="24"/>
          <w:szCs w:val="24"/>
        </w:rPr>
        <w:t>现状。本项目基本污染物为</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S</w:t>
      </w:r>
      <w:r>
        <w:rPr>
          <w:rFonts w:ascii="宋体" w:hAnsi="宋体" w:eastAsia="宋体" w:cs="宋体"/>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12"/>
          <w:position w:val="-1"/>
          <w:sz w:val="15"/>
          <w:szCs w:val="15"/>
        </w:rPr>
        <w:t xml:space="preserve"> </w:t>
      </w:r>
      <w:r>
        <w:rPr>
          <w:rFonts w:ascii="宋体" w:hAnsi="宋体" w:eastAsia="宋体" w:cs="宋体"/>
          <w:spacing w:val="-2"/>
          <w:sz w:val="24"/>
          <w:szCs w:val="24"/>
        </w:rPr>
        <w:t>、臭气浓度。本</w:t>
      </w:r>
      <w:r>
        <w:rPr>
          <w:rFonts w:ascii="宋体" w:hAnsi="宋体" w:eastAsia="宋体" w:cs="宋体"/>
          <w:spacing w:val="-3"/>
          <w:sz w:val="24"/>
          <w:szCs w:val="24"/>
        </w:rPr>
        <w:t>项目环境空气质量现状调查与</w:t>
      </w:r>
      <w:r>
        <w:rPr>
          <w:rFonts w:ascii="宋体" w:hAnsi="宋体" w:eastAsia="宋体" w:cs="宋体"/>
          <w:sz w:val="24"/>
          <w:szCs w:val="24"/>
        </w:rPr>
        <w:t xml:space="preserve"> 评价包括空气质量达标区判定、其他污染物环境质</w:t>
      </w:r>
      <w:r>
        <w:rPr>
          <w:rFonts w:ascii="宋体" w:hAnsi="宋体" w:eastAsia="宋体" w:cs="宋体"/>
          <w:spacing w:val="-1"/>
          <w:sz w:val="24"/>
          <w:szCs w:val="24"/>
        </w:rPr>
        <w:t>量现状评价两个部分。</w:t>
      </w:r>
    </w:p>
    <w:p w14:paraId="2ED7EA61">
      <w:pPr>
        <w:spacing w:before="34" w:line="221"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4.3.1</w:t>
      </w:r>
      <w:r>
        <w:rPr>
          <w:rFonts w:ascii="宋体" w:hAnsi="宋体" w:eastAsia="宋体" w:cs="宋体"/>
          <w:b/>
          <w:bCs/>
          <w:spacing w:val="-2"/>
          <w:sz w:val="24"/>
          <w:szCs w:val="24"/>
        </w:rPr>
        <w:t>空气质量达标区判定</w:t>
      </w:r>
    </w:p>
    <w:p w14:paraId="78BA2985">
      <w:pPr>
        <w:spacing w:before="163" w:line="372" w:lineRule="auto"/>
        <w:ind w:left="115" w:right="94" w:firstLine="487"/>
        <w:jc w:val="both"/>
        <w:rPr>
          <w:rFonts w:ascii="宋体" w:hAnsi="宋体" w:eastAsia="宋体" w:cs="宋体"/>
          <w:sz w:val="24"/>
          <w:szCs w:val="24"/>
        </w:rPr>
      </w:pPr>
      <w:r>
        <w:rPr>
          <w:rFonts w:ascii="宋体" w:hAnsi="宋体" w:eastAsia="宋体" w:cs="宋体"/>
          <w:spacing w:val="3"/>
          <w:sz w:val="24"/>
          <w:szCs w:val="24"/>
        </w:rPr>
        <w:t>根据汕尾市生态环境局网站分布的《</w:t>
      </w:r>
      <w:r>
        <w:rPr>
          <w:rFonts w:ascii="Times New Roman" w:hAnsi="Times New Roman" w:eastAsia="Times New Roman" w:cs="Times New Roman"/>
          <w:spacing w:val="3"/>
          <w:sz w:val="24"/>
          <w:szCs w:val="24"/>
        </w:rPr>
        <w:t xml:space="preserve">2019 </w:t>
      </w:r>
      <w:r>
        <w:rPr>
          <w:rFonts w:ascii="宋体" w:hAnsi="宋体" w:eastAsia="宋体" w:cs="宋体"/>
          <w:spacing w:val="3"/>
          <w:sz w:val="24"/>
          <w:szCs w:val="24"/>
        </w:rPr>
        <w:t>年汕尾市生态环境状况公报》</w:t>
      </w:r>
      <w:r>
        <w:rPr>
          <w:rFonts w:ascii="Times New Roman" w:hAnsi="Times New Roman" w:eastAsia="Times New Roman" w:cs="Times New Roman"/>
          <w:spacing w:val="3"/>
          <w:sz w:val="24"/>
          <w:szCs w:val="24"/>
        </w:rPr>
        <w:t>(</w:t>
      </w:r>
      <w:r>
        <w:rPr>
          <w:rFonts w:ascii="宋体" w:hAnsi="宋体" w:eastAsia="宋体" w:cs="宋体"/>
          <w:spacing w:val="3"/>
          <w:sz w:val="24"/>
          <w:szCs w:val="24"/>
        </w:rPr>
        <w:t>网址</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 xml:space="preserve"> </w:t>
      </w:r>
      <w:r>
        <w:fldChar w:fldCharType="begin"/>
      </w:r>
      <w:r>
        <w:instrText xml:space="preserve"> HYPERLINK "http://www.shanwei.gov.cn/swhbj/477/504/content/post_592345.html" </w:instrText>
      </w:r>
      <w:r>
        <w:fldChar w:fldCharType="separate"/>
      </w:r>
      <w:r>
        <w:rPr>
          <w:rFonts w:ascii="Times New Roman" w:hAnsi="Times New Roman" w:eastAsia="Times New Roman" w:cs="Times New Roman"/>
          <w:sz w:val="24"/>
          <w:szCs w:val="24"/>
        </w:rPr>
        <w:t>http://www.shanwei.gov.cn/swhbj/477/504/c</w:t>
      </w:r>
      <w:r>
        <w:rPr>
          <w:rFonts w:ascii="Times New Roman" w:hAnsi="Times New Roman" w:eastAsia="Times New Roman" w:cs="Times New Roman"/>
          <w:spacing w:val="-1"/>
          <w:sz w:val="24"/>
          <w:szCs w:val="24"/>
        </w:rPr>
        <w:t>ontent/post_592345.html</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2019 </w:t>
      </w:r>
      <w:r>
        <w:rPr>
          <w:rFonts w:ascii="宋体" w:hAnsi="宋体" w:eastAsia="宋体" w:cs="宋体"/>
          <w:spacing w:val="-1"/>
          <w:sz w:val="24"/>
          <w:szCs w:val="24"/>
        </w:rPr>
        <w:t>年汕尾市全</w:t>
      </w:r>
      <w:r>
        <w:rPr>
          <w:rFonts w:ascii="宋体" w:hAnsi="宋体" w:eastAsia="宋体" w:cs="宋体"/>
          <w:sz w:val="24"/>
          <w:szCs w:val="24"/>
        </w:rPr>
        <w:t xml:space="preserve"> </w:t>
      </w:r>
      <w:r>
        <w:rPr>
          <w:rFonts w:ascii="宋体" w:hAnsi="宋体" w:eastAsia="宋体" w:cs="宋体"/>
          <w:spacing w:val="2"/>
          <w:sz w:val="24"/>
          <w:szCs w:val="24"/>
        </w:rPr>
        <w:t>市生态环境质量继续保持良好，城市空气质量</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项污染物年评价浓度均达到国家二</w:t>
      </w:r>
      <w:r>
        <w:rPr>
          <w:rFonts w:ascii="宋体" w:hAnsi="宋体" w:eastAsia="宋体" w:cs="宋体"/>
          <w:sz w:val="24"/>
          <w:szCs w:val="24"/>
        </w:rPr>
        <w:t xml:space="preserve"> </w:t>
      </w:r>
      <w:r>
        <w:rPr>
          <w:rFonts w:ascii="宋体" w:hAnsi="宋体" w:eastAsia="宋体" w:cs="宋体"/>
          <w:spacing w:val="2"/>
          <w:sz w:val="24"/>
          <w:szCs w:val="24"/>
        </w:rPr>
        <w:t>级标准，环境空气质量综合指数连续五年全省排名第一，由此说明本项目所在地汕</w:t>
      </w:r>
      <w:r>
        <w:rPr>
          <w:rFonts w:ascii="宋体" w:hAnsi="宋体" w:eastAsia="宋体" w:cs="宋体"/>
          <w:spacing w:val="14"/>
          <w:sz w:val="24"/>
          <w:szCs w:val="24"/>
        </w:rPr>
        <w:t xml:space="preserve"> </w:t>
      </w:r>
      <w:r>
        <w:rPr>
          <w:rFonts w:ascii="宋体" w:hAnsi="宋体" w:eastAsia="宋体" w:cs="宋体"/>
          <w:spacing w:val="-1"/>
          <w:sz w:val="24"/>
          <w:szCs w:val="24"/>
        </w:rPr>
        <w:t>尾市的环境空气质量现状良好。根据汕尾市人民政府网站</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2019 </w:t>
      </w:r>
      <w:r>
        <w:rPr>
          <w:rFonts w:ascii="宋体" w:hAnsi="宋体" w:eastAsia="宋体" w:cs="宋体"/>
          <w:spacing w:val="-1"/>
          <w:sz w:val="24"/>
          <w:szCs w:val="24"/>
        </w:rPr>
        <w:t>年环境质量报告环境</w:t>
      </w:r>
      <w:r>
        <w:rPr>
          <w:rFonts w:ascii="宋体" w:hAnsi="宋体" w:eastAsia="宋体" w:cs="宋体"/>
          <w:sz w:val="24"/>
          <w:szCs w:val="24"/>
        </w:rPr>
        <w:t xml:space="preserve"> 空气质量数据，本项目所在区域属于达标区。详见</w:t>
      </w:r>
      <w:r>
        <w:rPr>
          <w:rFonts w:ascii="宋体" w:hAnsi="宋体" w:eastAsia="宋体" w:cs="宋体"/>
          <w:spacing w:val="-1"/>
          <w:sz w:val="24"/>
          <w:szCs w:val="24"/>
        </w:rPr>
        <w:t>下表：</w:t>
      </w:r>
    </w:p>
    <w:p w14:paraId="737C2023">
      <w:pPr>
        <w:spacing w:before="85" w:line="227" w:lineRule="auto"/>
        <w:ind w:left="3137"/>
        <w:rPr>
          <w:rFonts w:ascii="宋体" w:hAnsi="宋体" w:eastAsia="宋体" w:cs="宋体"/>
          <w:sz w:val="20"/>
          <w:szCs w:val="20"/>
        </w:rPr>
      </w:pPr>
      <w:r>
        <w:rPr>
          <w:rFonts w:ascii="宋体" w:hAnsi="宋体" w:eastAsia="宋体" w:cs="宋体"/>
          <w:b/>
          <w:bCs/>
          <w:spacing w:val="4"/>
          <w:sz w:val="20"/>
          <w:szCs w:val="20"/>
        </w:rPr>
        <w:t>表</w:t>
      </w:r>
      <w:r>
        <w:rPr>
          <w:rFonts w:ascii="宋体" w:hAnsi="宋体" w:eastAsia="宋体" w:cs="宋体"/>
          <w:spacing w:val="-26"/>
          <w:sz w:val="20"/>
          <w:szCs w:val="20"/>
        </w:rPr>
        <w:t xml:space="preserve"> </w:t>
      </w:r>
      <w:r>
        <w:rPr>
          <w:rFonts w:ascii="Times New Roman" w:hAnsi="Times New Roman" w:eastAsia="Times New Roman" w:cs="Times New Roman"/>
          <w:b/>
          <w:bCs/>
          <w:spacing w:val="4"/>
          <w:sz w:val="20"/>
          <w:szCs w:val="20"/>
        </w:rPr>
        <w:t>4.3-1</w:t>
      </w:r>
      <w:r>
        <w:rPr>
          <w:rFonts w:ascii="Times New Roman" w:hAnsi="Times New Roman" w:eastAsia="Times New Roman" w:cs="Times New Roman"/>
          <w:b/>
          <w:bCs/>
          <w:spacing w:val="15"/>
          <w:sz w:val="20"/>
          <w:szCs w:val="20"/>
        </w:rPr>
        <w:t xml:space="preserve">  </w:t>
      </w:r>
      <w:r>
        <w:rPr>
          <w:rFonts w:ascii="宋体" w:hAnsi="宋体" w:eastAsia="宋体" w:cs="宋体"/>
          <w:b/>
          <w:bCs/>
          <w:spacing w:val="4"/>
          <w:sz w:val="20"/>
          <w:szCs w:val="20"/>
        </w:rPr>
        <w:t>区域空气质量现状评价表</w:t>
      </w:r>
    </w:p>
    <w:p w14:paraId="3CC6D8C1">
      <w:pPr>
        <w:spacing w:line="105"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2"/>
        <w:gridCol w:w="939"/>
        <w:gridCol w:w="2085"/>
        <w:gridCol w:w="1416"/>
        <w:gridCol w:w="1417"/>
        <w:gridCol w:w="1022"/>
        <w:gridCol w:w="1269"/>
      </w:tblGrid>
      <w:tr w14:paraId="71CF4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802" w:type="dxa"/>
            <w:vAlign w:val="top"/>
          </w:tcPr>
          <w:p w14:paraId="733282CE">
            <w:pPr>
              <w:pStyle w:val="6"/>
              <w:spacing w:before="62" w:line="229" w:lineRule="auto"/>
              <w:ind w:left="176"/>
            </w:pPr>
            <w:r>
              <w:rPr>
                <w:b/>
                <w:bCs/>
                <w:spacing w:val="13"/>
              </w:rPr>
              <w:t>所在</w:t>
            </w:r>
          </w:p>
          <w:p w14:paraId="5167327B">
            <w:pPr>
              <w:pStyle w:val="6"/>
              <w:spacing w:before="78" w:line="229" w:lineRule="auto"/>
              <w:ind w:left="192"/>
            </w:pPr>
            <w:r>
              <w:rPr>
                <w:b/>
                <w:bCs/>
                <w:spacing w:val="5"/>
              </w:rPr>
              <w:t>区域</w:t>
            </w:r>
          </w:p>
        </w:tc>
        <w:tc>
          <w:tcPr>
            <w:tcW w:w="939" w:type="dxa"/>
            <w:vAlign w:val="top"/>
          </w:tcPr>
          <w:p w14:paraId="49B277A3">
            <w:pPr>
              <w:pStyle w:val="6"/>
              <w:spacing w:before="225" w:line="229" w:lineRule="auto"/>
              <w:ind w:left="130"/>
            </w:pPr>
            <w:r>
              <w:rPr>
                <w:b/>
                <w:bCs/>
                <w:spacing w:val="17"/>
              </w:rPr>
              <w:t>污染物</w:t>
            </w:r>
          </w:p>
        </w:tc>
        <w:tc>
          <w:tcPr>
            <w:tcW w:w="2085" w:type="dxa"/>
            <w:vAlign w:val="top"/>
          </w:tcPr>
          <w:p w14:paraId="7D75F763">
            <w:pPr>
              <w:pStyle w:val="6"/>
              <w:spacing w:before="225" w:line="227" w:lineRule="auto"/>
              <w:ind w:left="471"/>
            </w:pPr>
            <w:r>
              <w:rPr>
                <w:b/>
                <w:bCs/>
                <w:spacing w:val="22"/>
              </w:rPr>
              <w:t>年评价指标</w:t>
            </w:r>
          </w:p>
        </w:tc>
        <w:tc>
          <w:tcPr>
            <w:tcW w:w="1416" w:type="dxa"/>
            <w:vAlign w:val="top"/>
          </w:tcPr>
          <w:p w14:paraId="2E7846F5">
            <w:pPr>
              <w:pStyle w:val="6"/>
              <w:spacing w:before="62" w:line="228" w:lineRule="auto"/>
              <w:ind w:left="254"/>
            </w:pPr>
            <w:r>
              <w:rPr>
                <w:b/>
                <w:bCs/>
                <w:spacing w:val="21"/>
              </w:rPr>
              <w:t>现状浓度</w:t>
            </w:r>
          </w:p>
          <w:p w14:paraId="3C6A6058">
            <w:pPr>
              <w:pStyle w:val="6"/>
              <w:spacing w:before="78" w:line="221" w:lineRule="auto"/>
              <w:ind w:left="305"/>
            </w:pPr>
            <w:r>
              <w:rPr>
                <w:b/>
                <w:bCs/>
                <w:spacing w:val="10"/>
              </w:rPr>
              <w:t>(</w:t>
            </w:r>
            <w:r>
              <w:rPr>
                <w:rFonts w:ascii="Times New Roman" w:hAnsi="Times New Roman" w:eastAsia="Times New Roman" w:cs="Times New Roman"/>
                <w:b/>
                <w:bCs/>
                <w:spacing w:val="10"/>
              </w:rPr>
              <w:t>μg/m</w:t>
            </w:r>
            <w:r>
              <w:rPr>
                <w:rFonts w:ascii="Times New Roman" w:hAnsi="Times New Roman" w:eastAsia="Times New Roman" w:cs="Times New Roman"/>
                <w:b/>
                <w:bCs/>
                <w:spacing w:val="10"/>
                <w:position w:val="6"/>
                <w:sz w:val="13"/>
                <w:szCs w:val="13"/>
              </w:rPr>
              <w:t>3</w:t>
            </w:r>
            <w:r>
              <w:rPr>
                <w:b/>
                <w:bCs/>
                <w:spacing w:val="10"/>
              </w:rPr>
              <w:t>）</w:t>
            </w:r>
          </w:p>
        </w:tc>
        <w:tc>
          <w:tcPr>
            <w:tcW w:w="1417" w:type="dxa"/>
            <w:vAlign w:val="top"/>
          </w:tcPr>
          <w:p w14:paraId="2D4A80DD">
            <w:pPr>
              <w:pStyle w:val="6"/>
              <w:spacing w:before="62" w:line="228" w:lineRule="auto"/>
              <w:ind w:left="371"/>
            </w:pPr>
            <w:r>
              <w:rPr>
                <w:b/>
                <w:bCs/>
                <w:spacing w:val="18"/>
              </w:rPr>
              <w:t>标准值</w:t>
            </w:r>
          </w:p>
          <w:p w14:paraId="729D812C">
            <w:pPr>
              <w:pStyle w:val="6"/>
              <w:spacing w:before="78" w:line="221" w:lineRule="auto"/>
              <w:ind w:left="308"/>
            </w:pPr>
            <w:r>
              <w:rPr>
                <w:b/>
                <w:bCs/>
                <w:spacing w:val="10"/>
              </w:rPr>
              <w:t>(</w:t>
            </w:r>
            <w:r>
              <w:rPr>
                <w:rFonts w:ascii="Times New Roman" w:hAnsi="Times New Roman" w:eastAsia="Times New Roman" w:cs="Times New Roman"/>
                <w:b/>
                <w:bCs/>
                <w:spacing w:val="10"/>
              </w:rPr>
              <w:t>μg/m</w:t>
            </w:r>
            <w:r>
              <w:rPr>
                <w:rFonts w:ascii="Times New Roman" w:hAnsi="Times New Roman" w:eastAsia="Times New Roman" w:cs="Times New Roman"/>
                <w:b/>
                <w:bCs/>
                <w:spacing w:val="10"/>
                <w:position w:val="6"/>
                <w:sz w:val="13"/>
                <w:szCs w:val="13"/>
              </w:rPr>
              <w:t>3</w:t>
            </w:r>
            <w:r>
              <w:rPr>
                <w:b/>
                <w:bCs/>
                <w:spacing w:val="10"/>
              </w:rPr>
              <w:t>）</w:t>
            </w:r>
          </w:p>
        </w:tc>
        <w:tc>
          <w:tcPr>
            <w:tcW w:w="1022" w:type="dxa"/>
            <w:vAlign w:val="top"/>
          </w:tcPr>
          <w:p w14:paraId="086C5A59">
            <w:pPr>
              <w:pStyle w:val="6"/>
              <w:spacing w:before="62" w:line="228" w:lineRule="auto"/>
              <w:ind w:left="207"/>
            </w:pPr>
            <w:r>
              <w:rPr>
                <w:b/>
                <w:bCs/>
                <w:spacing w:val="7"/>
              </w:rPr>
              <w:t>占标率</w:t>
            </w:r>
          </w:p>
          <w:p w14:paraId="169DB863">
            <w:pPr>
              <w:spacing w:before="114" w:line="195" w:lineRule="auto"/>
              <w:ind w:left="366"/>
              <w:rPr>
                <w:rFonts w:ascii="Times New Roman" w:hAnsi="Times New Roman" w:eastAsia="Times New Roman" w:cs="Times New Roman"/>
                <w:sz w:val="20"/>
                <w:szCs w:val="20"/>
              </w:rPr>
            </w:pPr>
            <w:r>
              <w:rPr>
                <w:rFonts w:ascii="Times New Roman" w:hAnsi="Times New Roman" w:eastAsia="Times New Roman" w:cs="Times New Roman"/>
                <w:b/>
                <w:bCs/>
                <w:spacing w:val="9"/>
                <w:sz w:val="20"/>
                <w:szCs w:val="20"/>
              </w:rPr>
              <w:t>/%</w:t>
            </w:r>
          </w:p>
        </w:tc>
        <w:tc>
          <w:tcPr>
            <w:tcW w:w="1269" w:type="dxa"/>
            <w:vAlign w:val="top"/>
          </w:tcPr>
          <w:p w14:paraId="77181BE5">
            <w:pPr>
              <w:pStyle w:val="6"/>
              <w:spacing w:before="225" w:line="229" w:lineRule="auto"/>
              <w:ind w:left="179"/>
            </w:pPr>
            <w:r>
              <w:rPr>
                <w:b/>
                <w:bCs/>
                <w:spacing w:val="21"/>
              </w:rPr>
              <w:t>达标情况</w:t>
            </w:r>
          </w:p>
        </w:tc>
      </w:tr>
      <w:tr w14:paraId="79F10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02" w:type="dxa"/>
            <w:vMerge w:val="restart"/>
            <w:tcBorders>
              <w:bottom w:val="nil"/>
            </w:tcBorders>
            <w:vAlign w:val="top"/>
          </w:tcPr>
          <w:p w14:paraId="171E0A81">
            <w:pPr>
              <w:spacing w:line="275" w:lineRule="auto"/>
              <w:rPr>
                <w:rFonts w:ascii="Arial"/>
                <w:sz w:val="21"/>
              </w:rPr>
            </w:pPr>
          </w:p>
          <w:p w14:paraId="5C1BC31F">
            <w:pPr>
              <w:spacing w:line="276" w:lineRule="auto"/>
              <w:rPr>
                <w:rFonts w:ascii="Arial"/>
                <w:sz w:val="21"/>
              </w:rPr>
            </w:pPr>
          </w:p>
          <w:p w14:paraId="16722D3F">
            <w:pPr>
              <w:spacing w:line="276" w:lineRule="auto"/>
              <w:rPr>
                <w:rFonts w:ascii="Arial"/>
                <w:sz w:val="21"/>
              </w:rPr>
            </w:pPr>
          </w:p>
          <w:p w14:paraId="5468E159">
            <w:pPr>
              <w:pStyle w:val="6"/>
              <w:spacing w:before="65" w:line="303" w:lineRule="auto"/>
              <w:ind w:left="297" w:right="189" w:hanging="118"/>
            </w:pPr>
            <w:r>
              <w:rPr>
                <w:spacing w:val="14"/>
              </w:rPr>
              <w:t>汕尾</w:t>
            </w:r>
            <w:r>
              <w:t xml:space="preserve"> 市</w:t>
            </w:r>
          </w:p>
        </w:tc>
        <w:tc>
          <w:tcPr>
            <w:tcW w:w="939" w:type="dxa"/>
            <w:vAlign w:val="top"/>
          </w:tcPr>
          <w:p w14:paraId="37C90364">
            <w:pPr>
              <w:spacing w:before="94" w:line="235" w:lineRule="auto"/>
              <w:ind w:left="296"/>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SO</w:t>
            </w:r>
            <w:r>
              <w:rPr>
                <w:rFonts w:ascii="Times New Roman" w:hAnsi="Times New Roman" w:eastAsia="Times New Roman" w:cs="Times New Roman"/>
                <w:spacing w:val="7"/>
                <w:sz w:val="13"/>
                <w:szCs w:val="13"/>
              </w:rPr>
              <w:t>2</w:t>
            </w:r>
          </w:p>
        </w:tc>
        <w:tc>
          <w:tcPr>
            <w:tcW w:w="2085" w:type="dxa"/>
            <w:vAlign w:val="top"/>
          </w:tcPr>
          <w:p w14:paraId="2767E450">
            <w:pPr>
              <w:pStyle w:val="6"/>
              <w:spacing w:before="59" w:line="228" w:lineRule="auto"/>
              <w:ind w:left="243"/>
            </w:pPr>
            <w:r>
              <w:rPr>
                <w:spacing w:val="25"/>
              </w:rPr>
              <w:t>年平均质量浓度</w:t>
            </w:r>
          </w:p>
        </w:tc>
        <w:tc>
          <w:tcPr>
            <w:tcW w:w="1416" w:type="dxa"/>
            <w:vAlign w:val="top"/>
          </w:tcPr>
          <w:p w14:paraId="72D87923">
            <w:pPr>
              <w:spacing w:before="28" w:line="274" w:lineRule="exact"/>
              <w:ind w:left="66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417" w:type="dxa"/>
            <w:vAlign w:val="top"/>
          </w:tcPr>
          <w:p w14:paraId="20DB0519">
            <w:pPr>
              <w:spacing w:before="28" w:line="274" w:lineRule="exact"/>
              <w:ind w:left="5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60</w:t>
            </w:r>
          </w:p>
        </w:tc>
        <w:tc>
          <w:tcPr>
            <w:tcW w:w="1022" w:type="dxa"/>
            <w:vAlign w:val="top"/>
          </w:tcPr>
          <w:p w14:paraId="534CD926">
            <w:pPr>
              <w:spacing w:before="28"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13.3</w:t>
            </w:r>
          </w:p>
        </w:tc>
        <w:tc>
          <w:tcPr>
            <w:tcW w:w="1269" w:type="dxa"/>
            <w:vAlign w:val="top"/>
          </w:tcPr>
          <w:p w14:paraId="6EC79B40">
            <w:pPr>
              <w:pStyle w:val="6"/>
              <w:spacing w:before="58" w:line="229" w:lineRule="auto"/>
              <w:ind w:left="410"/>
            </w:pPr>
            <w:r>
              <w:rPr>
                <w:spacing w:val="16"/>
              </w:rPr>
              <w:t>达标</w:t>
            </w:r>
          </w:p>
        </w:tc>
      </w:tr>
      <w:tr w14:paraId="257DA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02" w:type="dxa"/>
            <w:vMerge w:val="continue"/>
            <w:tcBorders>
              <w:top w:val="nil"/>
              <w:bottom w:val="nil"/>
            </w:tcBorders>
            <w:vAlign w:val="top"/>
          </w:tcPr>
          <w:p w14:paraId="773E172E">
            <w:pPr>
              <w:rPr>
                <w:rFonts w:ascii="Arial"/>
                <w:sz w:val="21"/>
              </w:rPr>
            </w:pPr>
          </w:p>
        </w:tc>
        <w:tc>
          <w:tcPr>
            <w:tcW w:w="939" w:type="dxa"/>
            <w:vAlign w:val="top"/>
          </w:tcPr>
          <w:p w14:paraId="6533756E">
            <w:pPr>
              <w:spacing w:before="95" w:line="234" w:lineRule="auto"/>
              <w:ind w:left="261"/>
              <w:rPr>
                <w:rFonts w:ascii="Times New Roman" w:hAnsi="Times New Roman" w:eastAsia="Times New Roman" w:cs="Times New Roman"/>
                <w:sz w:val="13"/>
                <w:szCs w:val="13"/>
              </w:rPr>
            </w:pPr>
            <w:r>
              <w:rPr>
                <w:rFonts w:ascii="Times New Roman" w:hAnsi="Times New Roman" w:eastAsia="Times New Roman" w:cs="Times New Roman"/>
                <w:spacing w:val="13"/>
                <w:sz w:val="20"/>
                <w:szCs w:val="20"/>
              </w:rPr>
              <w:t>NO</w:t>
            </w:r>
            <w:r>
              <w:rPr>
                <w:rFonts w:ascii="Times New Roman" w:hAnsi="Times New Roman" w:eastAsia="Times New Roman" w:cs="Times New Roman"/>
                <w:spacing w:val="13"/>
                <w:sz w:val="13"/>
                <w:szCs w:val="13"/>
              </w:rPr>
              <w:t>2</w:t>
            </w:r>
          </w:p>
        </w:tc>
        <w:tc>
          <w:tcPr>
            <w:tcW w:w="2085" w:type="dxa"/>
            <w:vAlign w:val="top"/>
          </w:tcPr>
          <w:p w14:paraId="0F89DE62">
            <w:pPr>
              <w:pStyle w:val="6"/>
              <w:spacing w:before="60" w:line="228" w:lineRule="auto"/>
              <w:ind w:left="243"/>
            </w:pPr>
            <w:r>
              <w:rPr>
                <w:spacing w:val="25"/>
              </w:rPr>
              <w:t>年平均质量浓度</w:t>
            </w:r>
          </w:p>
        </w:tc>
        <w:tc>
          <w:tcPr>
            <w:tcW w:w="1416" w:type="dxa"/>
            <w:vAlign w:val="top"/>
          </w:tcPr>
          <w:p w14:paraId="612F0309">
            <w:pPr>
              <w:spacing w:before="29" w:line="274" w:lineRule="exact"/>
              <w:ind w:left="617"/>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1417" w:type="dxa"/>
            <w:vAlign w:val="top"/>
          </w:tcPr>
          <w:p w14:paraId="4B1EDBF3">
            <w:pPr>
              <w:spacing w:before="29" w:line="274" w:lineRule="exact"/>
              <w:ind w:left="59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40</w:t>
            </w:r>
          </w:p>
        </w:tc>
        <w:tc>
          <w:tcPr>
            <w:tcW w:w="1022" w:type="dxa"/>
            <w:vAlign w:val="top"/>
          </w:tcPr>
          <w:p w14:paraId="7748696E">
            <w:pPr>
              <w:spacing w:before="29"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3"/>
                <w:position w:val="2"/>
                <w:sz w:val="20"/>
                <w:szCs w:val="20"/>
              </w:rPr>
              <w:t>.5</w:t>
            </w:r>
          </w:p>
        </w:tc>
        <w:tc>
          <w:tcPr>
            <w:tcW w:w="1269" w:type="dxa"/>
            <w:vAlign w:val="top"/>
          </w:tcPr>
          <w:p w14:paraId="3E60E964">
            <w:pPr>
              <w:pStyle w:val="6"/>
              <w:spacing w:before="60" w:line="229" w:lineRule="auto"/>
              <w:ind w:left="410"/>
            </w:pPr>
            <w:r>
              <w:rPr>
                <w:spacing w:val="16"/>
              </w:rPr>
              <w:t>达标</w:t>
            </w:r>
          </w:p>
        </w:tc>
      </w:tr>
      <w:tr w14:paraId="2CB26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802" w:type="dxa"/>
            <w:vMerge w:val="continue"/>
            <w:tcBorders>
              <w:top w:val="nil"/>
              <w:bottom w:val="nil"/>
            </w:tcBorders>
            <w:vAlign w:val="top"/>
          </w:tcPr>
          <w:p w14:paraId="71B8DBC9">
            <w:pPr>
              <w:rPr>
                <w:rFonts w:ascii="Arial"/>
                <w:sz w:val="21"/>
              </w:rPr>
            </w:pPr>
          </w:p>
        </w:tc>
        <w:tc>
          <w:tcPr>
            <w:tcW w:w="939" w:type="dxa"/>
            <w:vAlign w:val="top"/>
          </w:tcPr>
          <w:p w14:paraId="00261E42">
            <w:pPr>
              <w:spacing w:before="99" w:line="230" w:lineRule="auto"/>
              <w:ind w:left="229"/>
              <w:rPr>
                <w:rFonts w:ascii="Times New Roman" w:hAnsi="Times New Roman" w:eastAsia="Times New Roman" w:cs="Times New Roman"/>
                <w:sz w:val="13"/>
                <w:szCs w:val="13"/>
              </w:rPr>
            </w:pPr>
            <w:r>
              <w:rPr>
                <w:rFonts w:ascii="Times New Roman" w:hAnsi="Times New Roman" w:eastAsia="Times New Roman" w:cs="Times New Roman"/>
                <w:spacing w:val="11"/>
                <w:position w:val="1"/>
                <w:sz w:val="20"/>
                <w:szCs w:val="20"/>
              </w:rPr>
              <w:t>PM</w:t>
            </w:r>
            <w:r>
              <w:rPr>
                <w:rFonts w:ascii="Times New Roman" w:hAnsi="Times New Roman" w:eastAsia="Times New Roman" w:cs="Times New Roman"/>
                <w:spacing w:val="11"/>
                <w:sz w:val="13"/>
                <w:szCs w:val="13"/>
              </w:rPr>
              <w:t>10</w:t>
            </w:r>
          </w:p>
        </w:tc>
        <w:tc>
          <w:tcPr>
            <w:tcW w:w="2085" w:type="dxa"/>
            <w:vAlign w:val="top"/>
          </w:tcPr>
          <w:p w14:paraId="4F7743A2">
            <w:pPr>
              <w:pStyle w:val="6"/>
              <w:spacing w:before="61" w:line="228" w:lineRule="auto"/>
              <w:ind w:left="243"/>
            </w:pPr>
            <w:r>
              <w:rPr>
                <w:spacing w:val="25"/>
              </w:rPr>
              <w:t>年平均质量浓度</w:t>
            </w:r>
          </w:p>
        </w:tc>
        <w:tc>
          <w:tcPr>
            <w:tcW w:w="1416" w:type="dxa"/>
            <w:vAlign w:val="top"/>
          </w:tcPr>
          <w:p w14:paraId="34B5F9FF">
            <w:pPr>
              <w:spacing w:before="30" w:line="274" w:lineRule="exact"/>
              <w:ind w:left="5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37</w:t>
            </w:r>
          </w:p>
        </w:tc>
        <w:tc>
          <w:tcPr>
            <w:tcW w:w="1417" w:type="dxa"/>
            <w:vAlign w:val="top"/>
          </w:tcPr>
          <w:p w14:paraId="69ACB0E9">
            <w:pPr>
              <w:spacing w:before="30" w:line="274" w:lineRule="exact"/>
              <w:ind w:left="5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w:t>
            </w:r>
          </w:p>
        </w:tc>
        <w:tc>
          <w:tcPr>
            <w:tcW w:w="1022" w:type="dxa"/>
            <w:vAlign w:val="top"/>
          </w:tcPr>
          <w:p w14:paraId="1B9D61EC">
            <w:pPr>
              <w:spacing w:before="30" w:line="274" w:lineRule="exact"/>
              <w:ind w:left="31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52.9</w:t>
            </w:r>
          </w:p>
        </w:tc>
        <w:tc>
          <w:tcPr>
            <w:tcW w:w="1269" w:type="dxa"/>
            <w:vAlign w:val="top"/>
          </w:tcPr>
          <w:p w14:paraId="0CDCA88C">
            <w:pPr>
              <w:pStyle w:val="6"/>
              <w:spacing w:before="60" w:line="229" w:lineRule="auto"/>
              <w:ind w:left="410"/>
            </w:pPr>
            <w:r>
              <w:rPr>
                <w:spacing w:val="16"/>
              </w:rPr>
              <w:t>达标</w:t>
            </w:r>
          </w:p>
        </w:tc>
      </w:tr>
      <w:tr w14:paraId="1DA47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02" w:type="dxa"/>
            <w:vMerge w:val="continue"/>
            <w:tcBorders>
              <w:top w:val="nil"/>
              <w:bottom w:val="nil"/>
            </w:tcBorders>
            <w:vAlign w:val="top"/>
          </w:tcPr>
          <w:p w14:paraId="02035B70">
            <w:pPr>
              <w:rPr>
                <w:rFonts w:ascii="Arial"/>
                <w:sz w:val="21"/>
              </w:rPr>
            </w:pPr>
          </w:p>
        </w:tc>
        <w:tc>
          <w:tcPr>
            <w:tcW w:w="939" w:type="dxa"/>
            <w:vAlign w:val="top"/>
          </w:tcPr>
          <w:p w14:paraId="6CECBB24">
            <w:pPr>
              <w:spacing w:before="100" w:line="230" w:lineRule="auto"/>
              <w:ind w:left="207"/>
              <w:rPr>
                <w:rFonts w:ascii="Times New Roman" w:hAnsi="Times New Roman" w:eastAsia="Times New Roman" w:cs="Times New Roman"/>
                <w:sz w:val="13"/>
                <w:szCs w:val="13"/>
              </w:rPr>
            </w:pPr>
            <w:r>
              <w:rPr>
                <w:rFonts w:ascii="Times New Roman" w:hAnsi="Times New Roman" w:eastAsia="Times New Roman" w:cs="Times New Roman"/>
                <w:spacing w:val="10"/>
                <w:sz w:val="20"/>
                <w:szCs w:val="20"/>
              </w:rPr>
              <w:t>PM</w:t>
            </w:r>
            <w:r>
              <w:rPr>
                <w:rFonts w:ascii="Times New Roman" w:hAnsi="Times New Roman" w:eastAsia="Times New Roman" w:cs="Times New Roman"/>
                <w:spacing w:val="10"/>
                <w:sz w:val="13"/>
                <w:szCs w:val="13"/>
              </w:rPr>
              <w:t>2.5</w:t>
            </w:r>
          </w:p>
        </w:tc>
        <w:tc>
          <w:tcPr>
            <w:tcW w:w="2085" w:type="dxa"/>
            <w:vAlign w:val="top"/>
          </w:tcPr>
          <w:p w14:paraId="21924258">
            <w:pPr>
              <w:pStyle w:val="6"/>
              <w:spacing w:before="62" w:line="228" w:lineRule="auto"/>
              <w:ind w:left="243"/>
            </w:pPr>
            <w:r>
              <w:rPr>
                <w:spacing w:val="25"/>
              </w:rPr>
              <w:t>年平均质量浓度</w:t>
            </w:r>
          </w:p>
        </w:tc>
        <w:tc>
          <w:tcPr>
            <w:tcW w:w="1416" w:type="dxa"/>
            <w:vAlign w:val="top"/>
          </w:tcPr>
          <w:p w14:paraId="47C9A841">
            <w:pPr>
              <w:spacing w:before="31" w:line="274" w:lineRule="exact"/>
              <w:ind w:left="594"/>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21</w:t>
            </w:r>
          </w:p>
        </w:tc>
        <w:tc>
          <w:tcPr>
            <w:tcW w:w="1417" w:type="dxa"/>
            <w:vAlign w:val="top"/>
          </w:tcPr>
          <w:p w14:paraId="11D614F2">
            <w:pPr>
              <w:spacing w:before="31" w:line="274" w:lineRule="exact"/>
              <w:ind w:left="5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35</w:t>
            </w:r>
          </w:p>
        </w:tc>
        <w:tc>
          <w:tcPr>
            <w:tcW w:w="1022" w:type="dxa"/>
            <w:vAlign w:val="top"/>
          </w:tcPr>
          <w:p w14:paraId="5F00FF23">
            <w:pPr>
              <w:spacing w:before="31" w:line="274" w:lineRule="exact"/>
              <w:ind w:left="315"/>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60.0</w:t>
            </w:r>
          </w:p>
        </w:tc>
        <w:tc>
          <w:tcPr>
            <w:tcW w:w="1269" w:type="dxa"/>
            <w:vAlign w:val="top"/>
          </w:tcPr>
          <w:p w14:paraId="1C52D92E">
            <w:pPr>
              <w:pStyle w:val="6"/>
              <w:spacing w:before="61" w:line="229" w:lineRule="auto"/>
              <w:ind w:left="410"/>
            </w:pPr>
            <w:r>
              <w:rPr>
                <w:spacing w:val="16"/>
              </w:rPr>
              <w:t>达标</w:t>
            </w:r>
          </w:p>
        </w:tc>
      </w:tr>
      <w:tr w14:paraId="08AD1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02" w:type="dxa"/>
            <w:vMerge w:val="continue"/>
            <w:tcBorders>
              <w:top w:val="nil"/>
              <w:bottom w:val="nil"/>
            </w:tcBorders>
            <w:vAlign w:val="top"/>
          </w:tcPr>
          <w:p w14:paraId="7BCB75D2">
            <w:pPr>
              <w:rPr>
                <w:rFonts w:ascii="Arial"/>
                <w:sz w:val="21"/>
              </w:rPr>
            </w:pPr>
          </w:p>
        </w:tc>
        <w:tc>
          <w:tcPr>
            <w:tcW w:w="939" w:type="dxa"/>
            <w:vAlign w:val="top"/>
          </w:tcPr>
          <w:p w14:paraId="6DF1B84C">
            <w:pPr>
              <w:spacing w:before="260"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CO</w:t>
            </w:r>
          </w:p>
        </w:tc>
        <w:tc>
          <w:tcPr>
            <w:tcW w:w="2085" w:type="dxa"/>
            <w:vAlign w:val="top"/>
          </w:tcPr>
          <w:p w14:paraId="77A04AC0">
            <w:pPr>
              <w:pStyle w:val="6"/>
              <w:spacing w:before="30" w:line="284" w:lineRule="auto"/>
              <w:ind w:left="586" w:right="126" w:hanging="475"/>
            </w:pPr>
            <w:r>
              <w:rPr>
                <w:rFonts w:ascii="Times New Roman" w:hAnsi="Times New Roman" w:eastAsia="Times New Roman" w:cs="Times New Roman"/>
                <w:spacing w:val="19"/>
              </w:rPr>
              <w:t xml:space="preserve">95 </w:t>
            </w:r>
            <w:r>
              <w:rPr>
                <w:spacing w:val="19"/>
              </w:rPr>
              <w:t>百分位数日平均</w:t>
            </w:r>
            <w:r>
              <w:rPr>
                <w:spacing w:val="1"/>
              </w:rPr>
              <w:t xml:space="preserve"> </w:t>
            </w:r>
            <w:r>
              <w:rPr>
                <w:spacing w:val="22"/>
              </w:rPr>
              <w:t>质量浓度</w:t>
            </w:r>
          </w:p>
        </w:tc>
        <w:tc>
          <w:tcPr>
            <w:tcW w:w="1416" w:type="dxa"/>
            <w:vAlign w:val="top"/>
          </w:tcPr>
          <w:p w14:paraId="0AE127F8">
            <w:pPr>
              <w:spacing w:before="194" w:line="274" w:lineRule="exact"/>
              <w:ind w:left="541"/>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900</w:t>
            </w:r>
          </w:p>
        </w:tc>
        <w:tc>
          <w:tcPr>
            <w:tcW w:w="1417" w:type="dxa"/>
            <w:vAlign w:val="top"/>
          </w:tcPr>
          <w:p w14:paraId="59BF853B">
            <w:pPr>
              <w:spacing w:before="194" w:line="274" w:lineRule="exact"/>
              <w:ind w:left="481"/>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4000</w:t>
            </w:r>
          </w:p>
        </w:tc>
        <w:tc>
          <w:tcPr>
            <w:tcW w:w="1022" w:type="dxa"/>
            <w:vAlign w:val="top"/>
          </w:tcPr>
          <w:p w14:paraId="1C967EED">
            <w:pPr>
              <w:spacing w:before="194"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22.5</w:t>
            </w:r>
          </w:p>
        </w:tc>
        <w:tc>
          <w:tcPr>
            <w:tcW w:w="1269" w:type="dxa"/>
            <w:vAlign w:val="top"/>
          </w:tcPr>
          <w:p w14:paraId="2431342E">
            <w:pPr>
              <w:pStyle w:val="6"/>
              <w:spacing w:before="225" w:line="229" w:lineRule="auto"/>
              <w:ind w:left="410"/>
            </w:pPr>
            <w:r>
              <w:rPr>
                <w:spacing w:val="16"/>
              </w:rPr>
              <w:t>达标</w:t>
            </w:r>
          </w:p>
        </w:tc>
      </w:tr>
      <w:tr w14:paraId="38C93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02" w:type="dxa"/>
            <w:vMerge w:val="continue"/>
            <w:tcBorders>
              <w:top w:val="nil"/>
            </w:tcBorders>
            <w:vAlign w:val="top"/>
          </w:tcPr>
          <w:p w14:paraId="758EE541">
            <w:pPr>
              <w:rPr>
                <w:rFonts w:ascii="Arial"/>
                <w:sz w:val="21"/>
              </w:rPr>
            </w:pPr>
          </w:p>
        </w:tc>
        <w:tc>
          <w:tcPr>
            <w:tcW w:w="939" w:type="dxa"/>
            <w:vAlign w:val="top"/>
          </w:tcPr>
          <w:p w14:paraId="6D5174CF">
            <w:pPr>
              <w:spacing w:before="99" w:line="234" w:lineRule="exact"/>
              <w:ind w:left="353"/>
              <w:rPr>
                <w:rFonts w:ascii="Times New Roman" w:hAnsi="Times New Roman" w:eastAsia="Times New Roman" w:cs="Times New Roman"/>
                <w:sz w:val="13"/>
                <w:szCs w:val="13"/>
              </w:rPr>
            </w:pPr>
            <w:r>
              <w:rPr>
                <w:rFonts w:ascii="Times New Roman" w:hAnsi="Times New Roman" w:eastAsia="Times New Roman" w:cs="Times New Roman"/>
                <w:spacing w:val="7"/>
                <w:position w:val="1"/>
                <w:sz w:val="20"/>
                <w:szCs w:val="20"/>
              </w:rPr>
              <w:t>O</w:t>
            </w:r>
            <w:r>
              <w:rPr>
                <w:rFonts w:ascii="Times New Roman" w:hAnsi="Times New Roman" w:eastAsia="Times New Roman" w:cs="Times New Roman"/>
                <w:spacing w:val="7"/>
                <w:sz w:val="13"/>
                <w:szCs w:val="13"/>
              </w:rPr>
              <w:t>3</w:t>
            </w:r>
          </w:p>
        </w:tc>
        <w:tc>
          <w:tcPr>
            <w:tcW w:w="2085" w:type="dxa"/>
            <w:vAlign w:val="top"/>
          </w:tcPr>
          <w:p w14:paraId="760A119A">
            <w:pPr>
              <w:pStyle w:val="6"/>
              <w:spacing w:before="32" w:line="274" w:lineRule="exact"/>
              <w:ind w:left="111"/>
              <w:rPr>
                <w:rFonts w:ascii="Times New Roman" w:hAnsi="Times New Roman" w:eastAsia="Times New Roman" w:cs="Times New Roman"/>
              </w:rPr>
            </w:pPr>
            <w:r>
              <w:rPr>
                <w:rFonts w:ascii="Times New Roman" w:hAnsi="Times New Roman" w:eastAsia="Times New Roman" w:cs="Times New Roman"/>
                <w:spacing w:val="16"/>
                <w:position w:val="1"/>
              </w:rPr>
              <w:t>90</w:t>
            </w:r>
            <w:r>
              <w:rPr>
                <w:rFonts w:ascii="Times New Roman" w:hAnsi="Times New Roman" w:eastAsia="Times New Roman" w:cs="Times New Roman"/>
                <w:spacing w:val="43"/>
                <w:position w:val="1"/>
              </w:rPr>
              <w:t xml:space="preserve"> </w:t>
            </w:r>
            <w:r>
              <w:rPr>
                <w:spacing w:val="16"/>
                <w:position w:val="1"/>
              </w:rPr>
              <w:t>百分位数最大</w:t>
            </w:r>
            <w:r>
              <w:rPr>
                <w:spacing w:val="-9"/>
                <w:position w:val="1"/>
              </w:rPr>
              <w:t xml:space="preserve"> </w:t>
            </w:r>
            <w:r>
              <w:rPr>
                <w:rFonts w:ascii="Times New Roman" w:hAnsi="Times New Roman" w:eastAsia="Times New Roman" w:cs="Times New Roman"/>
                <w:spacing w:val="16"/>
                <w:position w:val="1"/>
              </w:rPr>
              <w:t>8</w:t>
            </w:r>
          </w:p>
        </w:tc>
        <w:tc>
          <w:tcPr>
            <w:tcW w:w="1416" w:type="dxa"/>
            <w:vAlign w:val="top"/>
          </w:tcPr>
          <w:p w14:paraId="11988602">
            <w:pPr>
              <w:spacing w:before="32" w:line="274" w:lineRule="exact"/>
              <w:ind w:left="5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143</w:t>
            </w:r>
          </w:p>
        </w:tc>
        <w:tc>
          <w:tcPr>
            <w:tcW w:w="1417" w:type="dxa"/>
            <w:vAlign w:val="top"/>
          </w:tcPr>
          <w:p w14:paraId="6A7E896A">
            <w:pPr>
              <w:spacing w:before="32" w:line="274" w:lineRule="exact"/>
              <w:ind w:left="5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160</w:t>
            </w:r>
          </w:p>
        </w:tc>
        <w:tc>
          <w:tcPr>
            <w:tcW w:w="1022" w:type="dxa"/>
            <w:vAlign w:val="top"/>
          </w:tcPr>
          <w:p w14:paraId="0884E591">
            <w:pPr>
              <w:spacing w:before="32" w:line="274" w:lineRule="exact"/>
              <w:ind w:left="319"/>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89.4</w:t>
            </w:r>
          </w:p>
        </w:tc>
        <w:tc>
          <w:tcPr>
            <w:tcW w:w="1269" w:type="dxa"/>
            <w:vAlign w:val="top"/>
          </w:tcPr>
          <w:p w14:paraId="4050C34E">
            <w:pPr>
              <w:pStyle w:val="6"/>
              <w:spacing w:before="63" w:line="229" w:lineRule="auto"/>
              <w:ind w:left="410"/>
            </w:pPr>
            <w:r>
              <w:rPr>
                <w:spacing w:val="16"/>
              </w:rPr>
              <w:t>达标</w:t>
            </w:r>
          </w:p>
        </w:tc>
      </w:tr>
    </w:tbl>
    <w:p w14:paraId="756E9600">
      <w:pPr>
        <w:pStyle w:val="2"/>
      </w:pPr>
    </w:p>
    <w:p w14:paraId="3A05650A">
      <w:pPr>
        <w:sectPr>
          <w:footerReference r:id="rId96" w:type="default"/>
          <w:pgSz w:w="11906" w:h="16839"/>
          <w:pgMar w:top="400" w:right="1475" w:bottom="1485" w:left="1475" w:header="0" w:footer="1249" w:gutter="0"/>
          <w:cols w:space="720" w:num="1"/>
        </w:sectPr>
      </w:pPr>
    </w:p>
    <w:p w14:paraId="312956B3">
      <w:pPr>
        <w:pStyle w:val="2"/>
        <w:spacing w:line="369" w:lineRule="auto"/>
      </w:pPr>
    </w:p>
    <w:p w14:paraId="40BB063E">
      <w:pPr>
        <w:spacing w:before="78"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4.3.2</w:t>
      </w:r>
      <w:r>
        <w:rPr>
          <w:rFonts w:ascii="宋体" w:hAnsi="宋体" w:eastAsia="宋体" w:cs="宋体"/>
          <w:b/>
          <w:bCs/>
          <w:spacing w:val="-2"/>
          <w:sz w:val="24"/>
          <w:szCs w:val="24"/>
        </w:rPr>
        <w:t>其他污染物环境质量现状评价</w:t>
      </w:r>
    </w:p>
    <w:p w14:paraId="10C255C1">
      <w:pPr>
        <w:spacing w:before="204" w:line="222" w:lineRule="auto"/>
        <w:ind w:left="609"/>
        <w:rPr>
          <w:rFonts w:ascii="宋体" w:hAnsi="宋体" w:eastAsia="宋体" w:cs="宋体"/>
          <w:sz w:val="24"/>
          <w:szCs w:val="24"/>
        </w:rPr>
      </w:pPr>
      <w:r>
        <w:rPr>
          <w:rFonts w:ascii="Times New Roman" w:hAnsi="Times New Roman" w:eastAsia="Times New Roman" w:cs="Times New Roman"/>
          <w:b/>
          <w:bCs/>
          <w:spacing w:val="-8"/>
          <w:sz w:val="24"/>
          <w:szCs w:val="24"/>
        </w:rPr>
        <w:t>1</w:t>
      </w:r>
      <w:r>
        <w:rPr>
          <w:rFonts w:ascii="Times New Roman" w:hAnsi="Times New Roman" w:eastAsia="Times New Roman" w:cs="Times New Roman"/>
          <w:b/>
          <w:bCs/>
          <w:spacing w:val="-32"/>
          <w:sz w:val="24"/>
          <w:szCs w:val="24"/>
        </w:rPr>
        <w:t xml:space="preserve"> </w:t>
      </w:r>
      <w:r>
        <w:rPr>
          <w:rFonts w:ascii="宋体" w:hAnsi="宋体" w:eastAsia="宋体" w:cs="宋体"/>
          <w:b/>
          <w:bCs/>
          <w:spacing w:val="-8"/>
          <w:sz w:val="24"/>
          <w:szCs w:val="24"/>
        </w:rPr>
        <w:t>、监测点位置</w:t>
      </w:r>
    </w:p>
    <w:p w14:paraId="70ED0F8C">
      <w:pPr>
        <w:spacing w:before="165" w:line="389" w:lineRule="auto"/>
        <w:ind w:left="123" w:right="113" w:firstLine="481"/>
        <w:jc w:val="both"/>
        <w:rPr>
          <w:rFonts w:ascii="宋体" w:hAnsi="宋体" w:eastAsia="宋体" w:cs="宋体"/>
          <w:sz w:val="24"/>
          <w:szCs w:val="24"/>
        </w:rPr>
      </w:pPr>
      <w:r>
        <w:rPr>
          <w:rFonts w:ascii="宋体" w:hAnsi="宋体" w:eastAsia="宋体" w:cs="宋体"/>
          <w:spacing w:val="1"/>
          <w:sz w:val="24"/>
          <w:szCs w:val="24"/>
        </w:rPr>
        <w:t>建设单位委托委托广东惠利通检测技术有限公司在项目下风向共设置</w:t>
      </w:r>
      <w:r>
        <w:rPr>
          <w:rFonts w:ascii="宋体" w:hAnsi="宋体" w:eastAsia="宋体" w:cs="宋体"/>
          <w:spacing w:val="-20"/>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个大气</w:t>
      </w:r>
      <w:r>
        <w:rPr>
          <w:rFonts w:ascii="宋体" w:hAnsi="宋体" w:eastAsia="宋体" w:cs="宋体"/>
          <w:sz w:val="24"/>
          <w:szCs w:val="24"/>
        </w:rPr>
        <w:t xml:space="preserve"> </w:t>
      </w:r>
      <w:r>
        <w:rPr>
          <w:rFonts w:ascii="宋体" w:hAnsi="宋体" w:eastAsia="宋体" w:cs="宋体"/>
          <w:spacing w:val="2"/>
          <w:sz w:val="24"/>
          <w:szCs w:val="24"/>
        </w:rPr>
        <w:t xml:space="preserve">监测点，对项目所在区域环境空气质量现状进行监测。监测点位和本项目位置关系 </w:t>
      </w:r>
      <w:r>
        <w:rPr>
          <w:rFonts w:ascii="宋体" w:hAnsi="宋体" w:eastAsia="宋体" w:cs="宋体"/>
          <w:spacing w:val="-2"/>
          <w:sz w:val="24"/>
          <w:szCs w:val="24"/>
        </w:rPr>
        <w:t>见表</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4.3-2 </w:t>
      </w:r>
      <w:r>
        <w:rPr>
          <w:rFonts w:ascii="宋体" w:hAnsi="宋体" w:eastAsia="宋体" w:cs="宋体"/>
          <w:spacing w:val="-2"/>
          <w:sz w:val="24"/>
          <w:szCs w:val="24"/>
        </w:rPr>
        <w:t>及图</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4.3-1</w:t>
      </w:r>
      <w:r>
        <w:rPr>
          <w:rFonts w:ascii="宋体" w:hAnsi="宋体" w:eastAsia="宋体" w:cs="宋体"/>
          <w:spacing w:val="-2"/>
          <w:sz w:val="24"/>
          <w:szCs w:val="24"/>
        </w:rPr>
        <w:t>。</w:t>
      </w:r>
    </w:p>
    <w:p w14:paraId="70FFD380">
      <w:pPr>
        <w:spacing w:line="227" w:lineRule="auto"/>
        <w:ind w:left="2744"/>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9"/>
          <w:sz w:val="20"/>
          <w:szCs w:val="20"/>
        </w:rPr>
        <w:t xml:space="preserve"> </w:t>
      </w:r>
      <w:r>
        <w:rPr>
          <w:rFonts w:ascii="Times New Roman" w:hAnsi="Times New Roman" w:eastAsia="Times New Roman" w:cs="Times New Roman"/>
          <w:b/>
          <w:bCs/>
          <w:spacing w:val="6"/>
          <w:sz w:val="20"/>
          <w:szCs w:val="20"/>
        </w:rPr>
        <w:t xml:space="preserve">4.3-2 </w:t>
      </w:r>
      <w:r>
        <w:rPr>
          <w:rFonts w:ascii="宋体" w:hAnsi="宋体" w:eastAsia="宋体" w:cs="宋体"/>
          <w:b/>
          <w:bCs/>
          <w:spacing w:val="6"/>
          <w:sz w:val="20"/>
          <w:szCs w:val="20"/>
        </w:rPr>
        <w:t>其他污染物补充监测点位基本信息</w:t>
      </w:r>
    </w:p>
    <w:p w14:paraId="66FAB00C">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31"/>
        <w:gridCol w:w="1133"/>
        <w:gridCol w:w="990"/>
        <w:gridCol w:w="1557"/>
        <w:gridCol w:w="852"/>
        <w:gridCol w:w="1187"/>
      </w:tblGrid>
      <w:tr w14:paraId="0F2DA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3231" w:type="dxa"/>
            <w:vMerge w:val="restart"/>
            <w:tcBorders>
              <w:bottom w:val="nil"/>
            </w:tcBorders>
            <w:vAlign w:val="top"/>
          </w:tcPr>
          <w:p w14:paraId="62C0B324">
            <w:pPr>
              <w:pStyle w:val="6"/>
              <w:spacing w:before="230" w:line="230" w:lineRule="auto"/>
              <w:ind w:left="1096"/>
            </w:pPr>
            <w:r>
              <w:rPr>
                <w:spacing w:val="7"/>
              </w:rPr>
              <w:t>监测点名称</w:t>
            </w:r>
          </w:p>
        </w:tc>
        <w:tc>
          <w:tcPr>
            <w:tcW w:w="2123" w:type="dxa"/>
            <w:gridSpan w:val="2"/>
            <w:vAlign w:val="top"/>
          </w:tcPr>
          <w:p w14:paraId="15E5286F">
            <w:pPr>
              <w:pStyle w:val="6"/>
              <w:spacing w:before="32" w:line="274" w:lineRule="exact"/>
              <w:ind w:left="433"/>
              <w:rPr>
                <w:rFonts w:ascii="Times New Roman" w:hAnsi="Times New Roman" w:eastAsia="Times New Roman" w:cs="Times New Roman"/>
              </w:rPr>
            </w:pPr>
            <w:r>
              <w:rPr>
                <w:spacing w:val="6"/>
                <w:position w:val="1"/>
              </w:rPr>
              <w:t>监测点坐标</w:t>
            </w:r>
            <w:r>
              <w:rPr>
                <w:rFonts w:ascii="Times New Roman" w:hAnsi="Times New Roman" w:eastAsia="Times New Roman" w:cs="Times New Roman"/>
                <w:spacing w:val="6"/>
                <w:position w:val="1"/>
              </w:rPr>
              <w:t>/m</w:t>
            </w:r>
          </w:p>
        </w:tc>
        <w:tc>
          <w:tcPr>
            <w:tcW w:w="1557" w:type="dxa"/>
            <w:vMerge w:val="restart"/>
            <w:tcBorders>
              <w:bottom w:val="nil"/>
            </w:tcBorders>
            <w:vAlign w:val="top"/>
          </w:tcPr>
          <w:p w14:paraId="06D7149D">
            <w:pPr>
              <w:pStyle w:val="6"/>
              <w:spacing w:before="231" w:line="229" w:lineRule="auto"/>
              <w:ind w:left="367"/>
            </w:pPr>
            <w:r>
              <w:rPr>
                <w:spacing w:val="7"/>
              </w:rPr>
              <w:t>监测因子</w:t>
            </w:r>
          </w:p>
        </w:tc>
        <w:tc>
          <w:tcPr>
            <w:tcW w:w="852" w:type="dxa"/>
            <w:vMerge w:val="restart"/>
            <w:tcBorders>
              <w:bottom w:val="nil"/>
            </w:tcBorders>
            <w:vAlign w:val="top"/>
          </w:tcPr>
          <w:p w14:paraId="419C4C28">
            <w:pPr>
              <w:pStyle w:val="6"/>
              <w:spacing w:before="67" w:line="273" w:lineRule="auto"/>
              <w:ind w:left="328" w:right="108" w:hanging="208"/>
            </w:pPr>
            <w:r>
              <w:rPr>
                <w:spacing w:val="6"/>
              </w:rPr>
              <w:t>厂址方</w:t>
            </w:r>
            <w:r>
              <w:t xml:space="preserve"> 位</w:t>
            </w:r>
          </w:p>
        </w:tc>
        <w:tc>
          <w:tcPr>
            <w:tcW w:w="1187" w:type="dxa"/>
            <w:vMerge w:val="restart"/>
            <w:tcBorders>
              <w:bottom w:val="nil"/>
            </w:tcBorders>
            <w:vAlign w:val="top"/>
          </w:tcPr>
          <w:p w14:paraId="27FCE436">
            <w:pPr>
              <w:pStyle w:val="6"/>
              <w:spacing w:before="67" w:line="229" w:lineRule="auto"/>
              <w:ind w:left="177"/>
            </w:pPr>
            <w:r>
              <w:rPr>
                <w:spacing w:val="7"/>
              </w:rPr>
              <w:t>相对厂界</w:t>
            </w:r>
          </w:p>
          <w:p w14:paraId="1FFA1CA7">
            <w:pPr>
              <w:pStyle w:val="6"/>
              <w:spacing w:before="47" w:line="274" w:lineRule="exact"/>
              <w:ind w:left="277"/>
              <w:rPr>
                <w:rFonts w:ascii="Times New Roman" w:hAnsi="Times New Roman" w:eastAsia="Times New Roman" w:cs="Times New Roman"/>
              </w:rPr>
            </w:pPr>
            <w:r>
              <w:rPr>
                <w:spacing w:val="5"/>
                <w:position w:val="1"/>
              </w:rPr>
              <w:t>距离</w:t>
            </w:r>
            <w:r>
              <w:rPr>
                <w:rFonts w:ascii="Times New Roman" w:hAnsi="Times New Roman" w:eastAsia="Times New Roman" w:cs="Times New Roman"/>
                <w:spacing w:val="5"/>
                <w:position w:val="1"/>
              </w:rPr>
              <w:t>/m</w:t>
            </w:r>
          </w:p>
        </w:tc>
      </w:tr>
      <w:tr w14:paraId="7C9BF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231" w:type="dxa"/>
            <w:vMerge w:val="continue"/>
            <w:tcBorders>
              <w:top w:val="nil"/>
            </w:tcBorders>
            <w:vAlign w:val="top"/>
          </w:tcPr>
          <w:p w14:paraId="08059942">
            <w:pPr>
              <w:rPr>
                <w:rFonts w:ascii="Arial"/>
                <w:sz w:val="21"/>
              </w:rPr>
            </w:pPr>
          </w:p>
        </w:tc>
        <w:tc>
          <w:tcPr>
            <w:tcW w:w="1133" w:type="dxa"/>
            <w:vAlign w:val="top"/>
          </w:tcPr>
          <w:p w14:paraId="77F3816B">
            <w:pPr>
              <w:spacing w:before="98" w:line="192"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990" w:type="dxa"/>
            <w:vAlign w:val="top"/>
          </w:tcPr>
          <w:p w14:paraId="5E1636D1">
            <w:pPr>
              <w:spacing w:before="98" w:line="192"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557" w:type="dxa"/>
            <w:vMerge w:val="continue"/>
            <w:tcBorders>
              <w:top w:val="nil"/>
            </w:tcBorders>
            <w:vAlign w:val="top"/>
          </w:tcPr>
          <w:p w14:paraId="55C15670">
            <w:pPr>
              <w:rPr>
                <w:rFonts w:ascii="Arial"/>
                <w:sz w:val="21"/>
              </w:rPr>
            </w:pPr>
          </w:p>
        </w:tc>
        <w:tc>
          <w:tcPr>
            <w:tcW w:w="852" w:type="dxa"/>
            <w:vMerge w:val="continue"/>
            <w:tcBorders>
              <w:top w:val="nil"/>
            </w:tcBorders>
            <w:vAlign w:val="top"/>
          </w:tcPr>
          <w:p w14:paraId="0217C5C2">
            <w:pPr>
              <w:rPr>
                <w:rFonts w:ascii="Arial"/>
                <w:sz w:val="21"/>
              </w:rPr>
            </w:pPr>
          </w:p>
        </w:tc>
        <w:tc>
          <w:tcPr>
            <w:tcW w:w="1187" w:type="dxa"/>
            <w:vMerge w:val="continue"/>
            <w:tcBorders>
              <w:top w:val="nil"/>
            </w:tcBorders>
            <w:vAlign w:val="top"/>
          </w:tcPr>
          <w:p w14:paraId="1E85B644">
            <w:pPr>
              <w:rPr>
                <w:rFonts w:ascii="Arial"/>
                <w:sz w:val="21"/>
              </w:rPr>
            </w:pPr>
          </w:p>
        </w:tc>
      </w:tr>
      <w:tr w14:paraId="09E50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3231" w:type="dxa"/>
            <w:vAlign w:val="top"/>
          </w:tcPr>
          <w:p w14:paraId="0CE81F1F">
            <w:pPr>
              <w:pStyle w:val="6"/>
              <w:spacing w:before="193" w:line="274" w:lineRule="exact"/>
              <w:ind w:left="1152"/>
            </w:pPr>
            <w:r>
              <w:rPr>
                <w:rFonts w:ascii="Times New Roman" w:hAnsi="Times New Roman" w:eastAsia="Times New Roman" w:cs="Times New Roman"/>
                <w:spacing w:val="-1"/>
                <w:position w:val="1"/>
              </w:rPr>
              <w:t>G</w:t>
            </w:r>
            <w:r>
              <w:rPr>
                <w:rFonts w:ascii="Times New Roman" w:hAnsi="Times New Roman" w:eastAsia="Times New Roman" w:cs="Times New Roman"/>
                <w:spacing w:val="-23"/>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11"/>
                <w:position w:val="1"/>
              </w:rPr>
              <w:t xml:space="preserve"> </w:t>
            </w:r>
            <w:r>
              <w:rPr>
                <w:spacing w:val="-1"/>
                <w:position w:val="1"/>
              </w:rPr>
              <w:t>龙岗村</w:t>
            </w:r>
          </w:p>
        </w:tc>
        <w:tc>
          <w:tcPr>
            <w:tcW w:w="1133" w:type="dxa"/>
            <w:vAlign w:val="top"/>
          </w:tcPr>
          <w:p w14:paraId="7FDB9060">
            <w:pPr>
              <w:spacing w:before="193" w:line="274" w:lineRule="exact"/>
              <w:ind w:left="3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-426</w:t>
            </w:r>
          </w:p>
        </w:tc>
        <w:tc>
          <w:tcPr>
            <w:tcW w:w="990" w:type="dxa"/>
            <w:vAlign w:val="top"/>
          </w:tcPr>
          <w:p w14:paraId="34010808">
            <w:pPr>
              <w:spacing w:before="193" w:line="274" w:lineRule="exact"/>
              <w:ind w:left="3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204</w:t>
            </w:r>
          </w:p>
        </w:tc>
        <w:tc>
          <w:tcPr>
            <w:tcW w:w="1557" w:type="dxa"/>
            <w:vAlign w:val="top"/>
          </w:tcPr>
          <w:p w14:paraId="6E413E32">
            <w:pPr>
              <w:pStyle w:val="6"/>
              <w:spacing w:before="60" w:line="276" w:lineRule="exact"/>
              <w:ind w:left="112"/>
            </w:pPr>
            <w:r>
              <w:rPr>
                <w:rFonts w:ascii="Times New Roman" w:hAnsi="Times New Roman" w:eastAsia="Times New Roman" w:cs="Times New Roman"/>
                <w:spacing w:val="1"/>
                <w:position w:val="1"/>
              </w:rPr>
              <w:t>H</w:t>
            </w:r>
            <w:r>
              <w:rPr>
                <w:rFonts w:ascii="Times New Roman" w:hAnsi="Times New Roman" w:eastAsia="Times New Roman" w:cs="Times New Roman"/>
                <w:spacing w:val="1"/>
                <w:sz w:val="13"/>
                <w:szCs w:val="13"/>
              </w:rPr>
              <w:t>2</w:t>
            </w:r>
            <w:r>
              <w:rPr>
                <w:rFonts w:ascii="Times New Roman" w:hAnsi="Times New Roman" w:eastAsia="Times New Roman" w:cs="Times New Roman"/>
                <w:spacing w:val="1"/>
                <w:position w:val="1"/>
              </w:rPr>
              <w:t>S</w:t>
            </w:r>
            <w:r>
              <w:rPr>
                <w:rFonts w:ascii="Times New Roman" w:hAnsi="Times New Roman" w:eastAsia="Times New Roman" w:cs="Times New Roman"/>
                <w:spacing w:val="-23"/>
                <w:position w:val="1"/>
              </w:rPr>
              <w:t xml:space="preserve"> </w:t>
            </w:r>
            <w:r>
              <w:rPr>
                <w:spacing w:val="1"/>
                <w:position w:val="1"/>
              </w:rPr>
              <w:t>、</w:t>
            </w:r>
            <w:r>
              <w:rPr>
                <w:rFonts w:ascii="Times New Roman" w:hAnsi="Times New Roman" w:eastAsia="Times New Roman" w:cs="Times New Roman"/>
                <w:position w:val="1"/>
              </w:rPr>
              <w:t>NH</w:t>
            </w:r>
            <w:r>
              <w:rPr>
                <w:rFonts w:ascii="Times New Roman" w:hAnsi="Times New Roman" w:eastAsia="Times New Roman" w:cs="Times New Roman"/>
                <w:spacing w:val="1"/>
                <w:sz w:val="13"/>
                <w:szCs w:val="13"/>
              </w:rPr>
              <w:t>3</w:t>
            </w:r>
            <w:r>
              <w:rPr>
                <w:rFonts w:ascii="Times New Roman" w:hAnsi="Times New Roman" w:eastAsia="Times New Roman" w:cs="Times New Roman"/>
                <w:spacing w:val="-11"/>
                <w:sz w:val="13"/>
                <w:szCs w:val="13"/>
              </w:rPr>
              <w:t xml:space="preserve"> </w:t>
            </w:r>
            <w:r>
              <w:rPr>
                <w:spacing w:val="1"/>
                <w:position w:val="1"/>
              </w:rPr>
              <w:t>、臭</w:t>
            </w:r>
          </w:p>
          <w:p w14:paraId="39BD40DE">
            <w:pPr>
              <w:pStyle w:val="6"/>
              <w:spacing w:before="50" w:line="229" w:lineRule="auto"/>
              <w:ind w:left="470"/>
            </w:pPr>
            <w:r>
              <w:rPr>
                <w:spacing w:val="6"/>
              </w:rPr>
              <w:t>气浓度</w:t>
            </w:r>
          </w:p>
        </w:tc>
        <w:tc>
          <w:tcPr>
            <w:tcW w:w="852" w:type="dxa"/>
            <w:vAlign w:val="top"/>
          </w:tcPr>
          <w:p w14:paraId="5A7ABA35">
            <w:pPr>
              <w:pStyle w:val="6"/>
              <w:spacing w:before="224" w:line="232" w:lineRule="auto"/>
              <w:ind w:left="228"/>
            </w:pPr>
            <w:r>
              <w:rPr>
                <w:spacing w:val="2"/>
              </w:rPr>
              <w:t>西北</w:t>
            </w:r>
          </w:p>
        </w:tc>
        <w:tc>
          <w:tcPr>
            <w:tcW w:w="1187" w:type="dxa"/>
            <w:vAlign w:val="top"/>
          </w:tcPr>
          <w:p w14:paraId="66966B58">
            <w:pPr>
              <w:spacing w:before="193" w:line="274" w:lineRule="exact"/>
              <w:ind w:left="4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r>
    </w:tbl>
    <w:p w14:paraId="72AD3619">
      <w:pPr>
        <w:spacing w:before="122" w:line="7580" w:lineRule="exact"/>
        <w:ind w:firstLine="142"/>
      </w:pPr>
      <w:r>
        <w:rPr>
          <w:position w:val="-151"/>
        </w:rPr>
        <w:drawing>
          <wp:inline distT="0" distB="0" distL="0" distR="0">
            <wp:extent cx="5544185" cy="481266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17"/>
                    <a:stretch>
                      <a:fillRect/>
                    </a:stretch>
                  </pic:blipFill>
                  <pic:spPr>
                    <a:xfrm>
                      <a:off x="0" y="0"/>
                      <a:ext cx="5544311" cy="4812792"/>
                    </a:xfrm>
                    <a:prstGeom prst="rect">
                      <a:avLst/>
                    </a:prstGeom>
                  </pic:spPr>
                </pic:pic>
              </a:graphicData>
            </a:graphic>
          </wp:inline>
        </w:drawing>
      </w:r>
    </w:p>
    <w:p w14:paraId="0E03A34A">
      <w:pPr>
        <w:spacing w:before="248" w:line="219" w:lineRule="auto"/>
        <w:ind w:left="2671"/>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53"/>
          <w:sz w:val="24"/>
          <w:szCs w:val="24"/>
        </w:rPr>
        <w:t xml:space="preserve"> </w:t>
      </w:r>
      <w:r>
        <w:rPr>
          <w:rFonts w:ascii="Times New Roman" w:hAnsi="Times New Roman" w:eastAsia="Times New Roman" w:cs="Times New Roman"/>
          <w:b/>
          <w:bCs/>
          <w:spacing w:val="-3"/>
          <w:sz w:val="24"/>
          <w:szCs w:val="24"/>
        </w:rPr>
        <w:t xml:space="preserve">4.3-1    </w:t>
      </w:r>
      <w:r>
        <w:rPr>
          <w:rFonts w:ascii="宋体" w:hAnsi="宋体" w:eastAsia="宋体" w:cs="宋体"/>
          <w:b/>
          <w:bCs/>
          <w:spacing w:val="-3"/>
          <w:sz w:val="24"/>
          <w:szCs w:val="24"/>
        </w:rPr>
        <w:t>大气环境现状监测布点图</w:t>
      </w:r>
    </w:p>
    <w:p w14:paraId="3E4AB489">
      <w:pPr>
        <w:spacing w:before="167" w:line="361" w:lineRule="exact"/>
        <w:ind w:left="598"/>
        <w:rPr>
          <w:rFonts w:ascii="宋体" w:hAnsi="宋体" w:eastAsia="宋体" w:cs="宋体"/>
          <w:sz w:val="24"/>
          <w:szCs w:val="24"/>
        </w:rPr>
      </w:pPr>
      <w:r>
        <w:rPr>
          <w:rFonts w:ascii="Times New Roman" w:hAnsi="Times New Roman" w:eastAsia="Times New Roman" w:cs="Times New Roman"/>
          <w:spacing w:val="-6"/>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6"/>
          <w:position w:val="2"/>
          <w:sz w:val="24"/>
          <w:szCs w:val="24"/>
        </w:rPr>
        <w:t>、监测项目</w:t>
      </w:r>
    </w:p>
    <w:p w14:paraId="3442B0F4">
      <w:pPr>
        <w:spacing w:line="361" w:lineRule="exact"/>
        <w:rPr>
          <w:rFonts w:ascii="宋体" w:hAnsi="宋体" w:eastAsia="宋体" w:cs="宋体"/>
          <w:sz w:val="24"/>
          <w:szCs w:val="24"/>
        </w:rPr>
        <w:sectPr>
          <w:headerReference r:id="rId97" w:type="default"/>
          <w:footerReference r:id="rId98" w:type="default"/>
          <w:pgSz w:w="11906" w:h="16839"/>
          <w:pgMar w:top="1763" w:right="1475" w:bottom="1485" w:left="1475" w:header="1418" w:footer="1249" w:gutter="0"/>
          <w:cols w:space="720" w:num="1"/>
        </w:sectPr>
      </w:pPr>
    </w:p>
    <w:p w14:paraId="2185E132">
      <w:pPr>
        <w:pStyle w:val="2"/>
        <w:spacing w:line="255" w:lineRule="auto"/>
      </w:pPr>
    </w:p>
    <w:p w14:paraId="7A075068">
      <w:pPr>
        <w:pStyle w:val="2"/>
        <w:spacing w:line="255" w:lineRule="auto"/>
      </w:pPr>
    </w:p>
    <w:p w14:paraId="63DB3BB4">
      <w:pPr>
        <w:pStyle w:val="2"/>
        <w:spacing w:line="256" w:lineRule="auto"/>
      </w:pPr>
    </w:p>
    <w:p w14:paraId="64B51284">
      <w:pPr>
        <w:pStyle w:val="2"/>
        <w:spacing w:line="256" w:lineRule="auto"/>
      </w:pPr>
    </w:p>
    <w:p w14:paraId="27FE6B8C">
      <w:pPr>
        <w:spacing w:before="78" w:line="360" w:lineRule="exact"/>
        <w:ind w:left="597"/>
        <w:rPr>
          <w:rFonts w:ascii="宋体" w:hAnsi="宋体" w:eastAsia="宋体" w:cs="宋体"/>
          <w:sz w:val="24"/>
          <w:szCs w:val="24"/>
        </w:rPr>
      </w:pPr>
      <w:r>
        <w:rPr>
          <w:rFonts w:ascii="Times New Roman" w:hAnsi="Times New Roman" w:eastAsia="Times New Roman" w:cs="Times New Roman"/>
          <w:spacing w:val="-1"/>
          <w:position w:val="2"/>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position w:val="2"/>
          <w:sz w:val="24"/>
          <w:szCs w:val="24"/>
        </w:rPr>
        <w:t>S</w:t>
      </w:r>
      <w:r>
        <w:rPr>
          <w:rFonts w:ascii="Times New Roman" w:hAnsi="Times New Roman" w:eastAsia="Times New Roman" w:cs="Times New Roman"/>
          <w:spacing w:val="-24"/>
          <w:position w:val="2"/>
          <w:sz w:val="24"/>
          <w:szCs w:val="24"/>
        </w:rPr>
        <w:t xml:space="preserve"> </w:t>
      </w:r>
      <w:r>
        <w:rPr>
          <w:rFonts w:ascii="宋体" w:hAnsi="宋体" w:eastAsia="宋体" w:cs="宋体"/>
          <w:spacing w:val="-5"/>
          <w:position w:val="2"/>
          <w:sz w:val="24"/>
          <w:szCs w:val="24"/>
        </w:rPr>
        <w:t>、</w:t>
      </w:r>
      <w:r>
        <w:rPr>
          <w:rFonts w:ascii="Times New Roman" w:hAnsi="Times New Roman" w:eastAsia="Times New Roman" w:cs="Times New Roman"/>
          <w:spacing w:val="-5"/>
          <w:position w:val="2"/>
          <w:sz w:val="24"/>
          <w:szCs w:val="24"/>
        </w:rPr>
        <w:t>NH</w:t>
      </w:r>
      <w:r>
        <w:rPr>
          <w:rFonts w:ascii="Times New Roman" w:hAnsi="Times New Roman" w:eastAsia="Times New Roman" w:cs="Times New Roman"/>
          <w:spacing w:val="-5"/>
          <w:position w:val="1"/>
          <w:sz w:val="15"/>
          <w:szCs w:val="15"/>
        </w:rPr>
        <w:t>3</w:t>
      </w:r>
      <w:r>
        <w:rPr>
          <w:rFonts w:ascii="Times New Roman" w:hAnsi="Times New Roman" w:eastAsia="Times New Roman" w:cs="Times New Roman"/>
          <w:spacing w:val="-13"/>
          <w:position w:val="1"/>
          <w:sz w:val="15"/>
          <w:szCs w:val="15"/>
        </w:rPr>
        <w:t xml:space="preserve"> </w:t>
      </w:r>
      <w:r>
        <w:rPr>
          <w:rFonts w:ascii="宋体" w:hAnsi="宋体" w:eastAsia="宋体" w:cs="宋体"/>
          <w:spacing w:val="-5"/>
          <w:position w:val="2"/>
          <w:sz w:val="24"/>
          <w:szCs w:val="24"/>
        </w:rPr>
        <w:t>、臭气浓度共</w:t>
      </w:r>
      <w:r>
        <w:rPr>
          <w:rFonts w:ascii="宋体" w:hAnsi="宋体" w:eastAsia="宋体" w:cs="宋体"/>
          <w:spacing w:val="-50"/>
          <w:position w:val="2"/>
          <w:sz w:val="24"/>
          <w:szCs w:val="24"/>
        </w:rPr>
        <w:t xml:space="preserve"> </w:t>
      </w:r>
      <w:r>
        <w:rPr>
          <w:rFonts w:ascii="Times New Roman" w:hAnsi="Times New Roman" w:eastAsia="Times New Roman" w:cs="Times New Roman"/>
          <w:spacing w:val="-5"/>
          <w:position w:val="2"/>
          <w:sz w:val="24"/>
          <w:szCs w:val="24"/>
        </w:rPr>
        <w:t xml:space="preserve">3 </w:t>
      </w:r>
      <w:r>
        <w:rPr>
          <w:rFonts w:ascii="宋体" w:hAnsi="宋体" w:eastAsia="宋体" w:cs="宋体"/>
          <w:spacing w:val="-5"/>
          <w:position w:val="2"/>
          <w:sz w:val="24"/>
          <w:szCs w:val="24"/>
        </w:rPr>
        <w:t>项。</w:t>
      </w:r>
    </w:p>
    <w:p w14:paraId="7DA53519">
      <w:pPr>
        <w:spacing w:before="129" w:line="360" w:lineRule="exact"/>
        <w:ind w:left="603"/>
        <w:rPr>
          <w:rFonts w:ascii="宋体" w:hAnsi="宋体" w:eastAsia="宋体" w:cs="宋体"/>
          <w:sz w:val="24"/>
          <w:szCs w:val="24"/>
        </w:rPr>
      </w:pPr>
      <w:r>
        <w:rPr>
          <w:rFonts w:ascii="Times New Roman" w:hAnsi="Times New Roman" w:eastAsia="Times New Roman" w:cs="Times New Roman"/>
          <w:spacing w:val="-4"/>
          <w:position w:val="2"/>
          <w:sz w:val="24"/>
          <w:szCs w:val="24"/>
        </w:rPr>
        <w:t>3</w:t>
      </w:r>
      <w:r>
        <w:rPr>
          <w:rFonts w:ascii="Times New Roman" w:hAnsi="Times New Roman" w:eastAsia="Times New Roman" w:cs="Times New Roman"/>
          <w:spacing w:val="-27"/>
          <w:position w:val="2"/>
          <w:sz w:val="24"/>
          <w:szCs w:val="24"/>
        </w:rPr>
        <w:t xml:space="preserve"> </w:t>
      </w:r>
      <w:r>
        <w:rPr>
          <w:rFonts w:ascii="宋体" w:hAnsi="宋体" w:eastAsia="宋体" w:cs="宋体"/>
          <w:spacing w:val="-4"/>
          <w:position w:val="2"/>
          <w:sz w:val="24"/>
          <w:szCs w:val="24"/>
        </w:rPr>
        <w:t>、监测时间及监测频次</w:t>
      </w:r>
    </w:p>
    <w:p w14:paraId="7099F36F">
      <w:pPr>
        <w:spacing w:before="125" w:line="375" w:lineRule="auto"/>
        <w:ind w:left="122" w:right="110" w:firstLine="480"/>
        <w:rPr>
          <w:rFonts w:ascii="宋体" w:hAnsi="宋体" w:eastAsia="宋体" w:cs="宋体"/>
          <w:sz w:val="24"/>
          <w:szCs w:val="24"/>
        </w:rPr>
      </w:pPr>
      <w:r>
        <w:rPr>
          <w:rFonts w:ascii="宋体" w:hAnsi="宋体" w:eastAsia="宋体" w:cs="宋体"/>
          <w:spacing w:val="-2"/>
          <w:sz w:val="24"/>
          <w:szCs w:val="24"/>
        </w:rPr>
        <w:t>根据《环境空气质量标准》（</w:t>
      </w:r>
      <w:r>
        <w:rPr>
          <w:rFonts w:ascii="Times New Roman" w:hAnsi="Times New Roman" w:eastAsia="Times New Roman" w:cs="Times New Roman"/>
          <w:spacing w:val="-2"/>
          <w:sz w:val="24"/>
          <w:szCs w:val="24"/>
        </w:rPr>
        <w:t>GB3095-2012</w:t>
      </w:r>
      <w:r>
        <w:rPr>
          <w:rFonts w:ascii="宋体" w:hAnsi="宋体" w:eastAsia="宋体" w:cs="宋体"/>
          <w:spacing w:val="-2"/>
          <w:sz w:val="24"/>
          <w:szCs w:val="24"/>
        </w:rPr>
        <w:t>）和《</w:t>
      </w:r>
      <w:r>
        <w:rPr>
          <w:rFonts w:ascii="宋体" w:hAnsi="宋体" w:eastAsia="宋体" w:cs="宋体"/>
          <w:spacing w:val="-3"/>
          <w:sz w:val="24"/>
          <w:szCs w:val="24"/>
        </w:rPr>
        <w:t>环境影响评价技术导则—大气</w:t>
      </w:r>
      <w:r>
        <w:rPr>
          <w:rFonts w:ascii="宋体" w:hAnsi="宋体" w:eastAsia="宋体" w:cs="宋体"/>
          <w:sz w:val="24"/>
          <w:szCs w:val="24"/>
        </w:rPr>
        <w:t xml:space="preserve"> </w:t>
      </w:r>
      <w:r>
        <w:rPr>
          <w:rFonts w:ascii="宋体" w:hAnsi="宋体" w:eastAsia="宋体" w:cs="宋体"/>
          <w:spacing w:val="-6"/>
          <w:sz w:val="24"/>
          <w:szCs w:val="24"/>
        </w:rPr>
        <w:t>环境》（</w:t>
      </w:r>
      <w:r>
        <w:rPr>
          <w:rFonts w:ascii="Times New Roman" w:hAnsi="Times New Roman" w:eastAsia="Times New Roman" w:cs="Times New Roman"/>
          <w:spacing w:val="-6"/>
          <w:sz w:val="24"/>
          <w:szCs w:val="24"/>
        </w:rPr>
        <w:t>HJ2.2-2018</w:t>
      </w:r>
      <w:r>
        <w:rPr>
          <w:rFonts w:ascii="宋体" w:hAnsi="宋体" w:eastAsia="宋体" w:cs="宋体"/>
          <w:spacing w:val="-6"/>
          <w:sz w:val="24"/>
          <w:szCs w:val="24"/>
        </w:rPr>
        <w:t>）的规格，</w:t>
      </w:r>
      <w:r>
        <w:rPr>
          <w:rFonts w:ascii="Times New Roman" w:hAnsi="Times New Roman" w:eastAsia="Times New Roman" w:cs="Times New Roman"/>
          <w:spacing w:val="-6"/>
          <w:sz w:val="24"/>
          <w:szCs w:val="24"/>
        </w:rPr>
        <w:t>2020</w:t>
      </w:r>
      <w:r>
        <w:rPr>
          <w:rFonts w:ascii="Times New Roman" w:hAnsi="Times New Roman" w:eastAsia="Times New Roman" w:cs="Times New Roman"/>
          <w:spacing w:val="24"/>
          <w:sz w:val="24"/>
          <w:szCs w:val="24"/>
        </w:rPr>
        <w:t xml:space="preserve"> </w:t>
      </w:r>
      <w:r>
        <w:rPr>
          <w:rFonts w:ascii="宋体" w:hAnsi="宋体" w:eastAsia="宋体" w:cs="宋体"/>
          <w:spacing w:val="-6"/>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11</w:t>
      </w:r>
      <w:r>
        <w:rPr>
          <w:rFonts w:ascii="Times New Roman" w:hAnsi="Times New Roman" w:eastAsia="Times New Roman" w:cs="Times New Roman"/>
          <w:spacing w:val="12"/>
          <w:sz w:val="24"/>
          <w:szCs w:val="24"/>
        </w:rPr>
        <w:t xml:space="preserve"> </w:t>
      </w:r>
      <w:r>
        <w:rPr>
          <w:rFonts w:ascii="宋体" w:hAnsi="宋体" w:eastAsia="宋体" w:cs="宋体"/>
          <w:spacing w:val="-6"/>
          <w:sz w:val="24"/>
          <w:szCs w:val="24"/>
        </w:rPr>
        <w:t>月</w:t>
      </w:r>
      <w:r>
        <w:rPr>
          <w:rFonts w:ascii="宋体" w:hAnsi="宋体" w:eastAsia="宋体" w:cs="宋体"/>
          <w:spacing w:val="-29"/>
          <w:sz w:val="24"/>
          <w:szCs w:val="24"/>
        </w:rPr>
        <w:t xml:space="preserve"> </w:t>
      </w:r>
      <w:r>
        <w:rPr>
          <w:rFonts w:ascii="Times New Roman" w:hAnsi="Times New Roman" w:eastAsia="Times New Roman" w:cs="Times New Roman"/>
          <w:spacing w:val="-6"/>
          <w:sz w:val="24"/>
          <w:szCs w:val="24"/>
        </w:rPr>
        <w:t>10</w:t>
      </w:r>
      <w:r>
        <w:rPr>
          <w:rFonts w:ascii="Times New Roman" w:hAnsi="Times New Roman" w:eastAsia="Times New Roman" w:cs="Times New Roman"/>
          <w:spacing w:val="53"/>
          <w:sz w:val="24"/>
          <w:szCs w:val="24"/>
        </w:rPr>
        <w:t xml:space="preserve"> </w:t>
      </w:r>
      <w:r>
        <w:rPr>
          <w:rFonts w:ascii="宋体" w:hAnsi="宋体" w:eastAsia="宋体" w:cs="宋体"/>
          <w:spacing w:val="-6"/>
          <w:sz w:val="24"/>
          <w:szCs w:val="24"/>
        </w:rPr>
        <w:t>日</w:t>
      </w:r>
      <w:r>
        <w:rPr>
          <w:rFonts w:ascii="Times New Roman" w:hAnsi="Times New Roman" w:eastAsia="Times New Roman" w:cs="Times New Roman"/>
          <w:spacing w:val="-6"/>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11</w:t>
      </w:r>
      <w:r>
        <w:rPr>
          <w:rFonts w:ascii="Times New Roman" w:hAnsi="Times New Roman" w:eastAsia="Times New Roman" w:cs="Times New Roman"/>
          <w:spacing w:val="12"/>
          <w:sz w:val="24"/>
          <w:szCs w:val="24"/>
        </w:rPr>
        <w:t xml:space="preserve"> </w:t>
      </w:r>
      <w:r>
        <w:rPr>
          <w:rFonts w:ascii="宋体" w:hAnsi="宋体" w:eastAsia="宋体" w:cs="宋体"/>
          <w:spacing w:val="-6"/>
          <w:sz w:val="24"/>
          <w:szCs w:val="24"/>
        </w:rPr>
        <w:t>月</w:t>
      </w:r>
      <w:r>
        <w:rPr>
          <w:rFonts w:ascii="宋体" w:hAnsi="宋体" w:eastAsia="宋体" w:cs="宋体"/>
          <w:spacing w:val="-29"/>
          <w:sz w:val="24"/>
          <w:szCs w:val="24"/>
        </w:rPr>
        <w:t xml:space="preserve"> </w:t>
      </w:r>
      <w:r>
        <w:rPr>
          <w:rFonts w:ascii="Times New Roman" w:hAnsi="Times New Roman" w:eastAsia="Times New Roman" w:cs="Times New Roman"/>
          <w:spacing w:val="-6"/>
          <w:sz w:val="24"/>
          <w:szCs w:val="24"/>
        </w:rPr>
        <w:t>16</w:t>
      </w:r>
      <w:r>
        <w:rPr>
          <w:rFonts w:ascii="Times New Roman" w:hAnsi="Times New Roman" w:eastAsia="Times New Roman" w:cs="Times New Roman"/>
          <w:spacing w:val="53"/>
          <w:sz w:val="24"/>
          <w:szCs w:val="24"/>
        </w:rPr>
        <w:t xml:space="preserve"> </w:t>
      </w:r>
      <w:r>
        <w:rPr>
          <w:rFonts w:ascii="宋体" w:hAnsi="宋体" w:eastAsia="宋体" w:cs="宋体"/>
          <w:spacing w:val="-6"/>
          <w:sz w:val="24"/>
          <w:szCs w:val="24"/>
        </w:rPr>
        <w:t>日连续监测</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天，具体</w:t>
      </w:r>
      <w:r>
        <w:rPr>
          <w:rFonts w:ascii="宋体" w:hAnsi="宋体" w:eastAsia="宋体" w:cs="宋体"/>
          <w:sz w:val="24"/>
          <w:szCs w:val="24"/>
        </w:rPr>
        <w:t xml:space="preserve"> </w:t>
      </w:r>
      <w:r>
        <w:rPr>
          <w:rFonts w:ascii="宋体" w:hAnsi="宋体" w:eastAsia="宋体" w:cs="宋体"/>
          <w:spacing w:val="1"/>
          <w:sz w:val="24"/>
          <w:szCs w:val="24"/>
        </w:rPr>
        <w:t>监测采样时间见表</w:t>
      </w:r>
      <w:r>
        <w:rPr>
          <w:rFonts w:ascii="Times New Roman" w:hAnsi="Times New Roman" w:eastAsia="Times New Roman" w:cs="Times New Roman"/>
          <w:spacing w:val="1"/>
          <w:sz w:val="24"/>
          <w:szCs w:val="24"/>
        </w:rPr>
        <w:t>4.3-3</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，并同时记录监测时</w:t>
      </w:r>
      <w:r>
        <w:rPr>
          <w:rFonts w:ascii="宋体" w:hAnsi="宋体" w:eastAsia="宋体" w:cs="宋体"/>
          <w:sz w:val="24"/>
          <w:szCs w:val="24"/>
        </w:rPr>
        <w:t>现场的气象条件。</w:t>
      </w:r>
    </w:p>
    <w:p w14:paraId="124C5269">
      <w:pPr>
        <w:spacing w:before="58" w:line="228" w:lineRule="auto"/>
        <w:ind w:left="253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b/>
          <w:bCs/>
          <w:spacing w:val="6"/>
          <w:sz w:val="20"/>
          <w:szCs w:val="20"/>
        </w:rPr>
        <w:t xml:space="preserve">4.3-3 </w:t>
      </w:r>
      <w:r>
        <w:rPr>
          <w:rFonts w:ascii="宋体" w:hAnsi="宋体" w:eastAsia="宋体" w:cs="宋体"/>
          <w:b/>
          <w:bCs/>
          <w:spacing w:val="6"/>
          <w:sz w:val="20"/>
          <w:szCs w:val="20"/>
        </w:rPr>
        <w:t>大气环境现状监测时间及监测频率</w:t>
      </w:r>
    </w:p>
    <w:p w14:paraId="18B7777B">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9"/>
        <w:gridCol w:w="1684"/>
        <w:gridCol w:w="5737"/>
      </w:tblGrid>
      <w:tr w14:paraId="21DDC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529" w:type="dxa"/>
            <w:vAlign w:val="top"/>
          </w:tcPr>
          <w:p w14:paraId="626D3C48">
            <w:pPr>
              <w:pStyle w:val="6"/>
              <w:spacing w:before="63" w:line="229" w:lineRule="auto"/>
              <w:ind w:left="350"/>
            </w:pPr>
            <w:r>
              <w:rPr>
                <w:b/>
                <w:bCs/>
                <w:spacing w:val="6"/>
              </w:rPr>
              <w:t>监测因子</w:t>
            </w:r>
          </w:p>
        </w:tc>
        <w:tc>
          <w:tcPr>
            <w:tcW w:w="1684" w:type="dxa"/>
            <w:vAlign w:val="top"/>
          </w:tcPr>
          <w:p w14:paraId="0EDDE882">
            <w:pPr>
              <w:pStyle w:val="6"/>
              <w:spacing w:before="63" w:line="229" w:lineRule="auto"/>
              <w:ind w:left="425"/>
            </w:pPr>
            <w:r>
              <w:rPr>
                <w:b/>
                <w:bCs/>
                <w:spacing w:val="6"/>
              </w:rPr>
              <w:t>平均时间</w:t>
            </w:r>
          </w:p>
        </w:tc>
        <w:tc>
          <w:tcPr>
            <w:tcW w:w="5737" w:type="dxa"/>
            <w:vAlign w:val="top"/>
          </w:tcPr>
          <w:p w14:paraId="052CF5D9">
            <w:pPr>
              <w:pStyle w:val="6"/>
              <w:spacing w:before="62" w:line="228" w:lineRule="auto"/>
              <w:ind w:left="1927"/>
            </w:pPr>
            <w:r>
              <w:rPr>
                <w:b/>
                <w:bCs/>
                <w:spacing w:val="7"/>
              </w:rPr>
              <w:t>监测频率及采样要求</w:t>
            </w:r>
          </w:p>
        </w:tc>
      </w:tr>
      <w:tr w14:paraId="11A91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529" w:type="dxa"/>
            <w:vAlign w:val="top"/>
          </w:tcPr>
          <w:p w14:paraId="5791500F">
            <w:pPr>
              <w:pStyle w:val="6"/>
              <w:spacing w:before="95" w:line="255" w:lineRule="auto"/>
              <w:ind w:left="348" w:right="302" w:hanging="40"/>
            </w:pPr>
            <w:r>
              <w:rPr>
                <w:rFonts w:ascii="Times New Roman" w:hAnsi="Times New Roman" w:eastAsia="Times New Roman" w:cs="Times New Roman"/>
                <w:spacing w:val="2"/>
              </w:rPr>
              <w:t>H</w:t>
            </w:r>
            <w:r>
              <w:rPr>
                <w:rFonts w:ascii="Times New Roman" w:hAnsi="Times New Roman" w:eastAsia="Times New Roman" w:cs="Times New Roman"/>
                <w:spacing w:val="2"/>
                <w:sz w:val="13"/>
                <w:szCs w:val="13"/>
              </w:rPr>
              <w:t>2</w:t>
            </w:r>
            <w:r>
              <w:rPr>
                <w:rFonts w:ascii="Times New Roman" w:hAnsi="Times New Roman" w:eastAsia="Times New Roman" w:cs="Times New Roman"/>
                <w:spacing w:val="2"/>
              </w:rPr>
              <w:t>S</w:t>
            </w:r>
            <w:r>
              <w:rPr>
                <w:rFonts w:ascii="Times New Roman" w:hAnsi="Times New Roman" w:eastAsia="Times New Roman" w:cs="Times New Roman"/>
                <w:spacing w:val="-24"/>
              </w:rPr>
              <w:t xml:space="preserve"> </w:t>
            </w:r>
            <w:r>
              <w:rPr>
                <w:spacing w:val="2"/>
              </w:rPr>
              <w:t>、</w:t>
            </w:r>
            <w:r>
              <w:rPr>
                <w:rFonts w:ascii="Times New Roman" w:hAnsi="Times New Roman" w:eastAsia="Times New Roman" w:cs="Times New Roman"/>
              </w:rPr>
              <w:t>NH</w:t>
            </w:r>
            <w:r>
              <w:rPr>
                <w:rFonts w:ascii="Times New Roman" w:hAnsi="Times New Roman" w:eastAsia="Times New Roman" w:cs="Times New Roman"/>
                <w:spacing w:val="2"/>
                <w:sz w:val="13"/>
                <w:szCs w:val="13"/>
              </w:rPr>
              <w:t>3</w:t>
            </w:r>
            <w:r>
              <w:rPr>
                <w:rFonts w:ascii="Times New Roman" w:hAnsi="Times New Roman" w:eastAsia="Times New Roman" w:cs="Times New Roman"/>
                <w:sz w:val="13"/>
                <w:szCs w:val="13"/>
              </w:rPr>
              <w:t xml:space="preserve"> </w:t>
            </w:r>
            <w:r>
              <w:rPr>
                <w:spacing w:val="7"/>
              </w:rPr>
              <w:t>臭气浓度</w:t>
            </w:r>
          </w:p>
        </w:tc>
        <w:tc>
          <w:tcPr>
            <w:tcW w:w="1684" w:type="dxa"/>
            <w:vAlign w:val="top"/>
          </w:tcPr>
          <w:p w14:paraId="6377A1EC">
            <w:pPr>
              <w:pStyle w:val="6"/>
              <w:spacing w:before="192" w:line="274" w:lineRule="exact"/>
              <w:ind w:left="389"/>
            </w:pPr>
            <w:r>
              <w:rPr>
                <w:rFonts w:ascii="Times New Roman" w:hAnsi="Times New Roman" w:eastAsia="Times New Roman" w:cs="Times New Roman"/>
                <w:spacing w:val="3"/>
                <w:position w:val="1"/>
              </w:rPr>
              <w:t>1</w:t>
            </w:r>
            <w:r>
              <w:rPr>
                <w:spacing w:val="3"/>
                <w:position w:val="1"/>
              </w:rPr>
              <w:t>小时平均</w:t>
            </w:r>
          </w:p>
        </w:tc>
        <w:tc>
          <w:tcPr>
            <w:tcW w:w="5737" w:type="dxa"/>
            <w:vAlign w:val="top"/>
          </w:tcPr>
          <w:p w14:paraId="26ECBDC8">
            <w:pPr>
              <w:pStyle w:val="6"/>
              <w:spacing w:before="29" w:line="274" w:lineRule="exact"/>
              <w:jc w:val="right"/>
            </w:pPr>
            <w:r>
              <w:rPr>
                <w:spacing w:val="1"/>
                <w:position w:val="1"/>
              </w:rPr>
              <w:t>连续监测</w:t>
            </w:r>
            <w:r>
              <w:rPr>
                <w:rFonts w:ascii="Times New Roman" w:hAnsi="Times New Roman" w:eastAsia="Times New Roman" w:cs="Times New Roman"/>
                <w:spacing w:val="1"/>
                <w:position w:val="1"/>
              </w:rPr>
              <w:t>7</w:t>
            </w:r>
            <w:r>
              <w:rPr>
                <w:spacing w:val="1"/>
                <w:position w:val="1"/>
              </w:rPr>
              <w:t>天，每天</w:t>
            </w:r>
            <w:r>
              <w:rPr>
                <w:rFonts w:ascii="Times New Roman" w:hAnsi="Times New Roman" w:eastAsia="Times New Roman" w:cs="Times New Roman"/>
                <w:spacing w:val="1"/>
                <w:position w:val="1"/>
              </w:rPr>
              <w:t>4</w:t>
            </w:r>
            <w:r>
              <w:rPr>
                <w:spacing w:val="1"/>
                <w:position w:val="1"/>
              </w:rPr>
              <w:t>次（</w:t>
            </w:r>
            <w:r>
              <w:rPr>
                <w:rFonts w:ascii="Times New Roman" w:hAnsi="Times New Roman" w:eastAsia="Times New Roman" w:cs="Times New Roman"/>
                <w:spacing w:val="1"/>
                <w:position w:val="1"/>
              </w:rPr>
              <w:t>02</w:t>
            </w:r>
            <w:r>
              <w:rPr>
                <w:spacing w:val="1"/>
                <w:position w:val="1"/>
              </w:rPr>
              <w:t>：</w:t>
            </w:r>
            <w:r>
              <w:rPr>
                <w:rFonts w:ascii="Times New Roman" w:hAnsi="Times New Roman" w:eastAsia="Times New Roman" w:cs="Times New Roman"/>
                <w:spacing w:val="1"/>
                <w:position w:val="1"/>
              </w:rPr>
              <w:t>00</w:t>
            </w:r>
            <w:r>
              <w:rPr>
                <w:rFonts w:ascii="Times New Roman" w:hAnsi="Times New Roman" w:eastAsia="Times New Roman" w:cs="Times New Roman"/>
                <w:spacing w:val="-25"/>
                <w:position w:val="1"/>
              </w:rPr>
              <w:t xml:space="preserve"> </w:t>
            </w:r>
            <w:r>
              <w:rPr>
                <w:spacing w:val="1"/>
                <w:position w:val="1"/>
              </w:rPr>
              <w:t>、</w:t>
            </w:r>
            <w:r>
              <w:rPr>
                <w:rFonts w:ascii="Times New Roman" w:hAnsi="Times New Roman" w:eastAsia="Times New Roman" w:cs="Times New Roman"/>
                <w:spacing w:val="1"/>
                <w:position w:val="1"/>
              </w:rPr>
              <w:t>08</w:t>
            </w:r>
            <w:r>
              <w:rPr>
                <w:spacing w:val="1"/>
                <w:position w:val="1"/>
              </w:rPr>
              <w:t>：</w:t>
            </w:r>
            <w:r>
              <w:rPr>
                <w:rFonts w:ascii="Times New Roman" w:hAnsi="Times New Roman" w:eastAsia="Times New Roman" w:cs="Times New Roman"/>
                <w:spacing w:val="1"/>
                <w:position w:val="1"/>
              </w:rPr>
              <w:t>00</w:t>
            </w:r>
            <w:r>
              <w:rPr>
                <w:rFonts w:ascii="Times New Roman" w:hAnsi="Times New Roman" w:eastAsia="Times New Roman" w:cs="Times New Roman"/>
                <w:spacing w:val="-26"/>
                <w:position w:val="1"/>
              </w:rPr>
              <w:t xml:space="preserve"> </w:t>
            </w:r>
            <w:r>
              <w:rPr>
                <w:spacing w:val="1"/>
                <w:position w:val="1"/>
              </w:rPr>
              <w:t>、</w:t>
            </w:r>
            <w:r>
              <w:rPr>
                <w:rFonts w:ascii="Times New Roman" w:hAnsi="Times New Roman" w:eastAsia="Times New Roman" w:cs="Times New Roman"/>
                <w:spacing w:val="1"/>
                <w:position w:val="1"/>
              </w:rPr>
              <w:t>14</w:t>
            </w:r>
            <w:r>
              <w:rPr>
                <w:position w:val="1"/>
              </w:rPr>
              <w:t>：</w:t>
            </w:r>
            <w:r>
              <w:rPr>
                <w:rFonts w:ascii="Times New Roman" w:hAnsi="Times New Roman" w:eastAsia="Times New Roman" w:cs="Times New Roman"/>
                <w:position w:val="1"/>
              </w:rPr>
              <w:t>00</w:t>
            </w:r>
            <w:r>
              <w:rPr>
                <w:rFonts w:ascii="Times New Roman" w:hAnsi="Times New Roman" w:eastAsia="Times New Roman" w:cs="Times New Roman"/>
                <w:spacing w:val="-26"/>
                <w:position w:val="1"/>
              </w:rPr>
              <w:t xml:space="preserve"> </w:t>
            </w:r>
            <w:r>
              <w:rPr>
                <w:position w:val="1"/>
              </w:rPr>
              <w:t>、</w:t>
            </w:r>
            <w:r>
              <w:rPr>
                <w:rFonts w:ascii="Times New Roman" w:hAnsi="Times New Roman" w:eastAsia="Times New Roman" w:cs="Times New Roman"/>
                <w:position w:val="1"/>
              </w:rPr>
              <w:t>20</w:t>
            </w:r>
            <w:r>
              <w:rPr>
                <w:position w:val="1"/>
              </w:rPr>
              <w:t>：</w:t>
            </w:r>
            <w:r>
              <w:rPr>
                <w:rFonts w:ascii="Times New Roman" w:hAnsi="Times New Roman" w:eastAsia="Times New Roman" w:cs="Times New Roman"/>
                <w:position w:val="1"/>
              </w:rPr>
              <w:t>00</w:t>
            </w:r>
            <w:r>
              <w:rPr>
                <w:spacing w:val="-47"/>
                <w:w w:val="89"/>
                <w:position w:val="1"/>
              </w:rPr>
              <w:t>），</w:t>
            </w:r>
          </w:p>
          <w:p w14:paraId="4267DDF5">
            <w:pPr>
              <w:pStyle w:val="6"/>
              <w:spacing w:before="52" w:line="274" w:lineRule="exact"/>
              <w:ind w:left="1403"/>
            </w:pPr>
            <w:r>
              <w:rPr>
                <w:spacing w:val="7"/>
                <w:position w:val="1"/>
              </w:rPr>
              <w:t>每小时至少有</w:t>
            </w:r>
            <w:r>
              <w:rPr>
                <w:rFonts w:ascii="Times New Roman" w:hAnsi="Times New Roman" w:eastAsia="Times New Roman" w:cs="Times New Roman"/>
                <w:spacing w:val="7"/>
                <w:position w:val="1"/>
              </w:rPr>
              <w:t>45</w:t>
            </w:r>
            <w:r>
              <w:rPr>
                <w:spacing w:val="7"/>
                <w:position w:val="1"/>
              </w:rPr>
              <w:t>分钟采样时间。</w:t>
            </w:r>
          </w:p>
        </w:tc>
      </w:tr>
    </w:tbl>
    <w:p w14:paraId="73122927">
      <w:pPr>
        <w:spacing w:before="251" w:line="361" w:lineRule="exact"/>
        <w:ind w:left="597"/>
        <w:rPr>
          <w:rFonts w:ascii="宋体" w:hAnsi="宋体" w:eastAsia="宋体" w:cs="宋体"/>
          <w:sz w:val="24"/>
          <w:szCs w:val="24"/>
        </w:rPr>
      </w:pPr>
      <w:r>
        <w:rPr>
          <w:rFonts w:ascii="Times New Roman" w:hAnsi="Times New Roman" w:eastAsia="Times New Roman" w:cs="Times New Roman"/>
          <w:spacing w:val="-5"/>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5"/>
          <w:position w:val="2"/>
          <w:sz w:val="24"/>
          <w:szCs w:val="24"/>
        </w:rPr>
        <w:t>、分析方法</w:t>
      </w:r>
    </w:p>
    <w:p w14:paraId="37AD8176">
      <w:pPr>
        <w:spacing w:before="164" w:line="219" w:lineRule="auto"/>
        <w:ind w:left="603"/>
        <w:rPr>
          <w:rFonts w:ascii="宋体" w:hAnsi="宋体" w:eastAsia="宋体" w:cs="宋体"/>
          <w:sz w:val="24"/>
          <w:szCs w:val="24"/>
        </w:rPr>
      </w:pPr>
      <w:r>
        <w:rPr>
          <w:rFonts w:ascii="宋体" w:hAnsi="宋体" w:eastAsia="宋体" w:cs="宋体"/>
          <w:spacing w:val="-1"/>
          <w:sz w:val="24"/>
          <w:szCs w:val="24"/>
        </w:rPr>
        <w:t>本项目大气环境现状监测分析方法见下表。</w:t>
      </w:r>
    </w:p>
    <w:p w14:paraId="7A4DFA3F">
      <w:pPr>
        <w:spacing w:before="220" w:line="228" w:lineRule="auto"/>
        <w:ind w:left="3058"/>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b/>
          <w:bCs/>
          <w:spacing w:val="6"/>
          <w:sz w:val="20"/>
          <w:szCs w:val="20"/>
        </w:rPr>
        <w:t xml:space="preserve">4.3-4 </w:t>
      </w:r>
      <w:r>
        <w:rPr>
          <w:rFonts w:ascii="宋体" w:hAnsi="宋体" w:eastAsia="宋体" w:cs="宋体"/>
          <w:b/>
          <w:bCs/>
          <w:spacing w:val="6"/>
          <w:sz w:val="20"/>
          <w:szCs w:val="20"/>
        </w:rPr>
        <w:t>大气环境现状监测方法</w:t>
      </w:r>
    </w:p>
    <w:p w14:paraId="2748C99A">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7"/>
        <w:gridCol w:w="2633"/>
        <w:gridCol w:w="3301"/>
        <w:gridCol w:w="1609"/>
      </w:tblGrid>
      <w:tr w14:paraId="0EE55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1407" w:type="dxa"/>
            <w:vAlign w:val="top"/>
          </w:tcPr>
          <w:p w14:paraId="12EDE0B7">
            <w:pPr>
              <w:pStyle w:val="6"/>
              <w:spacing w:before="40" w:line="224" w:lineRule="auto"/>
              <w:ind w:left="290"/>
            </w:pPr>
            <w:r>
              <w:rPr>
                <w:b/>
                <w:bCs/>
                <w:spacing w:val="6"/>
              </w:rPr>
              <w:t>监测因子</w:t>
            </w:r>
          </w:p>
        </w:tc>
        <w:tc>
          <w:tcPr>
            <w:tcW w:w="2633" w:type="dxa"/>
            <w:vAlign w:val="top"/>
          </w:tcPr>
          <w:p w14:paraId="58DE393B">
            <w:pPr>
              <w:pStyle w:val="6"/>
              <w:spacing w:before="40" w:line="224" w:lineRule="auto"/>
              <w:ind w:left="377"/>
            </w:pPr>
            <w:r>
              <w:rPr>
                <w:b/>
                <w:bCs/>
                <w:spacing w:val="7"/>
              </w:rPr>
              <w:t>分析仪器型号及编号</w:t>
            </w:r>
          </w:p>
        </w:tc>
        <w:tc>
          <w:tcPr>
            <w:tcW w:w="3301" w:type="dxa"/>
            <w:vAlign w:val="top"/>
          </w:tcPr>
          <w:p w14:paraId="3868149E">
            <w:pPr>
              <w:pStyle w:val="6"/>
              <w:spacing w:before="40" w:line="224" w:lineRule="auto"/>
              <w:ind w:left="1236"/>
            </w:pPr>
            <w:r>
              <w:rPr>
                <w:b/>
                <w:bCs/>
                <w:spacing w:val="6"/>
              </w:rPr>
              <w:t>检测方法</w:t>
            </w:r>
          </w:p>
        </w:tc>
        <w:tc>
          <w:tcPr>
            <w:tcW w:w="1609" w:type="dxa"/>
            <w:vAlign w:val="top"/>
          </w:tcPr>
          <w:p w14:paraId="0B619CD7">
            <w:pPr>
              <w:pStyle w:val="6"/>
              <w:spacing w:before="40" w:line="224" w:lineRule="auto"/>
              <w:ind w:left="494"/>
            </w:pPr>
            <w:r>
              <w:rPr>
                <w:b/>
                <w:bCs/>
                <w:spacing w:val="5"/>
              </w:rPr>
              <w:t>检出限</w:t>
            </w:r>
          </w:p>
        </w:tc>
      </w:tr>
      <w:tr w14:paraId="0712F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407" w:type="dxa"/>
            <w:vAlign w:val="top"/>
          </w:tcPr>
          <w:p w14:paraId="6AF4E729">
            <w:pPr>
              <w:pStyle w:val="6"/>
              <w:spacing w:before="304" w:line="230" w:lineRule="auto"/>
              <w:ind w:left="391"/>
            </w:pPr>
            <w:r>
              <w:rPr>
                <w:spacing w:val="7"/>
              </w:rPr>
              <w:t>硫化氢</w:t>
            </w:r>
          </w:p>
        </w:tc>
        <w:tc>
          <w:tcPr>
            <w:tcW w:w="2633" w:type="dxa"/>
            <w:vAlign w:val="top"/>
          </w:tcPr>
          <w:p w14:paraId="57A3A198">
            <w:pPr>
              <w:pStyle w:val="6"/>
              <w:spacing w:before="304" w:line="228" w:lineRule="auto"/>
              <w:ind w:left="380"/>
            </w:pPr>
            <w:r>
              <w:rPr>
                <w:spacing w:val="8"/>
              </w:rPr>
              <w:t>紫外可见分光光度计</w:t>
            </w:r>
          </w:p>
        </w:tc>
        <w:tc>
          <w:tcPr>
            <w:tcW w:w="3301" w:type="dxa"/>
            <w:vAlign w:val="top"/>
          </w:tcPr>
          <w:p w14:paraId="7A06267B">
            <w:pPr>
              <w:pStyle w:val="6"/>
              <w:spacing w:before="33" w:line="228" w:lineRule="auto"/>
              <w:ind w:left="712"/>
            </w:pPr>
            <w:r>
              <w:rPr>
                <w:spacing w:val="8"/>
              </w:rPr>
              <w:t>亚甲基蓝分光光度法</w:t>
            </w:r>
          </w:p>
          <w:p w14:paraId="174C57D9">
            <w:pPr>
              <w:pStyle w:val="6"/>
              <w:spacing w:before="23" w:line="222" w:lineRule="auto"/>
              <w:ind w:left="118"/>
            </w:pPr>
            <w:r>
              <w:rPr>
                <w:spacing w:val="4"/>
              </w:rPr>
              <w:t>《空气和废气监测分析方法》（第</w:t>
            </w:r>
          </w:p>
          <w:p w14:paraId="466A396F">
            <w:pPr>
              <w:pStyle w:val="6"/>
              <w:spacing w:line="265" w:lineRule="exact"/>
              <w:ind w:left="380"/>
            </w:pPr>
            <w:r>
              <w:rPr>
                <w:spacing w:val="3"/>
                <w:position w:val="1"/>
              </w:rPr>
              <w:t>四版增补版</w:t>
            </w:r>
            <w:r>
              <w:rPr>
                <w:spacing w:val="-6"/>
                <w:position w:val="1"/>
              </w:rPr>
              <w:t>）（</w:t>
            </w:r>
            <w:r>
              <w:rPr>
                <w:spacing w:val="-20"/>
                <w:position w:val="1"/>
              </w:rPr>
              <w:t xml:space="preserve"> </w:t>
            </w:r>
            <w:r>
              <w:rPr>
                <w:rFonts w:ascii="Times New Roman" w:hAnsi="Times New Roman" w:eastAsia="Times New Roman" w:cs="Times New Roman"/>
                <w:spacing w:val="3"/>
                <w:position w:val="1"/>
              </w:rPr>
              <w:t>3. 1. 11.</w:t>
            </w:r>
            <w:r>
              <w:rPr>
                <w:rFonts w:ascii="Times New Roman" w:hAnsi="Times New Roman" w:eastAsia="Times New Roman" w:cs="Times New Roman"/>
                <w:spacing w:val="-26"/>
                <w:position w:val="1"/>
              </w:rPr>
              <w:t xml:space="preserve"> </w:t>
            </w:r>
            <w:r>
              <w:rPr>
                <w:rFonts w:ascii="Times New Roman" w:hAnsi="Times New Roman" w:eastAsia="Times New Roman" w:cs="Times New Roman"/>
                <w:spacing w:val="3"/>
                <w:position w:val="1"/>
              </w:rPr>
              <w:t>2</w:t>
            </w:r>
            <w:r>
              <w:rPr>
                <w:rFonts w:ascii="Times New Roman" w:hAnsi="Times New Roman" w:eastAsia="Times New Roman" w:cs="Times New Roman"/>
                <w:spacing w:val="-23"/>
                <w:position w:val="1"/>
              </w:rPr>
              <w:t xml:space="preserve"> </w:t>
            </w:r>
            <w:r>
              <w:rPr>
                <w:spacing w:val="3"/>
                <w:position w:val="1"/>
              </w:rPr>
              <w:t>）</w:t>
            </w:r>
          </w:p>
        </w:tc>
        <w:tc>
          <w:tcPr>
            <w:tcW w:w="1609" w:type="dxa"/>
            <w:vAlign w:val="top"/>
          </w:tcPr>
          <w:p w14:paraId="748B4B68">
            <w:pPr>
              <w:spacing w:before="273" w:line="274" w:lineRule="exact"/>
              <w:ind w:left="270"/>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 xml:space="preserve">0.001 </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9"/>
                <w:sz w:val="13"/>
                <w:szCs w:val="13"/>
              </w:rPr>
              <w:t>3</w:t>
            </w:r>
          </w:p>
        </w:tc>
      </w:tr>
      <w:tr w14:paraId="4F5B1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07" w:type="dxa"/>
            <w:vAlign w:val="top"/>
          </w:tcPr>
          <w:p w14:paraId="70E9A269">
            <w:pPr>
              <w:pStyle w:val="6"/>
              <w:spacing w:before="168" w:line="229" w:lineRule="auto"/>
              <w:ind w:left="603"/>
            </w:pPr>
            <w:r>
              <w:t>氨</w:t>
            </w:r>
          </w:p>
        </w:tc>
        <w:tc>
          <w:tcPr>
            <w:tcW w:w="2633" w:type="dxa"/>
            <w:vAlign w:val="top"/>
          </w:tcPr>
          <w:p w14:paraId="43CC9DAF">
            <w:pPr>
              <w:pStyle w:val="6"/>
              <w:spacing w:before="168" w:line="228" w:lineRule="auto"/>
              <w:ind w:left="380"/>
            </w:pPr>
            <w:r>
              <w:rPr>
                <w:spacing w:val="8"/>
              </w:rPr>
              <w:t>紫外可见分光光度计</w:t>
            </w:r>
          </w:p>
        </w:tc>
        <w:tc>
          <w:tcPr>
            <w:tcW w:w="3301" w:type="dxa"/>
            <w:vAlign w:val="top"/>
          </w:tcPr>
          <w:p w14:paraId="6CD96C3F">
            <w:pPr>
              <w:pStyle w:val="6"/>
              <w:spacing w:before="3" w:line="247" w:lineRule="auto"/>
              <w:ind w:left="397" w:right="104" w:hanging="286"/>
            </w:pPr>
            <w:r>
              <w:rPr>
                <w:rFonts w:ascii="Times New Roman" w:hAnsi="Times New Roman" w:eastAsia="Times New Roman" w:cs="Times New Roman"/>
              </w:rPr>
              <w:t>HJ</w:t>
            </w:r>
            <w:r>
              <w:rPr>
                <w:rFonts w:ascii="Times New Roman" w:hAnsi="Times New Roman" w:eastAsia="Times New Roman" w:cs="Times New Roman"/>
                <w:spacing w:val="2"/>
              </w:rPr>
              <w:t xml:space="preserve"> 533-2009</w:t>
            </w:r>
            <w:r>
              <w:rPr>
                <w:spacing w:val="2"/>
              </w:rPr>
              <w:t xml:space="preserve">《环境空气和废气氨的 </w:t>
            </w:r>
            <w:r>
              <w:rPr>
                <w:spacing w:val="8"/>
              </w:rPr>
              <w:t>测定纳氏试剂分光光度法》</w:t>
            </w:r>
          </w:p>
        </w:tc>
        <w:tc>
          <w:tcPr>
            <w:tcW w:w="1609" w:type="dxa"/>
            <w:vAlign w:val="top"/>
          </w:tcPr>
          <w:p w14:paraId="1E507189">
            <w:pPr>
              <w:spacing w:before="139" w:line="275" w:lineRule="exact"/>
              <w:ind w:left="320"/>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 xml:space="preserve">0.01 </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9"/>
                <w:sz w:val="13"/>
                <w:szCs w:val="13"/>
              </w:rPr>
              <w:t>3</w:t>
            </w:r>
          </w:p>
        </w:tc>
      </w:tr>
      <w:tr w14:paraId="555F4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407" w:type="dxa"/>
            <w:vAlign w:val="top"/>
          </w:tcPr>
          <w:p w14:paraId="5202A8EB">
            <w:pPr>
              <w:pStyle w:val="6"/>
              <w:spacing w:before="154" w:line="228" w:lineRule="auto"/>
              <w:ind w:left="289"/>
            </w:pPr>
            <w:r>
              <w:rPr>
                <w:spacing w:val="7"/>
              </w:rPr>
              <w:t>臭气浓度</w:t>
            </w:r>
          </w:p>
        </w:tc>
        <w:tc>
          <w:tcPr>
            <w:tcW w:w="2633" w:type="dxa"/>
            <w:vAlign w:val="top"/>
          </w:tcPr>
          <w:p w14:paraId="440D6ED4">
            <w:pPr>
              <w:spacing w:before="278" w:line="97" w:lineRule="exact"/>
              <w:ind w:left="128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3301" w:type="dxa"/>
            <w:vAlign w:val="top"/>
          </w:tcPr>
          <w:p w14:paraId="7FC32FE6">
            <w:pPr>
              <w:spacing w:line="263" w:lineRule="exact"/>
              <w:ind w:left="88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GB</w:t>
            </w:r>
            <w:r>
              <w:rPr>
                <w:rFonts w:ascii="Times New Roman" w:hAnsi="Times New Roman" w:eastAsia="Times New Roman" w:cs="Times New Roman"/>
                <w:spacing w:val="2"/>
                <w:position w:val="1"/>
                <w:sz w:val="20"/>
                <w:szCs w:val="20"/>
              </w:rPr>
              <w:t>/T</w:t>
            </w:r>
            <w:r>
              <w:rPr>
                <w:rFonts w:ascii="Times New Roman" w:hAnsi="Times New Roman" w:eastAsia="Times New Roman" w:cs="Times New Roman"/>
                <w:spacing w:val="35"/>
                <w:position w:val="1"/>
                <w:sz w:val="20"/>
                <w:szCs w:val="20"/>
              </w:rPr>
              <w:t xml:space="preserve"> </w:t>
            </w:r>
            <w:r>
              <w:rPr>
                <w:rFonts w:ascii="Times New Roman" w:hAnsi="Times New Roman" w:eastAsia="Times New Roman" w:cs="Times New Roman"/>
                <w:spacing w:val="2"/>
                <w:position w:val="1"/>
                <w:sz w:val="20"/>
                <w:szCs w:val="20"/>
              </w:rPr>
              <w:t>14675-1993</w:t>
            </w:r>
          </w:p>
          <w:p w14:paraId="4AB6956C">
            <w:pPr>
              <w:pStyle w:val="6"/>
              <w:spacing w:before="11" w:line="219" w:lineRule="auto"/>
              <w:ind w:left="507"/>
            </w:pPr>
            <w:r>
              <w:rPr>
                <w:spacing w:val="7"/>
              </w:rPr>
              <w:t>《三点式比较式臭袋法》</w:t>
            </w:r>
          </w:p>
        </w:tc>
        <w:tc>
          <w:tcPr>
            <w:tcW w:w="1609" w:type="dxa"/>
            <w:vAlign w:val="top"/>
          </w:tcPr>
          <w:p w14:paraId="52B804CD">
            <w:pPr>
              <w:pStyle w:val="6"/>
              <w:spacing w:before="123" w:line="274" w:lineRule="exact"/>
              <w:ind w:left="337"/>
              <w:rPr>
                <w:rFonts w:ascii="Times New Roman" w:hAnsi="Times New Roman" w:eastAsia="Times New Roman" w:cs="Times New Roman"/>
              </w:rPr>
            </w:pPr>
            <w:r>
              <w:rPr>
                <w:rFonts w:ascii="Times New Roman" w:hAnsi="Times New Roman" w:eastAsia="Times New Roman" w:cs="Times New Roman"/>
                <w:spacing w:val="3"/>
                <w:position w:val="2"/>
              </w:rPr>
              <w:t>10(</w:t>
            </w:r>
            <w:r>
              <w:rPr>
                <w:spacing w:val="3"/>
                <w:position w:val="2"/>
              </w:rPr>
              <w:t>无量纲</w:t>
            </w:r>
            <w:r>
              <w:rPr>
                <w:rFonts w:ascii="Times New Roman" w:hAnsi="Times New Roman" w:eastAsia="Times New Roman" w:cs="Times New Roman"/>
                <w:spacing w:val="3"/>
                <w:position w:val="2"/>
              </w:rPr>
              <w:t>)</w:t>
            </w:r>
          </w:p>
        </w:tc>
      </w:tr>
    </w:tbl>
    <w:p w14:paraId="469A076D">
      <w:pPr>
        <w:spacing w:before="287" w:line="221" w:lineRule="auto"/>
        <w:ind w:left="605"/>
        <w:rPr>
          <w:rFonts w:ascii="宋体" w:hAnsi="宋体" w:eastAsia="宋体" w:cs="宋体"/>
          <w:sz w:val="24"/>
          <w:szCs w:val="24"/>
        </w:rPr>
      </w:pPr>
      <w:r>
        <w:rPr>
          <w:rFonts w:ascii="Times New Roman" w:hAnsi="Times New Roman" w:eastAsia="Times New Roman" w:cs="Times New Roman"/>
          <w:spacing w:val="-7"/>
          <w:sz w:val="24"/>
          <w:szCs w:val="24"/>
        </w:rPr>
        <w:t>5</w:t>
      </w:r>
      <w:r>
        <w:rPr>
          <w:rFonts w:ascii="Times New Roman" w:hAnsi="Times New Roman" w:eastAsia="Times New Roman" w:cs="Times New Roman"/>
          <w:spacing w:val="-31"/>
          <w:sz w:val="24"/>
          <w:szCs w:val="24"/>
        </w:rPr>
        <w:t xml:space="preserve"> </w:t>
      </w:r>
      <w:r>
        <w:rPr>
          <w:rFonts w:ascii="宋体" w:hAnsi="宋体" w:eastAsia="宋体" w:cs="宋体"/>
          <w:spacing w:val="-7"/>
          <w:sz w:val="24"/>
          <w:szCs w:val="24"/>
        </w:rPr>
        <w:t>、监测结果</w:t>
      </w:r>
    </w:p>
    <w:p w14:paraId="5B428B18">
      <w:pPr>
        <w:spacing w:before="167" w:line="360" w:lineRule="exact"/>
        <w:ind w:left="603"/>
        <w:rPr>
          <w:rFonts w:ascii="宋体" w:hAnsi="宋体" w:eastAsia="宋体" w:cs="宋体"/>
          <w:sz w:val="24"/>
          <w:szCs w:val="24"/>
        </w:rPr>
      </w:pPr>
      <w:r>
        <w:rPr>
          <w:rFonts w:ascii="宋体" w:hAnsi="宋体" w:eastAsia="宋体" w:cs="宋体"/>
          <w:spacing w:val="-1"/>
          <w:position w:val="2"/>
          <w:sz w:val="24"/>
          <w:szCs w:val="24"/>
        </w:rPr>
        <w:t>监测阶段气象条件如表</w:t>
      </w:r>
      <w:r>
        <w:rPr>
          <w:rFonts w:ascii="宋体" w:hAnsi="宋体" w:eastAsia="宋体" w:cs="宋体"/>
          <w:spacing w:val="-54"/>
          <w:position w:val="2"/>
          <w:sz w:val="24"/>
          <w:szCs w:val="24"/>
        </w:rPr>
        <w:t xml:space="preserve"> </w:t>
      </w:r>
      <w:r>
        <w:rPr>
          <w:rFonts w:ascii="Times New Roman" w:hAnsi="Times New Roman" w:eastAsia="Times New Roman" w:cs="Times New Roman"/>
          <w:spacing w:val="-1"/>
          <w:position w:val="2"/>
          <w:sz w:val="24"/>
          <w:szCs w:val="24"/>
        </w:rPr>
        <w:t xml:space="preserve">4.3-5 </w:t>
      </w:r>
      <w:r>
        <w:rPr>
          <w:rFonts w:ascii="宋体" w:hAnsi="宋体" w:eastAsia="宋体" w:cs="宋体"/>
          <w:spacing w:val="-1"/>
          <w:position w:val="2"/>
          <w:sz w:val="24"/>
          <w:szCs w:val="24"/>
        </w:rPr>
        <w:t>所示。</w:t>
      </w:r>
    </w:p>
    <w:p w14:paraId="7DC9DE67">
      <w:pPr>
        <w:spacing w:before="180" w:line="228" w:lineRule="auto"/>
        <w:ind w:left="3269"/>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3"/>
          <w:sz w:val="20"/>
          <w:szCs w:val="20"/>
        </w:rPr>
        <w:t xml:space="preserve"> </w:t>
      </w:r>
      <w:r>
        <w:rPr>
          <w:rFonts w:ascii="Times New Roman" w:hAnsi="Times New Roman" w:eastAsia="Times New Roman" w:cs="Times New Roman"/>
          <w:b/>
          <w:bCs/>
          <w:spacing w:val="5"/>
          <w:sz w:val="20"/>
          <w:szCs w:val="20"/>
        </w:rPr>
        <w:t xml:space="preserve">4.3-5 </w:t>
      </w:r>
      <w:r>
        <w:rPr>
          <w:rFonts w:ascii="宋体" w:hAnsi="宋体" w:eastAsia="宋体" w:cs="宋体"/>
          <w:b/>
          <w:bCs/>
          <w:spacing w:val="5"/>
          <w:sz w:val="20"/>
          <w:szCs w:val="20"/>
        </w:rPr>
        <w:t>大气监测气象条件</w:t>
      </w:r>
    </w:p>
    <w:p w14:paraId="6080D788">
      <w:pPr>
        <w:spacing w:line="103" w:lineRule="exact"/>
      </w:pPr>
    </w:p>
    <w:tbl>
      <w:tblPr>
        <w:tblStyle w:val="5"/>
        <w:tblW w:w="8848" w:type="dxa"/>
        <w:tblInd w:w="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4"/>
        <w:gridCol w:w="1667"/>
        <w:gridCol w:w="1547"/>
        <w:gridCol w:w="651"/>
        <w:gridCol w:w="650"/>
        <w:gridCol w:w="651"/>
        <w:gridCol w:w="650"/>
        <w:gridCol w:w="651"/>
        <w:gridCol w:w="651"/>
        <w:gridCol w:w="656"/>
      </w:tblGrid>
      <w:tr w14:paraId="2D04B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1074" w:type="dxa"/>
            <w:vAlign w:val="top"/>
          </w:tcPr>
          <w:p w14:paraId="3E7F5003">
            <w:pPr>
              <w:spacing w:line="321" w:lineRule="auto"/>
              <w:rPr>
                <w:rFonts w:ascii="Arial"/>
                <w:sz w:val="21"/>
              </w:rPr>
            </w:pPr>
          </w:p>
          <w:p w14:paraId="1CDA1CD4">
            <w:pPr>
              <w:pStyle w:val="6"/>
              <w:spacing w:before="65" w:line="228" w:lineRule="auto"/>
              <w:ind w:left="122"/>
            </w:pPr>
            <w:r>
              <w:rPr>
                <w:b/>
                <w:bCs/>
                <w:spacing w:val="6"/>
              </w:rPr>
              <w:t>采样点位</w:t>
            </w:r>
          </w:p>
        </w:tc>
        <w:tc>
          <w:tcPr>
            <w:tcW w:w="1667" w:type="dxa"/>
            <w:vAlign w:val="top"/>
          </w:tcPr>
          <w:p w14:paraId="14AE1822">
            <w:pPr>
              <w:spacing w:line="321" w:lineRule="auto"/>
              <w:rPr>
                <w:rFonts w:ascii="Arial"/>
                <w:sz w:val="21"/>
              </w:rPr>
            </w:pPr>
          </w:p>
          <w:p w14:paraId="13724678">
            <w:pPr>
              <w:pStyle w:val="6"/>
              <w:spacing w:before="65" w:line="228" w:lineRule="auto"/>
              <w:ind w:left="416"/>
            </w:pPr>
            <w:r>
              <w:rPr>
                <w:b/>
                <w:bCs/>
                <w:spacing w:val="6"/>
              </w:rPr>
              <w:t>采样日期</w:t>
            </w:r>
          </w:p>
        </w:tc>
        <w:tc>
          <w:tcPr>
            <w:tcW w:w="1547" w:type="dxa"/>
            <w:vAlign w:val="top"/>
          </w:tcPr>
          <w:p w14:paraId="0ED53F24">
            <w:pPr>
              <w:spacing w:line="321" w:lineRule="auto"/>
              <w:rPr>
                <w:rFonts w:ascii="Arial"/>
                <w:sz w:val="21"/>
              </w:rPr>
            </w:pPr>
          </w:p>
          <w:p w14:paraId="1946514B">
            <w:pPr>
              <w:pStyle w:val="6"/>
              <w:spacing w:before="65" w:line="228" w:lineRule="auto"/>
              <w:ind w:left="148"/>
            </w:pPr>
            <w:r>
              <w:rPr>
                <w:b/>
                <w:bCs/>
                <w:spacing w:val="7"/>
              </w:rPr>
              <w:t>采样起止时间</w:t>
            </w:r>
          </w:p>
        </w:tc>
        <w:tc>
          <w:tcPr>
            <w:tcW w:w="651" w:type="dxa"/>
            <w:vAlign w:val="top"/>
          </w:tcPr>
          <w:p w14:paraId="0A108272">
            <w:pPr>
              <w:spacing w:line="322" w:lineRule="auto"/>
              <w:rPr>
                <w:rFonts w:ascii="Arial"/>
                <w:sz w:val="21"/>
              </w:rPr>
            </w:pPr>
          </w:p>
          <w:p w14:paraId="72208464">
            <w:pPr>
              <w:pStyle w:val="6"/>
              <w:spacing w:before="65" w:line="229" w:lineRule="auto"/>
              <w:ind w:left="125"/>
            </w:pPr>
            <w:r>
              <w:rPr>
                <w:b/>
                <w:bCs/>
                <w:spacing w:val="1"/>
              </w:rPr>
              <w:t>天气</w:t>
            </w:r>
          </w:p>
        </w:tc>
        <w:tc>
          <w:tcPr>
            <w:tcW w:w="650" w:type="dxa"/>
            <w:vAlign w:val="top"/>
          </w:tcPr>
          <w:p w14:paraId="55BE2BD8">
            <w:pPr>
              <w:spacing w:line="322" w:lineRule="auto"/>
              <w:rPr>
                <w:rFonts w:ascii="Arial"/>
                <w:sz w:val="21"/>
              </w:rPr>
            </w:pPr>
          </w:p>
          <w:p w14:paraId="5CF1B4AD">
            <w:pPr>
              <w:pStyle w:val="6"/>
              <w:spacing w:before="65" w:line="229" w:lineRule="auto"/>
              <w:ind w:left="121"/>
            </w:pPr>
            <w:r>
              <w:rPr>
                <w:b/>
                <w:bCs/>
                <w:spacing w:val="3"/>
              </w:rPr>
              <w:t>风向</w:t>
            </w:r>
          </w:p>
        </w:tc>
        <w:tc>
          <w:tcPr>
            <w:tcW w:w="651" w:type="dxa"/>
            <w:vAlign w:val="top"/>
          </w:tcPr>
          <w:p w14:paraId="33210EB4">
            <w:pPr>
              <w:pStyle w:val="6"/>
              <w:spacing w:before="225" w:line="229" w:lineRule="auto"/>
              <w:ind w:left="122"/>
            </w:pPr>
            <w:r>
              <w:rPr>
                <w:b/>
                <w:bCs/>
                <w:spacing w:val="3"/>
              </w:rPr>
              <w:t>风速</w:t>
            </w:r>
          </w:p>
          <w:p w14:paraId="6F1640F6">
            <w:pPr>
              <w:spacing w:before="113" w:line="197" w:lineRule="auto"/>
              <w:ind w:left="10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(m/s)</w:t>
            </w:r>
          </w:p>
        </w:tc>
        <w:tc>
          <w:tcPr>
            <w:tcW w:w="650" w:type="dxa"/>
            <w:vAlign w:val="top"/>
          </w:tcPr>
          <w:p w14:paraId="3BE52812">
            <w:pPr>
              <w:spacing w:line="321" w:lineRule="auto"/>
              <w:rPr>
                <w:rFonts w:ascii="Arial"/>
                <w:sz w:val="21"/>
              </w:rPr>
            </w:pPr>
          </w:p>
          <w:p w14:paraId="739CD653">
            <w:pPr>
              <w:pStyle w:val="6"/>
              <w:spacing w:before="65" w:line="238" w:lineRule="auto"/>
              <w:ind w:left="123"/>
            </w:pPr>
            <w:r>
              <w:rPr>
                <w:b/>
                <w:bCs/>
                <w:spacing w:val="2"/>
              </w:rPr>
              <w:t>总云</w:t>
            </w:r>
          </w:p>
        </w:tc>
        <w:tc>
          <w:tcPr>
            <w:tcW w:w="651" w:type="dxa"/>
            <w:vAlign w:val="top"/>
          </w:tcPr>
          <w:p w14:paraId="4B6F4CF9">
            <w:pPr>
              <w:spacing w:line="321" w:lineRule="auto"/>
              <w:rPr>
                <w:rFonts w:ascii="Arial"/>
                <w:sz w:val="21"/>
              </w:rPr>
            </w:pPr>
          </w:p>
          <w:p w14:paraId="634134CB">
            <w:pPr>
              <w:pStyle w:val="6"/>
              <w:spacing w:before="65" w:line="230" w:lineRule="auto"/>
              <w:ind w:left="122"/>
            </w:pPr>
            <w:r>
              <w:rPr>
                <w:b/>
                <w:bCs/>
                <w:spacing w:val="4"/>
              </w:rPr>
              <w:t>低云</w:t>
            </w:r>
          </w:p>
        </w:tc>
        <w:tc>
          <w:tcPr>
            <w:tcW w:w="651" w:type="dxa"/>
            <w:vAlign w:val="top"/>
          </w:tcPr>
          <w:p w14:paraId="408576A7">
            <w:pPr>
              <w:pStyle w:val="6"/>
              <w:spacing w:before="225" w:line="229" w:lineRule="auto"/>
              <w:ind w:left="124"/>
            </w:pPr>
            <w:r>
              <w:rPr>
                <w:b/>
                <w:bCs/>
                <w:spacing w:val="3"/>
              </w:rPr>
              <w:t>温度</w:t>
            </w:r>
          </w:p>
          <w:p w14:paraId="28D5AFC3">
            <w:pPr>
              <w:pStyle w:val="6"/>
              <w:spacing w:before="77" w:line="221" w:lineRule="auto"/>
              <w:ind w:left="159"/>
              <w:rPr>
                <w:rFonts w:ascii="Times New Roman" w:hAnsi="Times New Roman" w:eastAsia="Times New Roman" w:cs="Times New Roman"/>
              </w:rPr>
            </w:pPr>
            <w:r>
              <w:rPr>
                <w:rFonts w:ascii="Times New Roman" w:hAnsi="Times New Roman" w:eastAsia="Times New Roman" w:cs="Times New Roman"/>
                <w:b/>
                <w:bCs/>
                <w:spacing w:val="2"/>
              </w:rPr>
              <w:t>(</w:t>
            </w:r>
            <w:r>
              <w:rPr>
                <w:b/>
                <w:bCs/>
                <w:spacing w:val="2"/>
              </w:rPr>
              <w:t>℃</w:t>
            </w:r>
            <w:r>
              <w:rPr>
                <w:rFonts w:ascii="Times New Roman" w:hAnsi="Times New Roman" w:eastAsia="Times New Roman" w:cs="Times New Roman"/>
                <w:b/>
                <w:bCs/>
                <w:spacing w:val="2"/>
              </w:rPr>
              <w:t>)</w:t>
            </w:r>
          </w:p>
        </w:tc>
        <w:tc>
          <w:tcPr>
            <w:tcW w:w="656" w:type="dxa"/>
            <w:vAlign w:val="top"/>
          </w:tcPr>
          <w:p w14:paraId="497F1A3E">
            <w:pPr>
              <w:pStyle w:val="6"/>
              <w:spacing w:before="63" w:line="304" w:lineRule="auto"/>
              <w:ind w:left="228" w:right="114" w:hanging="101"/>
            </w:pPr>
            <w:r>
              <w:rPr>
                <w:b/>
                <w:bCs/>
                <w:spacing w:val="2"/>
              </w:rPr>
              <w:t>大气</w:t>
            </w:r>
            <w:r>
              <w:t xml:space="preserve"> </w:t>
            </w:r>
            <w:r>
              <w:rPr>
                <w:b/>
                <w:bCs/>
                <w:spacing w:val="-3"/>
              </w:rPr>
              <w:t>压</w:t>
            </w:r>
          </w:p>
          <w:p w14:paraId="59D84F20">
            <w:pPr>
              <w:spacing w:before="28" w:line="197" w:lineRule="auto"/>
              <w:ind w:left="89"/>
              <w:rPr>
                <w:rFonts w:ascii="Times New Roman" w:hAnsi="Times New Roman" w:eastAsia="Times New Roman" w:cs="Times New Roman"/>
                <w:sz w:val="20"/>
                <w:szCs w:val="20"/>
              </w:rPr>
            </w:pP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z w:val="20"/>
                <w:szCs w:val="20"/>
              </w:rPr>
              <w:t>kPa</w:t>
            </w:r>
            <w:r>
              <w:rPr>
                <w:rFonts w:ascii="Times New Roman" w:hAnsi="Times New Roman" w:eastAsia="Times New Roman" w:cs="Times New Roman"/>
                <w:b/>
                <w:bCs/>
                <w:spacing w:val="7"/>
                <w:sz w:val="20"/>
                <w:szCs w:val="20"/>
              </w:rPr>
              <w:t>)</w:t>
            </w:r>
          </w:p>
        </w:tc>
      </w:tr>
      <w:tr w14:paraId="4A5C4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74" w:type="dxa"/>
            <w:vMerge w:val="restart"/>
            <w:tcBorders>
              <w:bottom w:val="nil"/>
            </w:tcBorders>
            <w:vAlign w:val="top"/>
          </w:tcPr>
          <w:p w14:paraId="5AB0135F">
            <w:pPr>
              <w:spacing w:line="255" w:lineRule="auto"/>
              <w:rPr>
                <w:rFonts w:ascii="Arial"/>
                <w:sz w:val="21"/>
              </w:rPr>
            </w:pPr>
          </w:p>
          <w:p w14:paraId="58CE7D6C">
            <w:pPr>
              <w:spacing w:line="256" w:lineRule="auto"/>
              <w:rPr>
                <w:rFonts w:ascii="Arial"/>
                <w:sz w:val="21"/>
              </w:rPr>
            </w:pPr>
          </w:p>
          <w:p w14:paraId="76F8768E">
            <w:pPr>
              <w:spacing w:line="256" w:lineRule="auto"/>
              <w:rPr>
                <w:rFonts w:ascii="Arial"/>
                <w:sz w:val="21"/>
              </w:rPr>
            </w:pPr>
          </w:p>
          <w:p w14:paraId="2593D227">
            <w:pPr>
              <w:spacing w:line="256" w:lineRule="auto"/>
              <w:rPr>
                <w:rFonts w:ascii="Arial"/>
                <w:sz w:val="21"/>
              </w:rPr>
            </w:pPr>
          </w:p>
          <w:p w14:paraId="69146487">
            <w:pPr>
              <w:spacing w:line="256" w:lineRule="auto"/>
              <w:rPr>
                <w:rFonts w:ascii="Arial"/>
                <w:sz w:val="21"/>
              </w:rPr>
            </w:pPr>
          </w:p>
          <w:p w14:paraId="500B94D7">
            <w:pPr>
              <w:spacing w:line="256" w:lineRule="auto"/>
              <w:rPr>
                <w:rFonts w:ascii="Arial"/>
                <w:sz w:val="21"/>
              </w:rPr>
            </w:pPr>
          </w:p>
          <w:p w14:paraId="46E3D788">
            <w:pPr>
              <w:pStyle w:val="6"/>
              <w:spacing w:before="65" w:line="274" w:lineRule="exact"/>
              <w:ind w:left="72"/>
            </w:pPr>
            <w:r>
              <w:rPr>
                <w:rFonts w:ascii="Times New Roman" w:hAnsi="Times New Roman" w:eastAsia="Times New Roman" w:cs="Times New Roman"/>
                <w:spacing w:val="-1"/>
                <w:position w:val="1"/>
              </w:rPr>
              <w:t>G</w:t>
            </w:r>
            <w:r>
              <w:rPr>
                <w:rFonts w:ascii="Times New Roman" w:hAnsi="Times New Roman" w:eastAsia="Times New Roman" w:cs="Times New Roman"/>
                <w:spacing w:val="-23"/>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13"/>
                <w:w w:val="101"/>
                <w:position w:val="1"/>
              </w:rPr>
              <w:t xml:space="preserve"> </w:t>
            </w:r>
            <w:r>
              <w:rPr>
                <w:spacing w:val="-1"/>
                <w:position w:val="1"/>
              </w:rPr>
              <w:t>龙岗村</w:t>
            </w:r>
          </w:p>
        </w:tc>
        <w:tc>
          <w:tcPr>
            <w:tcW w:w="1667" w:type="dxa"/>
            <w:vMerge w:val="restart"/>
            <w:tcBorders>
              <w:bottom w:val="nil"/>
            </w:tcBorders>
            <w:vAlign w:val="top"/>
          </w:tcPr>
          <w:p w14:paraId="3EAA94C8">
            <w:pPr>
              <w:spacing w:line="329" w:lineRule="auto"/>
              <w:rPr>
                <w:rFonts w:ascii="Arial"/>
                <w:sz w:val="21"/>
              </w:rPr>
            </w:pPr>
          </w:p>
          <w:p w14:paraId="6B27EDE5">
            <w:pPr>
              <w:pStyle w:val="6"/>
              <w:spacing w:before="65" w:line="303" w:lineRule="auto"/>
              <w:ind w:left="766" w:right="101" w:hanging="663"/>
            </w:pPr>
            <w:r>
              <w:rPr>
                <w:rFonts w:ascii="Times New Roman" w:hAnsi="Times New Roman" w:eastAsia="Times New Roman" w:cs="Times New Roman"/>
                <w:spacing w:val="-3"/>
              </w:rPr>
              <w:t>2020</w:t>
            </w:r>
            <w:r>
              <w:rPr>
                <w:rFonts w:ascii="Times New Roman" w:hAnsi="Times New Roman" w:eastAsia="Times New Roman" w:cs="Times New Roman"/>
                <w:spacing w:val="16"/>
              </w:rPr>
              <w:t xml:space="preserve"> </w:t>
            </w:r>
            <w:r>
              <w:rPr>
                <w:spacing w:val="-3"/>
              </w:rPr>
              <w:t>年</w:t>
            </w:r>
            <w:r>
              <w:rPr>
                <w:spacing w:val="-23"/>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12"/>
                <w:w w:val="101"/>
              </w:rPr>
              <w:t xml:space="preserve"> </w:t>
            </w:r>
            <w:r>
              <w:rPr>
                <w:spacing w:val="-3"/>
              </w:rPr>
              <w:t>月</w:t>
            </w:r>
            <w:r>
              <w:rPr>
                <w:spacing w:val="-21"/>
              </w:rPr>
              <w:t xml:space="preserve"> </w:t>
            </w:r>
            <w:r>
              <w:rPr>
                <w:rFonts w:ascii="Times New Roman" w:hAnsi="Times New Roman" w:eastAsia="Times New Roman" w:cs="Times New Roman"/>
                <w:spacing w:val="-3"/>
              </w:rPr>
              <w:t>10</w:t>
            </w:r>
            <w:r>
              <w:rPr>
                <w:rFonts w:ascii="Times New Roman" w:hAnsi="Times New Roman" w:eastAsia="Times New Roman" w:cs="Times New Roman"/>
              </w:rPr>
              <w:t xml:space="preserve"> </w:t>
            </w:r>
            <w:r>
              <w:t>日</w:t>
            </w:r>
          </w:p>
        </w:tc>
        <w:tc>
          <w:tcPr>
            <w:tcW w:w="1547" w:type="dxa"/>
            <w:vAlign w:val="top"/>
          </w:tcPr>
          <w:p w14:paraId="6FAA8FC1">
            <w:pPr>
              <w:spacing w:before="35"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02:00-03:00</w:t>
            </w:r>
          </w:p>
        </w:tc>
        <w:tc>
          <w:tcPr>
            <w:tcW w:w="651" w:type="dxa"/>
            <w:vAlign w:val="top"/>
          </w:tcPr>
          <w:p w14:paraId="015FBC43">
            <w:pPr>
              <w:pStyle w:val="6"/>
              <w:spacing w:before="66" w:line="229" w:lineRule="auto"/>
              <w:ind w:left="234"/>
            </w:pPr>
            <w:r>
              <w:t>晴</w:t>
            </w:r>
          </w:p>
        </w:tc>
        <w:tc>
          <w:tcPr>
            <w:tcW w:w="650" w:type="dxa"/>
            <w:vAlign w:val="top"/>
          </w:tcPr>
          <w:p w14:paraId="27DEA0FC">
            <w:pPr>
              <w:pStyle w:val="6"/>
              <w:spacing w:before="66" w:line="228" w:lineRule="auto"/>
              <w:ind w:left="128"/>
            </w:pPr>
            <w:r>
              <w:rPr>
                <w:spacing w:val="1"/>
              </w:rPr>
              <w:t>东南</w:t>
            </w:r>
          </w:p>
        </w:tc>
        <w:tc>
          <w:tcPr>
            <w:tcW w:w="651" w:type="dxa"/>
            <w:vAlign w:val="top"/>
          </w:tcPr>
          <w:p w14:paraId="6212F675">
            <w:pPr>
              <w:spacing w:before="35"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1.6</w:t>
            </w:r>
          </w:p>
        </w:tc>
        <w:tc>
          <w:tcPr>
            <w:tcW w:w="650" w:type="dxa"/>
            <w:vAlign w:val="top"/>
          </w:tcPr>
          <w:p w14:paraId="5C8F1A71">
            <w:pPr>
              <w:spacing w:before="35"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40B40231">
            <w:pPr>
              <w:spacing w:before="35"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0D18C5A7">
            <w:pPr>
              <w:spacing w:before="35"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26.5</w:t>
            </w:r>
          </w:p>
        </w:tc>
        <w:tc>
          <w:tcPr>
            <w:tcW w:w="656" w:type="dxa"/>
            <w:vAlign w:val="top"/>
          </w:tcPr>
          <w:p w14:paraId="57BF9D44">
            <w:pPr>
              <w:spacing w:before="35"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100.8</w:t>
            </w:r>
          </w:p>
        </w:tc>
      </w:tr>
      <w:tr w14:paraId="69AAE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74" w:type="dxa"/>
            <w:vMerge w:val="continue"/>
            <w:tcBorders>
              <w:top w:val="nil"/>
              <w:bottom w:val="nil"/>
            </w:tcBorders>
            <w:vAlign w:val="top"/>
          </w:tcPr>
          <w:p w14:paraId="0C26E64F">
            <w:pPr>
              <w:rPr>
                <w:rFonts w:ascii="Arial"/>
                <w:sz w:val="21"/>
              </w:rPr>
            </w:pPr>
          </w:p>
        </w:tc>
        <w:tc>
          <w:tcPr>
            <w:tcW w:w="1667" w:type="dxa"/>
            <w:vMerge w:val="continue"/>
            <w:tcBorders>
              <w:top w:val="nil"/>
              <w:bottom w:val="nil"/>
            </w:tcBorders>
            <w:vAlign w:val="top"/>
          </w:tcPr>
          <w:p w14:paraId="4BC4E61A">
            <w:pPr>
              <w:rPr>
                <w:rFonts w:ascii="Arial"/>
                <w:sz w:val="21"/>
              </w:rPr>
            </w:pPr>
          </w:p>
        </w:tc>
        <w:tc>
          <w:tcPr>
            <w:tcW w:w="1547" w:type="dxa"/>
            <w:vAlign w:val="top"/>
          </w:tcPr>
          <w:p w14:paraId="33639765">
            <w:pPr>
              <w:spacing w:before="34"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08:00-09:00</w:t>
            </w:r>
          </w:p>
        </w:tc>
        <w:tc>
          <w:tcPr>
            <w:tcW w:w="651" w:type="dxa"/>
            <w:vAlign w:val="top"/>
          </w:tcPr>
          <w:p w14:paraId="50175B42">
            <w:pPr>
              <w:pStyle w:val="6"/>
              <w:spacing w:before="65" w:line="229" w:lineRule="auto"/>
              <w:ind w:left="234"/>
            </w:pPr>
            <w:r>
              <w:t>晴</w:t>
            </w:r>
          </w:p>
        </w:tc>
        <w:tc>
          <w:tcPr>
            <w:tcW w:w="650" w:type="dxa"/>
            <w:vAlign w:val="top"/>
          </w:tcPr>
          <w:p w14:paraId="6E0233E8">
            <w:pPr>
              <w:pStyle w:val="6"/>
              <w:spacing w:before="65" w:line="228" w:lineRule="auto"/>
              <w:ind w:left="128"/>
            </w:pPr>
            <w:r>
              <w:rPr>
                <w:spacing w:val="1"/>
              </w:rPr>
              <w:t>东南</w:t>
            </w:r>
          </w:p>
        </w:tc>
        <w:tc>
          <w:tcPr>
            <w:tcW w:w="651" w:type="dxa"/>
            <w:vAlign w:val="top"/>
          </w:tcPr>
          <w:p w14:paraId="5A2A79C4">
            <w:pPr>
              <w:spacing w:before="34"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1.6</w:t>
            </w:r>
          </w:p>
        </w:tc>
        <w:tc>
          <w:tcPr>
            <w:tcW w:w="650" w:type="dxa"/>
            <w:vAlign w:val="top"/>
          </w:tcPr>
          <w:p w14:paraId="409FC246">
            <w:pPr>
              <w:spacing w:before="34" w:line="274" w:lineRule="exact"/>
              <w:ind w:left="27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1" w:type="dxa"/>
            <w:vAlign w:val="top"/>
          </w:tcPr>
          <w:p w14:paraId="32BFBA9B">
            <w:pPr>
              <w:spacing w:before="34"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1E254601">
            <w:pPr>
              <w:spacing w:before="34"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26.9</w:t>
            </w:r>
          </w:p>
        </w:tc>
        <w:tc>
          <w:tcPr>
            <w:tcW w:w="656" w:type="dxa"/>
            <w:vAlign w:val="top"/>
          </w:tcPr>
          <w:p w14:paraId="73FAD986">
            <w:pPr>
              <w:spacing w:before="34"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100.8</w:t>
            </w:r>
          </w:p>
        </w:tc>
      </w:tr>
      <w:tr w14:paraId="12BEA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74" w:type="dxa"/>
            <w:vMerge w:val="continue"/>
            <w:tcBorders>
              <w:top w:val="nil"/>
              <w:bottom w:val="nil"/>
            </w:tcBorders>
            <w:vAlign w:val="top"/>
          </w:tcPr>
          <w:p w14:paraId="12339EFE">
            <w:pPr>
              <w:rPr>
                <w:rFonts w:ascii="Arial"/>
                <w:sz w:val="21"/>
              </w:rPr>
            </w:pPr>
          </w:p>
        </w:tc>
        <w:tc>
          <w:tcPr>
            <w:tcW w:w="1667" w:type="dxa"/>
            <w:vMerge w:val="continue"/>
            <w:tcBorders>
              <w:top w:val="nil"/>
              <w:bottom w:val="nil"/>
            </w:tcBorders>
            <w:vAlign w:val="top"/>
          </w:tcPr>
          <w:p w14:paraId="40E55684">
            <w:pPr>
              <w:rPr>
                <w:rFonts w:ascii="Arial"/>
                <w:sz w:val="21"/>
              </w:rPr>
            </w:pPr>
          </w:p>
        </w:tc>
        <w:tc>
          <w:tcPr>
            <w:tcW w:w="1547" w:type="dxa"/>
            <w:vAlign w:val="top"/>
          </w:tcPr>
          <w:p w14:paraId="0145E925">
            <w:pPr>
              <w:spacing w:before="36"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14:00-15:00</w:t>
            </w:r>
          </w:p>
        </w:tc>
        <w:tc>
          <w:tcPr>
            <w:tcW w:w="651" w:type="dxa"/>
            <w:vAlign w:val="top"/>
          </w:tcPr>
          <w:p w14:paraId="5A35E270">
            <w:pPr>
              <w:pStyle w:val="6"/>
              <w:spacing w:before="66" w:line="229" w:lineRule="auto"/>
              <w:ind w:left="234"/>
            </w:pPr>
            <w:r>
              <w:t>晴</w:t>
            </w:r>
          </w:p>
        </w:tc>
        <w:tc>
          <w:tcPr>
            <w:tcW w:w="650" w:type="dxa"/>
            <w:vAlign w:val="top"/>
          </w:tcPr>
          <w:p w14:paraId="5E539C85">
            <w:pPr>
              <w:pStyle w:val="6"/>
              <w:spacing w:before="67" w:line="228" w:lineRule="auto"/>
              <w:ind w:left="234"/>
            </w:pPr>
            <w:r>
              <w:t>东</w:t>
            </w:r>
          </w:p>
        </w:tc>
        <w:tc>
          <w:tcPr>
            <w:tcW w:w="651" w:type="dxa"/>
            <w:vAlign w:val="top"/>
          </w:tcPr>
          <w:p w14:paraId="5A232567">
            <w:pPr>
              <w:spacing w:before="36"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1.4</w:t>
            </w:r>
          </w:p>
        </w:tc>
        <w:tc>
          <w:tcPr>
            <w:tcW w:w="650" w:type="dxa"/>
            <w:vAlign w:val="top"/>
          </w:tcPr>
          <w:p w14:paraId="76DBC0AC">
            <w:pPr>
              <w:spacing w:before="36"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7A7CBCE9">
            <w:pPr>
              <w:spacing w:before="36"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16D1A8D4">
            <w:pPr>
              <w:spacing w:before="36"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656" w:type="dxa"/>
            <w:vAlign w:val="top"/>
          </w:tcPr>
          <w:p w14:paraId="1F82AF54">
            <w:pPr>
              <w:spacing w:before="36"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100.5</w:t>
            </w:r>
          </w:p>
        </w:tc>
      </w:tr>
      <w:tr w14:paraId="1EA6F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74" w:type="dxa"/>
            <w:vMerge w:val="continue"/>
            <w:tcBorders>
              <w:top w:val="nil"/>
              <w:bottom w:val="nil"/>
            </w:tcBorders>
            <w:vAlign w:val="top"/>
          </w:tcPr>
          <w:p w14:paraId="21161526">
            <w:pPr>
              <w:rPr>
                <w:rFonts w:ascii="Arial"/>
                <w:sz w:val="21"/>
              </w:rPr>
            </w:pPr>
          </w:p>
        </w:tc>
        <w:tc>
          <w:tcPr>
            <w:tcW w:w="1667" w:type="dxa"/>
            <w:vMerge w:val="continue"/>
            <w:tcBorders>
              <w:top w:val="nil"/>
            </w:tcBorders>
            <w:vAlign w:val="top"/>
          </w:tcPr>
          <w:p w14:paraId="0F20304B">
            <w:pPr>
              <w:rPr>
                <w:rFonts w:ascii="Arial"/>
                <w:sz w:val="21"/>
              </w:rPr>
            </w:pPr>
          </w:p>
        </w:tc>
        <w:tc>
          <w:tcPr>
            <w:tcW w:w="1547" w:type="dxa"/>
            <w:vAlign w:val="top"/>
          </w:tcPr>
          <w:p w14:paraId="521743F3">
            <w:pPr>
              <w:spacing w:before="37" w:line="274" w:lineRule="exact"/>
              <w:ind w:left="2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20:00-21:00</w:t>
            </w:r>
          </w:p>
        </w:tc>
        <w:tc>
          <w:tcPr>
            <w:tcW w:w="651" w:type="dxa"/>
            <w:vAlign w:val="top"/>
          </w:tcPr>
          <w:p w14:paraId="30B642EC">
            <w:pPr>
              <w:pStyle w:val="6"/>
              <w:spacing w:before="68" w:line="229" w:lineRule="auto"/>
              <w:ind w:left="234"/>
            </w:pPr>
            <w:r>
              <w:t>晴</w:t>
            </w:r>
          </w:p>
        </w:tc>
        <w:tc>
          <w:tcPr>
            <w:tcW w:w="650" w:type="dxa"/>
            <w:vAlign w:val="top"/>
          </w:tcPr>
          <w:p w14:paraId="71C8CC47">
            <w:pPr>
              <w:pStyle w:val="6"/>
              <w:spacing w:before="68" w:line="228" w:lineRule="auto"/>
              <w:ind w:left="234"/>
            </w:pPr>
            <w:r>
              <w:t>东</w:t>
            </w:r>
          </w:p>
        </w:tc>
        <w:tc>
          <w:tcPr>
            <w:tcW w:w="651" w:type="dxa"/>
            <w:vAlign w:val="top"/>
          </w:tcPr>
          <w:p w14:paraId="5C072DAD">
            <w:pPr>
              <w:spacing w:before="37"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30A60605">
            <w:pPr>
              <w:spacing w:before="107"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619C54A6">
            <w:pPr>
              <w:spacing w:before="37"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354D23BA">
            <w:pPr>
              <w:spacing w:before="37"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27.8</w:t>
            </w:r>
          </w:p>
        </w:tc>
        <w:tc>
          <w:tcPr>
            <w:tcW w:w="656" w:type="dxa"/>
            <w:vAlign w:val="top"/>
          </w:tcPr>
          <w:p w14:paraId="64E9A249">
            <w:pPr>
              <w:spacing w:before="37"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100.7</w:t>
            </w:r>
          </w:p>
        </w:tc>
      </w:tr>
      <w:tr w14:paraId="4F97C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40B65D97">
            <w:pPr>
              <w:rPr>
                <w:rFonts w:ascii="Arial"/>
                <w:sz w:val="21"/>
              </w:rPr>
            </w:pPr>
          </w:p>
        </w:tc>
        <w:tc>
          <w:tcPr>
            <w:tcW w:w="1667" w:type="dxa"/>
            <w:vMerge w:val="restart"/>
            <w:tcBorders>
              <w:bottom w:val="nil"/>
            </w:tcBorders>
            <w:vAlign w:val="top"/>
          </w:tcPr>
          <w:p w14:paraId="5A397949">
            <w:pPr>
              <w:spacing w:line="335" w:lineRule="auto"/>
              <w:rPr>
                <w:rFonts w:ascii="Arial"/>
                <w:sz w:val="21"/>
              </w:rPr>
            </w:pPr>
          </w:p>
          <w:p w14:paraId="0189B0EE">
            <w:pPr>
              <w:pStyle w:val="6"/>
              <w:spacing w:before="65" w:line="303" w:lineRule="auto"/>
              <w:ind w:left="766" w:right="104" w:hanging="658"/>
            </w:pPr>
            <w:r>
              <w:rPr>
                <w:rFonts w:ascii="Times New Roman" w:hAnsi="Times New Roman" w:eastAsia="Times New Roman" w:cs="Times New Roman"/>
                <w:spacing w:val="-4"/>
              </w:rPr>
              <w:t>2020</w:t>
            </w:r>
            <w:r>
              <w:rPr>
                <w:rFonts w:ascii="Times New Roman" w:hAnsi="Times New Roman" w:eastAsia="Times New Roman" w:cs="Times New Roman"/>
                <w:spacing w:val="19"/>
              </w:rPr>
              <w:t xml:space="preserve"> </w:t>
            </w:r>
            <w:r>
              <w:rPr>
                <w:spacing w:val="-4"/>
              </w:rPr>
              <w:t>年</w:t>
            </w:r>
            <w:r>
              <w:rPr>
                <w:spacing w:val="-21"/>
              </w:rPr>
              <w:t xml:space="preserve"> </w:t>
            </w:r>
            <w:r>
              <w:rPr>
                <w:rFonts w:ascii="Times New Roman" w:hAnsi="Times New Roman" w:eastAsia="Times New Roman" w:cs="Times New Roman"/>
                <w:spacing w:val="-4"/>
              </w:rPr>
              <w:t>11</w:t>
            </w:r>
            <w:r>
              <w:rPr>
                <w:rFonts w:ascii="Times New Roman" w:hAnsi="Times New Roman" w:eastAsia="Times New Roman" w:cs="Times New Roman"/>
                <w:spacing w:val="12"/>
                <w:w w:val="101"/>
              </w:rPr>
              <w:t xml:space="preserve"> </w:t>
            </w:r>
            <w:r>
              <w:rPr>
                <w:spacing w:val="-4"/>
              </w:rPr>
              <w:t>月</w:t>
            </w:r>
            <w:r>
              <w:rPr>
                <w:spacing w:val="-23"/>
              </w:rPr>
              <w:t xml:space="preserve"> </w:t>
            </w:r>
            <w:r>
              <w:rPr>
                <w:rFonts w:ascii="Times New Roman" w:hAnsi="Times New Roman" w:eastAsia="Times New Roman" w:cs="Times New Roman"/>
                <w:spacing w:val="-4"/>
              </w:rPr>
              <w:t>11</w:t>
            </w:r>
            <w:r>
              <w:rPr>
                <w:rFonts w:ascii="Times New Roman" w:hAnsi="Times New Roman" w:eastAsia="Times New Roman" w:cs="Times New Roman"/>
              </w:rPr>
              <w:t xml:space="preserve"> </w:t>
            </w:r>
            <w:r>
              <w:t>日</w:t>
            </w:r>
          </w:p>
        </w:tc>
        <w:tc>
          <w:tcPr>
            <w:tcW w:w="1547" w:type="dxa"/>
            <w:vAlign w:val="top"/>
          </w:tcPr>
          <w:p w14:paraId="04D7F00E">
            <w:pPr>
              <w:spacing w:before="38" w:line="275"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02:00-03:00</w:t>
            </w:r>
          </w:p>
        </w:tc>
        <w:tc>
          <w:tcPr>
            <w:tcW w:w="651" w:type="dxa"/>
            <w:vAlign w:val="top"/>
          </w:tcPr>
          <w:p w14:paraId="62DFE950">
            <w:pPr>
              <w:pStyle w:val="6"/>
              <w:spacing w:before="69" w:line="229" w:lineRule="auto"/>
              <w:ind w:left="234"/>
            </w:pPr>
            <w:r>
              <w:t>晴</w:t>
            </w:r>
          </w:p>
        </w:tc>
        <w:tc>
          <w:tcPr>
            <w:tcW w:w="650" w:type="dxa"/>
            <w:vAlign w:val="top"/>
          </w:tcPr>
          <w:p w14:paraId="5466F0CA">
            <w:pPr>
              <w:pStyle w:val="6"/>
              <w:spacing w:before="70" w:line="228" w:lineRule="auto"/>
              <w:ind w:left="234"/>
            </w:pPr>
            <w:r>
              <w:t>东</w:t>
            </w:r>
          </w:p>
        </w:tc>
        <w:tc>
          <w:tcPr>
            <w:tcW w:w="651" w:type="dxa"/>
            <w:vAlign w:val="top"/>
          </w:tcPr>
          <w:p w14:paraId="65173C47">
            <w:pPr>
              <w:spacing w:before="38" w:line="275"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263EC346">
            <w:pPr>
              <w:spacing w:before="108"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7302519A">
            <w:pPr>
              <w:spacing w:before="38" w:line="275"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3BF18879">
            <w:pPr>
              <w:spacing w:before="38" w:line="275"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25.7</w:t>
            </w:r>
          </w:p>
        </w:tc>
        <w:tc>
          <w:tcPr>
            <w:tcW w:w="656" w:type="dxa"/>
            <w:vAlign w:val="top"/>
          </w:tcPr>
          <w:p w14:paraId="2E404F78">
            <w:pPr>
              <w:spacing w:before="38" w:line="275"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100.9</w:t>
            </w:r>
          </w:p>
        </w:tc>
      </w:tr>
      <w:tr w14:paraId="11E3C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30F94DDA">
            <w:pPr>
              <w:rPr>
                <w:rFonts w:ascii="Arial"/>
                <w:sz w:val="21"/>
              </w:rPr>
            </w:pPr>
          </w:p>
        </w:tc>
        <w:tc>
          <w:tcPr>
            <w:tcW w:w="1667" w:type="dxa"/>
            <w:vMerge w:val="continue"/>
            <w:tcBorders>
              <w:top w:val="nil"/>
              <w:bottom w:val="nil"/>
            </w:tcBorders>
            <w:vAlign w:val="top"/>
          </w:tcPr>
          <w:p w14:paraId="76873195">
            <w:pPr>
              <w:rPr>
                <w:rFonts w:ascii="Arial"/>
                <w:sz w:val="21"/>
              </w:rPr>
            </w:pPr>
          </w:p>
        </w:tc>
        <w:tc>
          <w:tcPr>
            <w:tcW w:w="1547" w:type="dxa"/>
            <w:vAlign w:val="top"/>
          </w:tcPr>
          <w:p w14:paraId="238806EF">
            <w:pPr>
              <w:spacing w:before="39"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08:00-09:00</w:t>
            </w:r>
          </w:p>
        </w:tc>
        <w:tc>
          <w:tcPr>
            <w:tcW w:w="651" w:type="dxa"/>
            <w:vAlign w:val="top"/>
          </w:tcPr>
          <w:p w14:paraId="23EDC4A1">
            <w:pPr>
              <w:pStyle w:val="6"/>
              <w:spacing w:before="67" w:line="229" w:lineRule="auto"/>
              <w:ind w:left="234"/>
            </w:pPr>
            <w:r>
              <w:t>晴</w:t>
            </w:r>
          </w:p>
        </w:tc>
        <w:tc>
          <w:tcPr>
            <w:tcW w:w="650" w:type="dxa"/>
            <w:vAlign w:val="top"/>
          </w:tcPr>
          <w:p w14:paraId="41DE15EB">
            <w:pPr>
              <w:pStyle w:val="6"/>
              <w:spacing w:before="68" w:line="228" w:lineRule="auto"/>
              <w:ind w:left="234"/>
            </w:pPr>
            <w:r>
              <w:t>东</w:t>
            </w:r>
          </w:p>
        </w:tc>
        <w:tc>
          <w:tcPr>
            <w:tcW w:w="651" w:type="dxa"/>
            <w:vAlign w:val="top"/>
          </w:tcPr>
          <w:p w14:paraId="67F5E134">
            <w:pPr>
              <w:spacing w:before="39"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0A9B2A37">
            <w:pPr>
              <w:spacing w:before="39"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4A3FEC88">
            <w:pPr>
              <w:spacing w:before="39"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3E151348">
            <w:pPr>
              <w:spacing w:before="3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26.2</w:t>
            </w:r>
          </w:p>
        </w:tc>
        <w:tc>
          <w:tcPr>
            <w:tcW w:w="656" w:type="dxa"/>
            <w:vAlign w:val="top"/>
          </w:tcPr>
          <w:p w14:paraId="3A8B3C26">
            <w:pPr>
              <w:spacing w:before="39"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100.7</w:t>
            </w:r>
          </w:p>
        </w:tc>
      </w:tr>
      <w:tr w14:paraId="2A04C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43D1A723">
            <w:pPr>
              <w:rPr>
                <w:rFonts w:ascii="Arial"/>
                <w:sz w:val="21"/>
              </w:rPr>
            </w:pPr>
          </w:p>
        </w:tc>
        <w:tc>
          <w:tcPr>
            <w:tcW w:w="1667" w:type="dxa"/>
            <w:vMerge w:val="continue"/>
            <w:tcBorders>
              <w:top w:val="nil"/>
              <w:bottom w:val="nil"/>
            </w:tcBorders>
            <w:vAlign w:val="top"/>
          </w:tcPr>
          <w:p w14:paraId="4D639A20">
            <w:pPr>
              <w:rPr>
                <w:rFonts w:ascii="Arial"/>
                <w:sz w:val="21"/>
              </w:rPr>
            </w:pPr>
          </w:p>
        </w:tc>
        <w:tc>
          <w:tcPr>
            <w:tcW w:w="1547" w:type="dxa"/>
            <w:vAlign w:val="top"/>
          </w:tcPr>
          <w:p w14:paraId="72A0DBA7">
            <w:pPr>
              <w:spacing w:before="39"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14:00-15:00</w:t>
            </w:r>
          </w:p>
        </w:tc>
        <w:tc>
          <w:tcPr>
            <w:tcW w:w="651" w:type="dxa"/>
            <w:vAlign w:val="top"/>
          </w:tcPr>
          <w:p w14:paraId="3C71AD08">
            <w:pPr>
              <w:pStyle w:val="6"/>
              <w:spacing w:before="68" w:line="229" w:lineRule="auto"/>
              <w:ind w:left="234"/>
            </w:pPr>
            <w:r>
              <w:t>晴</w:t>
            </w:r>
          </w:p>
        </w:tc>
        <w:tc>
          <w:tcPr>
            <w:tcW w:w="650" w:type="dxa"/>
            <w:vAlign w:val="top"/>
          </w:tcPr>
          <w:p w14:paraId="7FACE2CC">
            <w:pPr>
              <w:pStyle w:val="6"/>
              <w:spacing w:before="68" w:line="228" w:lineRule="auto"/>
              <w:ind w:left="128"/>
            </w:pPr>
            <w:r>
              <w:rPr>
                <w:spacing w:val="1"/>
              </w:rPr>
              <w:t>东南</w:t>
            </w:r>
          </w:p>
        </w:tc>
        <w:tc>
          <w:tcPr>
            <w:tcW w:w="651" w:type="dxa"/>
            <w:vAlign w:val="top"/>
          </w:tcPr>
          <w:p w14:paraId="05FF2942">
            <w:pPr>
              <w:spacing w:before="39"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720ACA92">
            <w:pPr>
              <w:spacing w:before="109"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64F5EE09">
            <w:pPr>
              <w:spacing w:before="39" w:line="274"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1" w:type="dxa"/>
            <w:vAlign w:val="top"/>
          </w:tcPr>
          <w:p w14:paraId="588EE081">
            <w:pPr>
              <w:spacing w:before="3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28.5</w:t>
            </w:r>
          </w:p>
        </w:tc>
        <w:tc>
          <w:tcPr>
            <w:tcW w:w="656" w:type="dxa"/>
            <w:vAlign w:val="top"/>
          </w:tcPr>
          <w:p w14:paraId="091A8692">
            <w:pPr>
              <w:spacing w:before="39"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100.5</w:t>
            </w:r>
          </w:p>
        </w:tc>
      </w:tr>
      <w:tr w14:paraId="21795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55C9BBC7">
            <w:pPr>
              <w:rPr>
                <w:rFonts w:ascii="Arial"/>
                <w:sz w:val="21"/>
              </w:rPr>
            </w:pPr>
          </w:p>
        </w:tc>
        <w:tc>
          <w:tcPr>
            <w:tcW w:w="1667" w:type="dxa"/>
            <w:vMerge w:val="continue"/>
            <w:tcBorders>
              <w:top w:val="nil"/>
            </w:tcBorders>
            <w:vAlign w:val="top"/>
          </w:tcPr>
          <w:p w14:paraId="6D6165D4">
            <w:pPr>
              <w:rPr>
                <w:rFonts w:ascii="Arial"/>
                <w:sz w:val="21"/>
              </w:rPr>
            </w:pPr>
          </w:p>
        </w:tc>
        <w:tc>
          <w:tcPr>
            <w:tcW w:w="1547" w:type="dxa"/>
            <w:vAlign w:val="top"/>
          </w:tcPr>
          <w:p w14:paraId="7FD4FA39">
            <w:pPr>
              <w:spacing w:before="37" w:line="274" w:lineRule="exact"/>
              <w:ind w:left="2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20:00-21:00</w:t>
            </w:r>
          </w:p>
        </w:tc>
        <w:tc>
          <w:tcPr>
            <w:tcW w:w="651" w:type="dxa"/>
            <w:vAlign w:val="top"/>
          </w:tcPr>
          <w:p w14:paraId="26B1466A">
            <w:pPr>
              <w:pStyle w:val="6"/>
              <w:spacing w:before="68" w:line="229" w:lineRule="auto"/>
              <w:ind w:left="234"/>
            </w:pPr>
            <w:r>
              <w:t>晴</w:t>
            </w:r>
          </w:p>
        </w:tc>
        <w:tc>
          <w:tcPr>
            <w:tcW w:w="650" w:type="dxa"/>
            <w:vAlign w:val="top"/>
          </w:tcPr>
          <w:p w14:paraId="795FD7DD">
            <w:pPr>
              <w:pStyle w:val="6"/>
              <w:spacing w:before="68" w:line="228" w:lineRule="auto"/>
              <w:ind w:left="234"/>
            </w:pPr>
            <w:r>
              <w:t>东</w:t>
            </w:r>
          </w:p>
        </w:tc>
        <w:tc>
          <w:tcPr>
            <w:tcW w:w="651" w:type="dxa"/>
            <w:vAlign w:val="top"/>
          </w:tcPr>
          <w:p w14:paraId="51A22DFF">
            <w:pPr>
              <w:spacing w:before="37"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1.6</w:t>
            </w:r>
          </w:p>
        </w:tc>
        <w:tc>
          <w:tcPr>
            <w:tcW w:w="650" w:type="dxa"/>
            <w:vAlign w:val="top"/>
          </w:tcPr>
          <w:p w14:paraId="693C9AE8">
            <w:pPr>
              <w:spacing w:before="107"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292B085B">
            <w:pPr>
              <w:spacing w:before="37"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0C2E9C24">
            <w:pPr>
              <w:spacing w:before="37"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27.4</w:t>
            </w:r>
          </w:p>
        </w:tc>
        <w:tc>
          <w:tcPr>
            <w:tcW w:w="656" w:type="dxa"/>
            <w:vAlign w:val="top"/>
          </w:tcPr>
          <w:p w14:paraId="1B5F91A0">
            <w:pPr>
              <w:spacing w:before="37"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100.7</w:t>
            </w:r>
          </w:p>
        </w:tc>
      </w:tr>
      <w:tr w14:paraId="01413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650C4543">
            <w:pPr>
              <w:rPr>
                <w:rFonts w:ascii="Arial"/>
                <w:sz w:val="21"/>
              </w:rPr>
            </w:pPr>
          </w:p>
        </w:tc>
        <w:tc>
          <w:tcPr>
            <w:tcW w:w="1667" w:type="dxa"/>
            <w:vMerge w:val="restart"/>
            <w:tcBorders>
              <w:bottom w:val="nil"/>
            </w:tcBorders>
            <w:vAlign w:val="top"/>
          </w:tcPr>
          <w:p w14:paraId="4D7176A3">
            <w:pPr>
              <w:pStyle w:val="6"/>
              <w:spacing w:before="49" w:line="294" w:lineRule="auto"/>
              <w:ind w:left="766" w:right="101" w:hanging="663"/>
            </w:pPr>
            <w:r>
              <w:rPr>
                <w:rFonts w:ascii="Times New Roman" w:hAnsi="Times New Roman" w:eastAsia="Times New Roman" w:cs="Times New Roman"/>
                <w:spacing w:val="-3"/>
              </w:rPr>
              <w:t>2020</w:t>
            </w:r>
            <w:r>
              <w:rPr>
                <w:rFonts w:ascii="Times New Roman" w:hAnsi="Times New Roman" w:eastAsia="Times New Roman" w:cs="Times New Roman"/>
                <w:spacing w:val="16"/>
              </w:rPr>
              <w:t xml:space="preserve"> </w:t>
            </w:r>
            <w:r>
              <w:rPr>
                <w:spacing w:val="-3"/>
              </w:rPr>
              <w:t>年</w:t>
            </w:r>
            <w:r>
              <w:rPr>
                <w:spacing w:val="-23"/>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12"/>
                <w:w w:val="101"/>
              </w:rPr>
              <w:t xml:space="preserve"> </w:t>
            </w:r>
            <w:r>
              <w:rPr>
                <w:spacing w:val="-3"/>
              </w:rPr>
              <w:t>月</w:t>
            </w:r>
            <w:r>
              <w:rPr>
                <w:spacing w:val="-21"/>
              </w:rPr>
              <w:t xml:space="preserve"> </w:t>
            </w:r>
            <w:r>
              <w:rPr>
                <w:rFonts w:ascii="Times New Roman" w:hAnsi="Times New Roman" w:eastAsia="Times New Roman" w:cs="Times New Roman"/>
                <w:spacing w:val="-3"/>
              </w:rPr>
              <w:t>12</w:t>
            </w:r>
            <w:r>
              <w:rPr>
                <w:rFonts w:ascii="Times New Roman" w:hAnsi="Times New Roman" w:eastAsia="Times New Roman" w:cs="Times New Roman"/>
              </w:rPr>
              <w:t xml:space="preserve"> </w:t>
            </w:r>
            <w:r>
              <w:t>日</w:t>
            </w:r>
          </w:p>
        </w:tc>
        <w:tc>
          <w:tcPr>
            <w:tcW w:w="1547" w:type="dxa"/>
            <w:vAlign w:val="top"/>
          </w:tcPr>
          <w:p w14:paraId="12B5EAC1">
            <w:pPr>
              <w:spacing w:before="38"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02:00-03:00</w:t>
            </w:r>
          </w:p>
        </w:tc>
        <w:tc>
          <w:tcPr>
            <w:tcW w:w="651" w:type="dxa"/>
            <w:vAlign w:val="top"/>
          </w:tcPr>
          <w:p w14:paraId="1AC91E38">
            <w:pPr>
              <w:pStyle w:val="6"/>
              <w:spacing w:before="68" w:line="229" w:lineRule="auto"/>
              <w:ind w:left="234"/>
            </w:pPr>
            <w:r>
              <w:t>晴</w:t>
            </w:r>
          </w:p>
        </w:tc>
        <w:tc>
          <w:tcPr>
            <w:tcW w:w="650" w:type="dxa"/>
            <w:vAlign w:val="top"/>
          </w:tcPr>
          <w:p w14:paraId="7CA7C568">
            <w:pPr>
              <w:pStyle w:val="6"/>
              <w:spacing w:before="69" w:line="228" w:lineRule="auto"/>
              <w:ind w:left="128"/>
            </w:pPr>
            <w:r>
              <w:rPr>
                <w:spacing w:val="1"/>
              </w:rPr>
              <w:t>东南</w:t>
            </w:r>
          </w:p>
        </w:tc>
        <w:tc>
          <w:tcPr>
            <w:tcW w:w="651" w:type="dxa"/>
            <w:vAlign w:val="top"/>
          </w:tcPr>
          <w:p w14:paraId="166D0E3A">
            <w:pPr>
              <w:spacing w:before="38"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6EF9B0EE">
            <w:pPr>
              <w:spacing w:before="107"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1086A13C">
            <w:pPr>
              <w:spacing w:before="38"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199AF96D">
            <w:pPr>
              <w:spacing w:before="38"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25.9</w:t>
            </w:r>
          </w:p>
        </w:tc>
        <w:tc>
          <w:tcPr>
            <w:tcW w:w="656" w:type="dxa"/>
            <w:vAlign w:val="top"/>
          </w:tcPr>
          <w:p w14:paraId="29290A6A">
            <w:pPr>
              <w:spacing w:before="38"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101.0</w:t>
            </w:r>
          </w:p>
        </w:tc>
      </w:tr>
      <w:tr w14:paraId="0E458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074" w:type="dxa"/>
            <w:vMerge w:val="continue"/>
            <w:tcBorders>
              <w:top w:val="nil"/>
            </w:tcBorders>
            <w:vAlign w:val="top"/>
          </w:tcPr>
          <w:p w14:paraId="72A7BBB1">
            <w:pPr>
              <w:rPr>
                <w:rFonts w:ascii="Arial"/>
                <w:sz w:val="21"/>
              </w:rPr>
            </w:pPr>
          </w:p>
        </w:tc>
        <w:tc>
          <w:tcPr>
            <w:tcW w:w="1667" w:type="dxa"/>
            <w:vMerge w:val="continue"/>
            <w:tcBorders>
              <w:top w:val="nil"/>
            </w:tcBorders>
            <w:vAlign w:val="top"/>
          </w:tcPr>
          <w:p w14:paraId="2AF3ABDC">
            <w:pPr>
              <w:rPr>
                <w:rFonts w:ascii="Arial"/>
                <w:sz w:val="21"/>
              </w:rPr>
            </w:pPr>
          </w:p>
        </w:tc>
        <w:tc>
          <w:tcPr>
            <w:tcW w:w="1547" w:type="dxa"/>
            <w:vAlign w:val="top"/>
          </w:tcPr>
          <w:p w14:paraId="1B5B43CA">
            <w:pPr>
              <w:spacing w:before="38"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08:00-09:00</w:t>
            </w:r>
          </w:p>
        </w:tc>
        <w:tc>
          <w:tcPr>
            <w:tcW w:w="651" w:type="dxa"/>
            <w:vAlign w:val="top"/>
          </w:tcPr>
          <w:p w14:paraId="454C6BF3">
            <w:pPr>
              <w:pStyle w:val="6"/>
              <w:spacing w:before="69" w:line="229" w:lineRule="auto"/>
              <w:ind w:left="234"/>
            </w:pPr>
            <w:r>
              <w:t>晴</w:t>
            </w:r>
          </w:p>
        </w:tc>
        <w:tc>
          <w:tcPr>
            <w:tcW w:w="650" w:type="dxa"/>
            <w:vAlign w:val="top"/>
          </w:tcPr>
          <w:p w14:paraId="79324541">
            <w:pPr>
              <w:pStyle w:val="6"/>
              <w:spacing w:before="69" w:line="228" w:lineRule="auto"/>
              <w:ind w:left="128"/>
            </w:pPr>
            <w:r>
              <w:rPr>
                <w:spacing w:val="1"/>
              </w:rPr>
              <w:t>东南</w:t>
            </w:r>
          </w:p>
        </w:tc>
        <w:tc>
          <w:tcPr>
            <w:tcW w:w="651" w:type="dxa"/>
            <w:vAlign w:val="top"/>
          </w:tcPr>
          <w:p w14:paraId="7CE390A0">
            <w:pPr>
              <w:spacing w:before="38"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2CDF02F9">
            <w:pPr>
              <w:spacing w:before="38"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220D4FFD">
            <w:pPr>
              <w:spacing w:before="38"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75666523">
            <w:pPr>
              <w:spacing w:before="38"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26.4</w:t>
            </w:r>
          </w:p>
        </w:tc>
        <w:tc>
          <w:tcPr>
            <w:tcW w:w="656" w:type="dxa"/>
            <w:vAlign w:val="top"/>
          </w:tcPr>
          <w:p w14:paraId="709DE7BC">
            <w:pPr>
              <w:spacing w:before="38"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100.8</w:t>
            </w:r>
          </w:p>
        </w:tc>
      </w:tr>
    </w:tbl>
    <w:p w14:paraId="0D4CBB7D">
      <w:pPr>
        <w:pStyle w:val="2"/>
        <w:spacing w:line="17" w:lineRule="exact"/>
        <w:rPr>
          <w:sz w:val="2"/>
        </w:rPr>
      </w:pPr>
    </w:p>
    <w:p w14:paraId="5AAF9309">
      <w:pPr>
        <w:spacing w:line="17" w:lineRule="exact"/>
        <w:rPr>
          <w:sz w:val="2"/>
          <w:szCs w:val="2"/>
        </w:rPr>
        <w:sectPr>
          <w:headerReference r:id="rId99" w:type="default"/>
          <w:footerReference r:id="rId100" w:type="default"/>
          <w:pgSz w:w="11906" w:h="16839"/>
          <w:pgMar w:top="400" w:right="1475" w:bottom="1485" w:left="1475" w:header="0" w:footer="1249" w:gutter="0"/>
          <w:cols w:space="720" w:num="1"/>
        </w:sectPr>
      </w:pPr>
    </w:p>
    <w:p w14:paraId="7F5A2855">
      <w:pPr>
        <w:spacing w:before="13"/>
      </w:pPr>
    </w:p>
    <w:p w14:paraId="6767CC57">
      <w:pPr>
        <w:spacing w:before="13"/>
      </w:pPr>
    </w:p>
    <w:p w14:paraId="4C4871E4">
      <w:pPr>
        <w:spacing w:before="13"/>
      </w:pPr>
    </w:p>
    <w:p w14:paraId="375FC694">
      <w:pPr>
        <w:spacing w:before="13"/>
      </w:pPr>
    </w:p>
    <w:tbl>
      <w:tblPr>
        <w:tblStyle w:val="5"/>
        <w:tblW w:w="8848" w:type="dxa"/>
        <w:tblInd w:w="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4"/>
        <w:gridCol w:w="1667"/>
        <w:gridCol w:w="1547"/>
        <w:gridCol w:w="651"/>
        <w:gridCol w:w="650"/>
        <w:gridCol w:w="651"/>
        <w:gridCol w:w="650"/>
        <w:gridCol w:w="651"/>
        <w:gridCol w:w="651"/>
        <w:gridCol w:w="656"/>
      </w:tblGrid>
      <w:tr w14:paraId="3FB19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074" w:type="dxa"/>
            <w:vMerge w:val="restart"/>
            <w:tcBorders>
              <w:bottom w:val="nil"/>
            </w:tcBorders>
            <w:vAlign w:val="top"/>
          </w:tcPr>
          <w:p w14:paraId="2C1F2FDD">
            <w:pPr>
              <w:rPr>
                <w:rFonts w:ascii="Arial"/>
                <w:sz w:val="21"/>
              </w:rPr>
            </w:pPr>
          </w:p>
        </w:tc>
        <w:tc>
          <w:tcPr>
            <w:tcW w:w="1667" w:type="dxa"/>
            <w:vMerge w:val="restart"/>
            <w:tcBorders>
              <w:bottom w:val="nil"/>
            </w:tcBorders>
            <w:vAlign w:val="top"/>
          </w:tcPr>
          <w:p w14:paraId="1C0BF2DA">
            <w:pPr>
              <w:rPr>
                <w:rFonts w:ascii="Arial"/>
                <w:sz w:val="21"/>
              </w:rPr>
            </w:pPr>
          </w:p>
        </w:tc>
        <w:tc>
          <w:tcPr>
            <w:tcW w:w="1547" w:type="dxa"/>
            <w:vAlign w:val="top"/>
          </w:tcPr>
          <w:p w14:paraId="4F38C326">
            <w:pPr>
              <w:spacing w:before="40"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14:00-15:00</w:t>
            </w:r>
          </w:p>
        </w:tc>
        <w:tc>
          <w:tcPr>
            <w:tcW w:w="651" w:type="dxa"/>
            <w:vAlign w:val="top"/>
          </w:tcPr>
          <w:p w14:paraId="524F813E">
            <w:pPr>
              <w:pStyle w:val="6"/>
              <w:spacing w:before="69" w:line="229" w:lineRule="auto"/>
              <w:ind w:left="234"/>
            </w:pPr>
            <w:r>
              <w:t>晴</w:t>
            </w:r>
          </w:p>
        </w:tc>
        <w:tc>
          <w:tcPr>
            <w:tcW w:w="650" w:type="dxa"/>
            <w:vAlign w:val="top"/>
          </w:tcPr>
          <w:p w14:paraId="04B1D44E">
            <w:pPr>
              <w:pStyle w:val="6"/>
              <w:spacing w:before="69" w:line="228" w:lineRule="auto"/>
              <w:ind w:left="128"/>
            </w:pPr>
            <w:r>
              <w:rPr>
                <w:spacing w:val="1"/>
              </w:rPr>
              <w:t>东南</w:t>
            </w:r>
          </w:p>
        </w:tc>
        <w:tc>
          <w:tcPr>
            <w:tcW w:w="651" w:type="dxa"/>
            <w:vAlign w:val="top"/>
          </w:tcPr>
          <w:p w14:paraId="5D7FC5C7">
            <w:pPr>
              <w:spacing w:before="40"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1.3</w:t>
            </w:r>
          </w:p>
        </w:tc>
        <w:tc>
          <w:tcPr>
            <w:tcW w:w="650" w:type="dxa"/>
            <w:vAlign w:val="top"/>
          </w:tcPr>
          <w:p w14:paraId="5C6B6F8B">
            <w:pPr>
              <w:spacing w:before="40" w:line="274" w:lineRule="exact"/>
              <w:ind w:left="27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1" w:type="dxa"/>
            <w:vAlign w:val="top"/>
          </w:tcPr>
          <w:p w14:paraId="58DA8EC2">
            <w:pPr>
              <w:spacing w:before="40"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3D62D3E8">
            <w:pPr>
              <w:spacing w:before="40"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28.5</w:t>
            </w:r>
          </w:p>
        </w:tc>
        <w:tc>
          <w:tcPr>
            <w:tcW w:w="656" w:type="dxa"/>
            <w:vAlign w:val="top"/>
          </w:tcPr>
          <w:p w14:paraId="513E4763">
            <w:pPr>
              <w:spacing w:before="40"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100.6</w:t>
            </w:r>
          </w:p>
        </w:tc>
      </w:tr>
      <w:tr w14:paraId="37BC1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74" w:type="dxa"/>
            <w:vMerge w:val="continue"/>
            <w:tcBorders>
              <w:top w:val="nil"/>
              <w:bottom w:val="nil"/>
            </w:tcBorders>
            <w:vAlign w:val="top"/>
          </w:tcPr>
          <w:p w14:paraId="7E4C41A1">
            <w:pPr>
              <w:rPr>
                <w:rFonts w:ascii="Arial"/>
                <w:sz w:val="21"/>
              </w:rPr>
            </w:pPr>
          </w:p>
        </w:tc>
        <w:tc>
          <w:tcPr>
            <w:tcW w:w="1667" w:type="dxa"/>
            <w:vMerge w:val="continue"/>
            <w:tcBorders>
              <w:top w:val="nil"/>
            </w:tcBorders>
            <w:vAlign w:val="top"/>
          </w:tcPr>
          <w:p w14:paraId="5C0EB55B">
            <w:pPr>
              <w:rPr>
                <w:rFonts w:ascii="Arial"/>
                <w:sz w:val="21"/>
              </w:rPr>
            </w:pPr>
          </w:p>
        </w:tc>
        <w:tc>
          <w:tcPr>
            <w:tcW w:w="1547" w:type="dxa"/>
            <w:vAlign w:val="top"/>
          </w:tcPr>
          <w:p w14:paraId="0EF0FD2C">
            <w:pPr>
              <w:spacing w:before="34" w:line="274" w:lineRule="exact"/>
              <w:ind w:left="2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20:00-21:00</w:t>
            </w:r>
          </w:p>
        </w:tc>
        <w:tc>
          <w:tcPr>
            <w:tcW w:w="651" w:type="dxa"/>
            <w:vAlign w:val="top"/>
          </w:tcPr>
          <w:p w14:paraId="534110CD">
            <w:pPr>
              <w:pStyle w:val="6"/>
              <w:spacing w:before="65" w:line="229" w:lineRule="auto"/>
              <w:ind w:left="234"/>
            </w:pPr>
            <w:r>
              <w:t>晴</w:t>
            </w:r>
          </w:p>
        </w:tc>
        <w:tc>
          <w:tcPr>
            <w:tcW w:w="650" w:type="dxa"/>
            <w:vAlign w:val="top"/>
          </w:tcPr>
          <w:p w14:paraId="5D51DAC3">
            <w:pPr>
              <w:pStyle w:val="6"/>
              <w:spacing w:before="65" w:line="228" w:lineRule="auto"/>
              <w:ind w:left="234"/>
            </w:pPr>
            <w:r>
              <w:t>东</w:t>
            </w:r>
          </w:p>
        </w:tc>
        <w:tc>
          <w:tcPr>
            <w:tcW w:w="651" w:type="dxa"/>
            <w:vAlign w:val="top"/>
          </w:tcPr>
          <w:p w14:paraId="08C1B069">
            <w:pPr>
              <w:spacing w:before="34"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461C0A30">
            <w:pPr>
              <w:spacing w:before="34" w:line="274" w:lineRule="exact"/>
              <w:ind w:left="27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1" w:type="dxa"/>
            <w:vAlign w:val="top"/>
          </w:tcPr>
          <w:p w14:paraId="1D1E0306">
            <w:pPr>
              <w:spacing w:before="34" w:line="274"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1" w:type="dxa"/>
            <w:vAlign w:val="top"/>
          </w:tcPr>
          <w:p w14:paraId="70CC2288">
            <w:pPr>
              <w:spacing w:before="34"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27.1</w:t>
            </w:r>
          </w:p>
        </w:tc>
        <w:tc>
          <w:tcPr>
            <w:tcW w:w="656" w:type="dxa"/>
            <w:vAlign w:val="top"/>
          </w:tcPr>
          <w:p w14:paraId="209E1E62">
            <w:pPr>
              <w:spacing w:before="34"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100.8</w:t>
            </w:r>
          </w:p>
        </w:tc>
      </w:tr>
      <w:tr w14:paraId="0BD3A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74" w:type="dxa"/>
            <w:vMerge w:val="continue"/>
            <w:tcBorders>
              <w:top w:val="nil"/>
              <w:bottom w:val="nil"/>
            </w:tcBorders>
            <w:vAlign w:val="top"/>
          </w:tcPr>
          <w:p w14:paraId="6F893FC1">
            <w:pPr>
              <w:rPr>
                <w:rFonts w:ascii="Arial"/>
                <w:sz w:val="21"/>
              </w:rPr>
            </w:pPr>
          </w:p>
        </w:tc>
        <w:tc>
          <w:tcPr>
            <w:tcW w:w="1667" w:type="dxa"/>
            <w:vMerge w:val="restart"/>
            <w:tcBorders>
              <w:bottom w:val="nil"/>
            </w:tcBorders>
            <w:vAlign w:val="top"/>
          </w:tcPr>
          <w:p w14:paraId="3A50EE20">
            <w:pPr>
              <w:spacing w:line="332" w:lineRule="auto"/>
              <w:rPr>
                <w:rFonts w:ascii="Arial"/>
                <w:sz w:val="21"/>
              </w:rPr>
            </w:pPr>
          </w:p>
          <w:p w14:paraId="1C4FCFD1">
            <w:pPr>
              <w:pStyle w:val="6"/>
              <w:spacing w:before="65" w:line="303" w:lineRule="auto"/>
              <w:ind w:left="766" w:right="101" w:hanging="663"/>
            </w:pPr>
            <w:r>
              <w:rPr>
                <w:rFonts w:ascii="Times New Roman" w:hAnsi="Times New Roman" w:eastAsia="Times New Roman" w:cs="Times New Roman"/>
                <w:spacing w:val="-3"/>
              </w:rPr>
              <w:t>2020</w:t>
            </w:r>
            <w:r>
              <w:rPr>
                <w:rFonts w:ascii="Times New Roman" w:hAnsi="Times New Roman" w:eastAsia="Times New Roman" w:cs="Times New Roman"/>
                <w:spacing w:val="16"/>
              </w:rPr>
              <w:t xml:space="preserve"> </w:t>
            </w:r>
            <w:r>
              <w:rPr>
                <w:spacing w:val="-3"/>
              </w:rPr>
              <w:t>年</w:t>
            </w:r>
            <w:r>
              <w:rPr>
                <w:spacing w:val="-23"/>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12"/>
                <w:w w:val="101"/>
              </w:rPr>
              <w:t xml:space="preserve"> </w:t>
            </w:r>
            <w:r>
              <w:rPr>
                <w:spacing w:val="-3"/>
              </w:rPr>
              <w:t>月</w:t>
            </w:r>
            <w:r>
              <w:rPr>
                <w:spacing w:val="-21"/>
              </w:rPr>
              <w:t xml:space="preserve"> </w:t>
            </w:r>
            <w:r>
              <w:rPr>
                <w:rFonts w:ascii="Times New Roman" w:hAnsi="Times New Roman" w:eastAsia="Times New Roman" w:cs="Times New Roman"/>
                <w:spacing w:val="-3"/>
              </w:rPr>
              <w:t>13</w:t>
            </w:r>
            <w:r>
              <w:rPr>
                <w:rFonts w:ascii="Times New Roman" w:hAnsi="Times New Roman" w:eastAsia="Times New Roman" w:cs="Times New Roman"/>
              </w:rPr>
              <w:t xml:space="preserve"> </w:t>
            </w:r>
            <w:r>
              <w:t>日</w:t>
            </w:r>
          </w:p>
        </w:tc>
        <w:tc>
          <w:tcPr>
            <w:tcW w:w="1547" w:type="dxa"/>
            <w:vAlign w:val="top"/>
          </w:tcPr>
          <w:p w14:paraId="2B98E046">
            <w:pPr>
              <w:spacing w:before="35" w:line="275"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02:00-03:00</w:t>
            </w:r>
          </w:p>
        </w:tc>
        <w:tc>
          <w:tcPr>
            <w:tcW w:w="651" w:type="dxa"/>
            <w:vAlign w:val="top"/>
          </w:tcPr>
          <w:p w14:paraId="521A8068">
            <w:pPr>
              <w:pStyle w:val="6"/>
              <w:spacing w:before="66" w:line="229" w:lineRule="auto"/>
              <w:ind w:left="234"/>
            </w:pPr>
            <w:r>
              <w:t>晴</w:t>
            </w:r>
          </w:p>
        </w:tc>
        <w:tc>
          <w:tcPr>
            <w:tcW w:w="650" w:type="dxa"/>
            <w:vAlign w:val="top"/>
          </w:tcPr>
          <w:p w14:paraId="2B3E92DD">
            <w:pPr>
              <w:pStyle w:val="6"/>
              <w:spacing w:before="67" w:line="228" w:lineRule="auto"/>
              <w:ind w:left="234"/>
            </w:pPr>
            <w:r>
              <w:t>东</w:t>
            </w:r>
          </w:p>
        </w:tc>
        <w:tc>
          <w:tcPr>
            <w:tcW w:w="651" w:type="dxa"/>
            <w:vAlign w:val="top"/>
          </w:tcPr>
          <w:p w14:paraId="10D53449">
            <w:pPr>
              <w:spacing w:before="35" w:line="275"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6C07FC2A">
            <w:pPr>
              <w:spacing w:before="105"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63095275">
            <w:pPr>
              <w:spacing w:before="35" w:line="275"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2E88DE7F">
            <w:pPr>
              <w:spacing w:before="35" w:line="275"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25.1</w:t>
            </w:r>
          </w:p>
        </w:tc>
        <w:tc>
          <w:tcPr>
            <w:tcW w:w="656" w:type="dxa"/>
            <w:vAlign w:val="top"/>
          </w:tcPr>
          <w:p w14:paraId="6424A5CA">
            <w:pPr>
              <w:spacing w:before="35" w:line="275"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101.1</w:t>
            </w:r>
          </w:p>
        </w:tc>
      </w:tr>
      <w:tr w14:paraId="4B618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74" w:type="dxa"/>
            <w:vMerge w:val="continue"/>
            <w:tcBorders>
              <w:top w:val="nil"/>
              <w:bottom w:val="nil"/>
            </w:tcBorders>
            <w:vAlign w:val="top"/>
          </w:tcPr>
          <w:p w14:paraId="04A158A5">
            <w:pPr>
              <w:rPr>
                <w:rFonts w:ascii="Arial"/>
                <w:sz w:val="21"/>
              </w:rPr>
            </w:pPr>
          </w:p>
        </w:tc>
        <w:tc>
          <w:tcPr>
            <w:tcW w:w="1667" w:type="dxa"/>
            <w:vMerge w:val="continue"/>
            <w:tcBorders>
              <w:top w:val="nil"/>
              <w:bottom w:val="nil"/>
            </w:tcBorders>
            <w:vAlign w:val="top"/>
          </w:tcPr>
          <w:p w14:paraId="3C3F9B86">
            <w:pPr>
              <w:rPr>
                <w:rFonts w:ascii="Arial"/>
                <w:sz w:val="21"/>
              </w:rPr>
            </w:pPr>
          </w:p>
        </w:tc>
        <w:tc>
          <w:tcPr>
            <w:tcW w:w="1547" w:type="dxa"/>
            <w:vAlign w:val="top"/>
          </w:tcPr>
          <w:p w14:paraId="39D2FD84">
            <w:pPr>
              <w:spacing w:before="37"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08:00-09:00</w:t>
            </w:r>
          </w:p>
        </w:tc>
        <w:tc>
          <w:tcPr>
            <w:tcW w:w="651" w:type="dxa"/>
            <w:vAlign w:val="top"/>
          </w:tcPr>
          <w:p w14:paraId="1B4565BB">
            <w:pPr>
              <w:pStyle w:val="6"/>
              <w:spacing w:before="68" w:line="229" w:lineRule="auto"/>
              <w:ind w:left="234"/>
            </w:pPr>
            <w:r>
              <w:t>晴</w:t>
            </w:r>
          </w:p>
        </w:tc>
        <w:tc>
          <w:tcPr>
            <w:tcW w:w="650" w:type="dxa"/>
            <w:vAlign w:val="top"/>
          </w:tcPr>
          <w:p w14:paraId="77F06F26">
            <w:pPr>
              <w:pStyle w:val="6"/>
              <w:spacing w:before="68" w:line="228" w:lineRule="auto"/>
              <w:ind w:left="128"/>
            </w:pPr>
            <w:r>
              <w:rPr>
                <w:spacing w:val="1"/>
              </w:rPr>
              <w:t>东南</w:t>
            </w:r>
          </w:p>
        </w:tc>
        <w:tc>
          <w:tcPr>
            <w:tcW w:w="651" w:type="dxa"/>
            <w:vAlign w:val="top"/>
          </w:tcPr>
          <w:p w14:paraId="138FDEFA">
            <w:pPr>
              <w:spacing w:before="37"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3011219F">
            <w:pPr>
              <w:spacing w:before="37"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0D4A4BED">
            <w:pPr>
              <w:spacing w:before="37" w:line="274"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1" w:type="dxa"/>
            <w:vAlign w:val="top"/>
          </w:tcPr>
          <w:p w14:paraId="055EAEC5">
            <w:pPr>
              <w:spacing w:before="37"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26.2</w:t>
            </w:r>
          </w:p>
        </w:tc>
        <w:tc>
          <w:tcPr>
            <w:tcW w:w="656" w:type="dxa"/>
            <w:vAlign w:val="top"/>
          </w:tcPr>
          <w:p w14:paraId="03DBA1AC">
            <w:pPr>
              <w:spacing w:before="37"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100.9</w:t>
            </w:r>
          </w:p>
        </w:tc>
      </w:tr>
      <w:tr w14:paraId="7CBFC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74" w:type="dxa"/>
            <w:vMerge w:val="continue"/>
            <w:tcBorders>
              <w:top w:val="nil"/>
              <w:bottom w:val="nil"/>
            </w:tcBorders>
            <w:vAlign w:val="top"/>
          </w:tcPr>
          <w:p w14:paraId="02B2FB8C">
            <w:pPr>
              <w:rPr>
                <w:rFonts w:ascii="Arial"/>
                <w:sz w:val="21"/>
              </w:rPr>
            </w:pPr>
          </w:p>
        </w:tc>
        <w:tc>
          <w:tcPr>
            <w:tcW w:w="1667" w:type="dxa"/>
            <w:vMerge w:val="continue"/>
            <w:tcBorders>
              <w:top w:val="nil"/>
              <w:bottom w:val="nil"/>
            </w:tcBorders>
            <w:vAlign w:val="top"/>
          </w:tcPr>
          <w:p w14:paraId="390745FB">
            <w:pPr>
              <w:rPr>
                <w:rFonts w:ascii="Arial"/>
                <w:sz w:val="21"/>
              </w:rPr>
            </w:pPr>
          </w:p>
        </w:tc>
        <w:tc>
          <w:tcPr>
            <w:tcW w:w="1547" w:type="dxa"/>
            <w:vAlign w:val="top"/>
          </w:tcPr>
          <w:p w14:paraId="710F1A9B">
            <w:pPr>
              <w:spacing w:before="38"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14:00-15:00</w:t>
            </w:r>
          </w:p>
        </w:tc>
        <w:tc>
          <w:tcPr>
            <w:tcW w:w="651" w:type="dxa"/>
            <w:vAlign w:val="top"/>
          </w:tcPr>
          <w:p w14:paraId="79053A88">
            <w:pPr>
              <w:pStyle w:val="6"/>
              <w:spacing w:before="69" w:line="229" w:lineRule="auto"/>
              <w:ind w:left="234"/>
            </w:pPr>
            <w:r>
              <w:t>晴</w:t>
            </w:r>
          </w:p>
        </w:tc>
        <w:tc>
          <w:tcPr>
            <w:tcW w:w="650" w:type="dxa"/>
            <w:vAlign w:val="top"/>
          </w:tcPr>
          <w:p w14:paraId="12E9AA26">
            <w:pPr>
              <w:pStyle w:val="6"/>
              <w:spacing w:before="69" w:line="228" w:lineRule="auto"/>
              <w:ind w:left="234"/>
            </w:pPr>
            <w:r>
              <w:t>东</w:t>
            </w:r>
          </w:p>
        </w:tc>
        <w:tc>
          <w:tcPr>
            <w:tcW w:w="651" w:type="dxa"/>
            <w:vAlign w:val="top"/>
          </w:tcPr>
          <w:p w14:paraId="511ADCC9">
            <w:pPr>
              <w:spacing w:before="38"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50817B38">
            <w:pPr>
              <w:spacing w:before="38"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6E2EB207">
            <w:pPr>
              <w:spacing w:before="38"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6B290C44">
            <w:pPr>
              <w:spacing w:before="38"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27.9</w:t>
            </w:r>
          </w:p>
        </w:tc>
        <w:tc>
          <w:tcPr>
            <w:tcW w:w="656" w:type="dxa"/>
            <w:vAlign w:val="top"/>
          </w:tcPr>
          <w:p w14:paraId="783B703D">
            <w:pPr>
              <w:spacing w:before="38"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100.7</w:t>
            </w:r>
          </w:p>
        </w:tc>
      </w:tr>
      <w:tr w14:paraId="5F868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79BCD920">
            <w:pPr>
              <w:rPr>
                <w:rFonts w:ascii="Arial"/>
                <w:sz w:val="21"/>
              </w:rPr>
            </w:pPr>
          </w:p>
        </w:tc>
        <w:tc>
          <w:tcPr>
            <w:tcW w:w="1667" w:type="dxa"/>
            <w:vMerge w:val="continue"/>
            <w:tcBorders>
              <w:top w:val="nil"/>
            </w:tcBorders>
            <w:vAlign w:val="top"/>
          </w:tcPr>
          <w:p w14:paraId="22BCA2FB">
            <w:pPr>
              <w:rPr>
                <w:rFonts w:ascii="Arial"/>
                <w:sz w:val="21"/>
              </w:rPr>
            </w:pPr>
          </w:p>
        </w:tc>
        <w:tc>
          <w:tcPr>
            <w:tcW w:w="1547" w:type="dxa"/>
            <w:vAlign w:val="top"/>
          </w:tcPr>
          <w:p w14:paraId="3B8C60F9">
            <w:pPr>
              <w:spacing w:before="40" w:line="274" w:lineRule="exact"/>
              <w:ind w:left="2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20:00-21:00</w:t>
            </w:r>
          </w:p>
        </w:tc>
        <w:tc>
          <w:tcPr>
            <w:tcW w:w="651" w:type="dxa"/>
            <w:vAlign w:val="top"/>
          </w:tcPr>
          <w:p w14:paraId="4F395B05">
            <w:pPr>
              <w:pStyle w:val="6"/>
              <w:spacing w:before="68" w:line="229" w:lineRule="auto"/>
              <w:ind w:left="234"/>
            </w:pPr>
            <w:r>
              <w:t>晴</w:t>
            </w:r>
          </w:p>
        </w:tc>
        <w:tc>
          <w:tcPr>
            <w:tcW w:w="650" w:type="dxa"/>
            <w:vAlign w:val="top"/>
          </w:tcPr>
          <w:p w14:paraId="0BBC8089">
            <w:pPr>
              <w:pStyle w:val="6"/>
              <w:spacing w:before="68" w:line="228" w:lineRule="auto"/>
              <w:ind w:left="128"/>
            </w:pPr>
            <w:r>
              <w:rPr>
                <w:spacing w:val="1"/>
              </w:rPr>
              <w:t>东南</w:t>
            </w:r>
          </w:p>
        </w:tc>
        <w:tc>
          <w:tcPr>
            <w:tcW w:w="651" w:type="dxa"/>
            <w:vAlign w:val="top"/>
          </w:tcPr>
          <w:p w14:paraId="72426A73">
            <w:pPr>
              <w:spacing w:before="40"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1.9</w:t>
            </w:r>
          </w:p>
        </w:tc>
        <w:tc>
          <w:tcPr>
            <w:tcW w:w="650" w:type="dxa"/>
            <w:vAlign w:val="top"/>
          </w:tcPr>
          <w:p w14:paraId="08A65038">
            <w:pPr>
              <w:spacing w:before="109"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0BFDCBF3">
            <w:pPr>
              <w:spacing w:before="40"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5738BADE">
            <w:pPr>
              <w:spacing w:before="40"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26.5</w:t>
            </w:r>
          </w:p>
        </w:tc>
        <w:tc>
          <w:tcPr>
            <w:tcW w:w="656" w:type="dxa"/>
            <w:vAlign w:val="top"/>
          </w:tcPr>
          <w:p w14:paraId="3E993E45">
            <w:pPr>
              <w:spacing w:before="40"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100.9</w:t>
            </w:r>
          </w:p>
        </w:tc>
      </w:tr>
      <w:tr w14:paraId="1411F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0872C84A">
            <w:pPr>
              <w:rPr>
                <w:rFonts w:ascii="Arial"/>
                <w:sz w:val="21"/>
              </w:rPr>
            </w:pPr>
          </w:p>
        </w:tc>
        <w:tc>
          <w:tcPr>
            <w:tcW w:w="1667" w:type="dxa"/>
            <w:vMerge w:val="restart"/>
            <w:tcBorders>
              <w:bottom w:val="nil"/>
            </w:tcBorders>
            <w:vAlign w:val="top"/>
          </w:tcPr>
          <w:p w14:paraId="6ED16E16">
            <w:pPr>
              <w:spacing w:line="334" w:lineRule="auto"/>
              <w:rPr>
                <w:rFonts w:ascii="Arial"/>
                <w:sz w:val="21"/>
              </w:rPr>
            </w:pPr>
          </w:p>
          <w:p w14:paraId="39DDD5E1">
            <w:pPr>
              <w:pStyle w:val="6"/>
              <w:spacing w:before="65" w:line="303" w:lineRule="auto"/>
              <w:ind w:left="766" w:right="101" w:hanging="663"/>
            </w:pPr>
            <w:r>
              <w:rPr>
                <w:rFonts w:ascii="Times New Roman" w:hAnsi="Times New Roman" w:eastAsia="Times New Roman" w:cs="Times New Roman"/>
                <w:spacing w:val="-3"/>
              </w:rPr>
              <w:t>2020</w:t>
            </w:r>
            <w:r>
              <w:rPr>
                <w:rFonts w:ascii="Times New Roman" w:hAnsi="Times New Roman" w:eastAsia="Times New Roman" w:cs="Times New Roman"/>
                <w:spacing w:val="16"/>
              </w:rPr>
              <w:t xml:space="preserve"> </w:t>
            </w:r>
            <w:r>
              <w:rPr>
                <w:spacing w:val="-3"/>
              </w:rPr>
              <w:t>年</w:t>
            </w:r>
            <w:r>
              <w:rPr>
                <w:spacing w:val="-23"/>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12"/>
                <w:w w:val="101"/>
              </w:rPr>
              <w:t xml:space="preserve"> </w:t>
            </w:r>
            <w:r>
              <w:rPr>
                <w:spacing w:val="-3"/>
              </w:rPr>
              <w:t>月</w:t>
            </w:r>
            <w:r>
              <w:rPr>
                <w:spacing w:val="-21"/>
              </w:rPr>
              <w:t xml:space="preserve"> </w:t>
            </w:r>
            <w:r>
              <w:rPr>
                <w:rFonts w:ascii="Times New Roman" w:hAnsi="Times New Roman" w:eastAsia="Times New Roman" w:cs="Times New Roman"/>
                <w:spacing w:val="-3"/>
              </w:rPr>
              <w:t>14</w:t>
            </w:r>
            <w:r>
              <w:rPr>
                <w:rFonts w:ascii="Times New Roman" w:hAnsi="Times New Roman" w:eastAsia="Times New Roman" w:cs="Times New Roman"/>
              </w:rPr>
              <w:t xml:space="preserve"> </w:t>
            </w:r>
            <w:r>
              <w:t>日</w:t>
            </w:r>
          </w:p>
        </w:tc>
        <w:tc>
          <w:tcPr>
            <w:tcW w:w="1547" w:type="dxa"/>
            <w:vAlign w:val="top"/>
          </w:tcPr>
          <w:p w14:paraId="13B5CEA6">
            <w:pPr>
              <w:spacing w:before="40"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02:00-03:00</w:t>
            </w:r>
          </w:p>
        </w:tc>
        <w:tc>
          <w:tcPr>
            <w:tcW w:w="651" w:type="dxa"/>
            <w:vAlign w:val="top"/>
          </w:tcPr>
          <w:p w14:paraId="266D8A08">
            <w:pPr>
              <w:pStyle w:val="6"/>
              <w:spacing w:before="71" w:line="229" w:lineRule="auto"/>
              <w:ind w:left="234"/>
            </w:pPr>
            <w:r>
              <w:t>晴</w:t>
            </w:r>
          </w:p>
        </w:tc>
        <w:tc>
          <w:tcPr>
            <w:tcW w:w="650" w:type="dxa"/>
            <w:vAlign w:val="top"/>
          </w:tcPr>
          <w:p w14:paraId="5169301B">
            <w:pPr>
              <w:pStyle w:val="6"/>
              <w:spacing w:before="71" w:line="228" w:lineRule="auto"/>
              <w:ind w:left="128"/>
            </w:pPr>
            <w:r>
              <w:rPr>
                <w:spacing w:val="1"/>
              </w:rPr>
              <w:t>东南</w:t>
            </w:r>
          </w:p>
        </w:tc>
        <w:tc>
          <w:tcPr>
            <w:tcW w:w="651" w:type="dxa"/>
            <w:vAlign w:val="top"/>
          </w:tcPr>
          <w:p w14:paraId="3F95BD78">
            <w:pPr>
              <w:spacing w:before="40"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0F1070B3">
            <w:pPr>
              <w:spacing w:before="110"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4AAFF21E">
            <w:pPr>
              <w:spacing w:before="40"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0CCC1D14">
            <w:pPr>
              <w:spacing w:before="40"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25.4</w:t>
            </w:r>
          </w:p>
        </w:tc>
        <w:tc>
          <w:tcPr>
            <w:tcW w:w="656" w:type="dxa"/>
            <w:vAlign w:val="top"/>
          </w:tcPr>
          <w:p w14:paraId="4A82ACF3">
            <w:pPr>
              <w:spacing w:before="40"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100.9</w:t>
            </w:r>
          </w:p>
        </w:tc>
      </w:tr>
      <w:tr w14:paraId="33949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62FF2495">
            <w:pPr>
              <w:rPr>
                <w:rFonts w:ascii="Arial"/>
                <w:sz w:val="21"/>
              </w:rPr>
            </w:pPr>
          </w:p>
        </w:tc>
        <w:tc>
          <w:tcPr>
            <w:tcW w:w="1667" w:type="dxa"/>
            <w:vMerge w:val="continue"/>
            <w:tcBorders>
              <w:top w:val="nil"/>
              <w:bottom w:val="nil"/>
            </w:tcBorders>
            <w:vAlign w:val="top"/>
          </w:tcPr>
          <w:p w14:paraId="7F1636F5">
            <w:pPr>
              <w:rPr>
                <w:rFonts w:ascii="Arial"/>
                <w:sz w:val="21"/>
              </w:rPr>
            </w:pPr>
          </w:p>
        </w:tc>
        <w:tc>
          <w:tcPr>
            <w:tcW w:w="1547" w:type="dxa"/>
            <w:vAlign w:val="top"/>
          </w:tcPr>
          <w:p w14:paraId="2162C050">
            <w:pPr>
              <w:spacing w:before="38"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08:00-09:00</w:t>
            </w:r>
          </w:p>
        </w:tc>
        <w:tc>
          <w:tcPr>
            <w:tcW w:w="651" w:type="dxa"/>
            <w:vAlign w:val="top"/>
          </w:tcPr>
          <w:p w14:paraId="0A6EA190">
            <w:pPr>
              <w:pStyle w:val="6"/>
              <w:spacing w:before="69" w:line="229" w:lineRule="auto"/>
              <w:ind w:left="234"/>
            </w:pPr>
            <w:r>
              <w:t>晴</w:t>
            </w:r>
          </w:p>
        </w:tc>
        <w:tc>
          <w:tcPr>
            <w:tcW w:w="650" w:type="dxa"/>
            <w:vAlign w:val="top"/>
          </w:tcPr>
          <w:p w14:paraId="0D907CF4">
            <w:pPr>
              <w:pStyle w:val="6"/>
              <w:spacing w:before="69" w:line="228" w:lineRule="auto"/>
              <w:ind w:left="128"/>
            </w:pPr>
            <w:r>
              <w:rPr>
                <w:spacing w:val="1"/>
              </w:rPr>
              <w:t>东南</w:t>
            </w:r>
          </w:p>
        </w:tc>
        <w:tc>
          <w:tcPr>
            <w:tcW w:w="651" w:type="dxa"/>
            <w:vAlign w:val="top"/>
          </w:tcPr>
          <w:p w14:paraId="359A563A">
            <w:pPr>
              <w:spacing w:before="38"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42C10548">
            <w:pPr>
              <w:spacing w:before="108"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47EA3546">
            <w:pPr>
              <w:spacing w:before="38"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686A97FA">
            <w:pPr>
              <w:spacing w:before="38"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26.5</w:t>
            </w:r>
          </w:p>
        </w:tc>
        <w:tc>
          <w:tcPr>
            <w:tcW w:w="656" w:type="dxa"/>
            <w:vAlign w:val="top"/>
          </w:tcPr>
          <w:p w14:paraId="3579F8F9">
            <w:pPr>
              <w:spacing w:before="38"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100.7</w:t>
            </w:r>
          </w:p>
        </w:tc>
      </w:tr>
      <w:tr w14:paraId="1095A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0ADEC479">
            <w:pPr>
              <w:rPr>
                <w:rFonts w:ascii="Arial"/>
                <w:sz w:val="21"/>
              </w:rPr>
            </w:pPr>
          </w:p>
        </w:tc>
        <w:tc>
          <w:tcPr>
            <w:tcW w:w="1667" w:type="dxa"/>
            <w:vMerge w:val="continue"/>
            <w:tcBorders>
              <w:top w:val="nil"/>
              <w:bottom w:val="nil"/>
            </w:tcBorders>
            <w:vAlign w:val="top"/>
          </w:tcPr>
          <w:p w14:paraId="2C0EEB7E">
            <w:pPr>
              <w:rPr>
                <w:rFonts w:ascii="Arial"/>
                <w:sz w:val="21"/>
              </w:rPr>
            </w:pPr>
          </w:p>
        </w:tc>
        <w:tc>
          <w:tcPr>
            <w:tcW w:w="1547" w:type="dxa"/>
            <w:vAlign w:val="top"/>
          </w:tcPr>
          <w:p w14:paraId="3A6EA208">
            <w:pPr>
              <w:spacing w:before="38" w:line="275"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14:00-15:00</w:t>
            </w:r>
          </w:p>
        </w:tc>
        <w:tc>
          <w:tcPr>
            <w:tcW w:w="651" w:type="dxa"/>
            <w:vAlign w:val="top"/>
          </w:tcPr>
          <w:p w14:paraId="6095AF02">
            <w:pPr>
              <w:pStyle w:val="6"/>
              <w:spacing w:before="69" w:line="229" w:lineRule="auto"/>
              <w:ind w:left="234"/>
            </w:pPr>
            <w:r>
              <w:t>晴</w:t>
            </w:r>
          </w:p>
        </w:tc>
        <w:tc>
          <w:tcPr>
            <w:tcW w:w="650" w:type="dxa"/>
            <w:vAlign w:val="top"/>
          </w:tcPr>
          <w:p w14:paraId="4D23C448">
            <w:pPr>
              <w:pStyle w:val="6"/>
              <w:spacing w:before="70" w:line="228" w:lineRule="auto"/>
              <w:ind w:left="128"/>
            </w:pPr>
            <w:r>
              <w:rPr>
                <w:spacing w:val="1"/>
              </w:rPr>
              <w:t>东南</w:t>
            </w:r>
          </w:p>
        </w:tc>
        <w:tc>
          <w:tcPr>
            <w:tcW w:w="651" w:type="dxa"/>
            <w:vAlign w:val="top"/>
          </w:tcPr>
          <w:p w14:paraId="4DE13059">
            <w:pPr>
              <w:spacing w:before="38" w:line="275"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1.4</w:t>
            </w:r>
          </w:p>
        </w:tc>
        <w:tc>
          <w:tcPr>
            <w:tcW w:w="650" w:type="dxa"/>
            <w:vAlign w:val="top"/>
          </w:tcPr>
          <w:p w14:paraId="28FA8187">
            <w:pPr>
              <w:spacing w:before="38" w:line="275"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121D6D87">
            <w:pPr>
              <w:spacing w:before="38" w:line="275"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35796CA7">
            <w:pPr>
              <w:spacing w:before="38" w:line="275"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29.1</w:t>
            </w:r>
          </w:p>
        </w:tc>
        <w:tc>
          <w:tcPr>
            <w:tcW w:w="656" w:type="dxa"/>
            <w:vAlign w:val="top"/>
          </w:tcPr>
          <w:p w14:paraId="56B1BF1B">
            <w:pPr>
              <w:spacing w:before="38" w:line="275"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100.5</w:t>
            </w:r>
          </w:p>
        </w:tc>
      </w:tr>
      <w:tr w14:paraId="5D4EC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2D9196A5">
            <w:pPr>
              <w:rPr>
                <w:rFonts w:ascii="Arial"/>
                <w:sz w:val="21"/>
              </w:rPr>
            </w:pPr>
          </w:p>
        </w:tc>
        <w:tc>
          <w:tcPr>
            <w:tcW w:w="1667" w:type="dxa"/>
            <w:vMerge w:val="continue"/>
            <w:tcBorders>
              <w:top w:val="nil"/>
            </w:tcBorders>
            <w:vAlign w:val="top"/>
          </w:tcPr>
          <w:p w14:paraId="5FE350DF">
            <w:pPr>
              <w:rPr>
                <w:rFonts w:ascii="Arial"/>
                <w:sz w:val="21"/>
              </w:rPr>
            </w:pPr>
          </w:p>
        </w:tc>
        <w:tc>
          <w:tcPr>
            <w:tcW w:w="1547" w:type="dxa"/>
            <w:vAlign w:val="top"/>
          </w:tcPr>
          <w:p w14:paraId="44E38D0C">
            <w:pPr>
              <w:spacing w:before="39" w:line="274" w:lineRule="exact"/>
              <w:ind w:left="2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20:00-21:00</w:t>
            </w:r>
          </w:p>
        </w:tc>
        <w:tc>
          <w:tcPr>
            <w:tcW w:w="651" w:type="dxa"/>
            <w:vAlign w:val="top"/>
          </w:tcPr>
          <w:p w14:paraId="590AAA58">
            <w:pPr>
              <w:pStyle w:val="6"/>
              <w:spacing w:before="70" w:line="229" w:lineRule="auto"/>
              <w:ind w:left="234"/>
            </w:pPr>
            <w:r>
              <w:t>晴</w:t>
            </w:r>
          </w:p>
        </w:tc>
        <w:tc>
          <w:tcPr>
            <w:tcW w:w="650" w:type="dxa"/>
            <w:vAlign w:val="top"/>
          </w:tcPr>
          <w:p w14:paraId="6904DA51">
            <w:pPr>
              <w:pStyle w:val="6"/>
              <w:spacing w:before="70" w:line="228" w:lineRule="auto"/>
              <w:ind w:left="234"/>
            </w:pPr>
            <w:r>
              <w:t>东</w:t>
            </w:r>
          </w:p>
        </w:tc>
        <w:tc>
          <w:tcPr>
            <w:tcW w:w="651" w:type="dxa"/>
            <w:vAlign w:val="top"/>
          </w:tcPr>
          <w:p w14:paraId="77F04399">
            <w:pPr>
              <w:spacing w:before="39"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1CB48698">
            <w:pPr>
              <w:spacing w:before="108"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6AB69BEF">
            <w:pPr>
              <w:spacing w:before="39"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59A1EE84">
            <w:pPr>
              <w:spacing w:before="3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27.2</w:t>
            </w:r>
          </w:p>
        </w:tc>
        <w:tc>
          <w:tcPr>
            <w:tcW w:w="656" w:type="dxa"/>
            <w:vAlign w:val="top"/>
          </w:tcPr>
          <w:p w14:paraId="5A8694CA">
            <w:pPr>
              <w:spacing w:before="39"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100.7</w:t>
            </w:r>
          </w:p>
        </w:tc>
      </w:tr>
      <w:tr w14:paraId="0400C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4989D5B9">
            <w:pPr>
              <w:rPr>
                <w:rFonts w:ascii="Arial"/>
                <w:sz w:val="21"/>
              </w:rPr>
            </w:pPr>
          </w:p>
        </w:tc>
        <w:tc>
          <w:tcPr>
            <w:tcW w:w="1667" w:type="dxa"/>
            <w:vMerge w:val="restart"/>
            <w:tcBorders>
              <w:bottom w:val="nil"/>
            </w:tcBorders>
            <w:vAlign w:val="top"/>
          </w:tcPr>
          <w:p w14:paraId="7FCF2114">
            <w:pPr>
              <w:spacing w:line="336" w:lineRule="auto"/>
              <w:rPr>
                <w:rFonts w:ascii="Arial"/>
                <w:sz w:val="21"/>
              </w:rPr>
            </w:pPr>
          </w:p>
          <w:p w14:paraId="7615A5A5">
            <w:pPr>
              <w:pStyle w:val="6"/>
              <w:spacing w:before="65" w:line="303" w:lineRule="auto"/>
              <w:ind w:left="766" w:right="101" w:hanging="663"/>
            </w:pPr>
            <w:r>
              <w:rPr>
                <w:rFonts w:ascii="Times New Roman" w:hAnsi="Times New Roman" w:eastAsia="Times New Roman" w:cs="Times New Roman"/>
                <w:spacing w:val="-3"/>
              </w:rPr>
              <w:t>2020</w:t>
            </w:r>
            <w:r>
              <w:rPr>
                <w:rFonts w:ascii="Times New Roman" w:hAnsi="Times New Roman" w:eastAsia="Times New Roman" w:cs="Times New Roman"/>
                <w:spacing w:val="16"/>
              </w:rPr>
              <w:t xml:space="preserve"> </w:t>
            </w:r>
            <w:r>
              <w:rPr>
                <w:spacing w:val="-3"/>
              </w:rPr>
              <w:t>年</w:t>
            </w:r>
            <w:r>
              <w:rPr>
                <w:spacing w:val="-23"/>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12"/>
                <w:w w:val="101"/>
              </w:rPr>
              <w:t xml:space="preserve"> </w:t>
            </w:r>
            <w:r>
              <w:rPr>
                <w:spacing w:val="-3"/>
              </w:rPr>
              <w:t>月</w:t>
            </w:r>
            <w:r>
              <w:rPr>
                <w:spacing w:val="-21"/>
              </w:rPr>
              <w:t xml:space="preserve"> </w:t>
            </w:r>
            <w:r>
              <w:rPr>
                <w:rFonts w:ascii="Times New Roman" w:hAnsi="Times New Roman" w:eastAsia="Times New Roman" w:cs="Times New Roman"/>
                <w:spacing w:val="-3"/>
              </w:rPr>
              <w:t>15</w:t>
            </w:r>
            <w:r>
              <w:rPr>
                <w:rFonts w:ascii="Times New Roman" w:hAnsi="Times New Roman" w:eastAsia="Times New Roman" w:cs="Times New Roman"/>
              </w:rPr>
              <w:t xml:space="preserve"> </w:t>
            </w:r>
            <w:r>
              <w:t>日</w:t>
            </w:r>
          </w:p>
        </w:tc>
        <w:tc>
          <w:tcPr>
            <w:tcW w:w="1547" w:type="dxa"/>
            <w:vAlign w:val="top"/>
          </w:tcPr>
          <w:p w14:paraId="4ACBC16D">
            <w:pPr>
              <w:spacing w:before="39"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02:00-03:00</w:t>
            </w:r>
          </w:p>
        </w:tc>
        <w:tc>
          <w:tcPr>
            <w:tcW w:w="651" w:type="dxa"/>
            <w:vAlign w:val="top"/>
          </w:tcPr>
          <w:p w14:paraId="3347EF99">
            <w:pPr>
              <w:pStyle w:val="6"/>
              <w:spacing w:before="70" w:line="229" w:lineRule="auto"/>
              <w:ind w:left="234"/>
            </w:pPr>
            <w:r>
              <w:t>晴</w:t>
            </w:r>
          </w:p>
        </w:tc>
        <w:tc>
          <w:tcPr>
            <w:tcW w:w="650" w:type="dxa"/>
            <w:vAlign w:val="top"/>
          </w:tcPr>
          <w:p w14:paraId="2E045ABB">
            <w:pPr>
              <w:pStyle w:val="6"/>
              <w:spacing w:before="70" w:line="228" w:lineRule="auto"/>
              <w:ind w:left="128"/>
            </w:pPr>
            <w:r>
              <w:rPr>
                <w:spacing w:val="1"/>
              </w:rPr>
              <w:t>东北</w:t>
            </w:r>
          </w:p>
        </w:tc>
        <w:tc>
          <w:tcPr>
            <w:tcW w:w="651" w:type="dxa"/>
            <w:vAlign w:val="top"/>
          </w:tcPr>
          <w:p w14:paraId="754F3E4A">
            <w:pPr>
              <w:spacing w:before="39"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518E2A17">
            <w:pPr>
              <w:spacing w:before="39"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31A06A19">
            <w:pPr>
              <w:spacing w:before="39"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7A3268FF">
            <w:pPr>
              <w:spacing w:before="3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26.4</w:t>
            </w:r>
          </w:p>
        </w:tc>
        <w:tc>
          <w:tcPr>
            <w:tcW w:w="656" w:type="dxa"/>
            <w:vAlign w:val="top"/>
          </w:tcPr>
          <w:p w14:paraId="07CFAD53">
            <w:pPr>
              <w:spacing w:before="39"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100.9</w:t>
            </w:r>
          </w:p>
        </w:tc>
      </w:tr>
      <w:tr w14:paraId="748DB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1E904038">
            <w:pPr>
              <w:rPr>
                <w:rFonts w:ascii="Arial"/>
                <w:sz w:val="21"/>
              </w:rPr>
            </w:pPr>
          </w:p>
        </w:tc>
        <w:tc>
          <w:tcPr>
            <w:tcW w:w="1667" w:type="dxa"/>
            <w:vMerge w:val="continue"/>
            <w:tcBorders>
              <w:top w:val="nil"/>
              <w:bottom w:val="nil"/>
            </w:tcBorders>
            <w:vAlign w:val="top"/>
          </w:tcPr>
          <w:p w14:paraId="334F9435">
            <w:pPr>
              <w:rPr>
                <w:rFonts w:ascii="Arial"/>
                <w:sz w:val="21"/>
              </w:rPr>
            </w:pPr>
          </w:p>
        </w:tc>
        <w:tc>
          <w:tcPr>
            <w:tcW w:w="1547" w:type="dxa"/>
            <w:vAlign w:val="top"/>
          </w:tcPr>
          <w:p w14:paraId="6191867B">
            <w:pPr>
              <w:spacing w:before="40"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08:00-09:00</w:t>
            </w:r>
          </w:p>
        </w:tc>
        <w:tc>
          <w:tcPr>
            <w:tcW w:w="651" w:type="dxa"/>
            <w:vAlign w:val="top"/>
          </w:tcPr>
          <w:p w14:paraId="1DE5EFB8">
            <w:pPr>
              <w:pStyle w:val="6"/>
              <w:spacing w:before="68" w:line="229" w:lineRule="auto"/>
              <w:ind w:left="234"/>
            </w:pPr>
            <w:r>
              <w:t>晴</w:t>
            </w:r>
          </w:p>
        </w:tc>
        <w:tc>
          <w:tcPr>
            <w:tcW w:w="650" w:type="dxa"/>
            <w:vAlign w:val="top"/>
          </w:tcPr>
          <w:p w14:paraId="29976682">
            <w:pPr>
              <w:pStyle w:val="6"/>
              <w:spacing w:before="68" w:line="228" w:lineRule="auto"/>
              <w:ind w:left="128"/>
            </w:pPr>
            <w:r>
              <w:rPr>
                <w:spacing w:val="1"/>
              </w:rPr>
              <w:t>东北</w:t>
            </w:r>
          </w:p>
        </w:tc>
        <w:tc>
          <w:tcPr>
            <w:tcW w:w="651" w:type="dxa"/>
            <w:vAlign w:val="top"/>
          </w:tcPr>
          <w:p w14:paraId="71B65030">
            <w:pPr>
              <w:spacing w:before="40"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1.4</w:t>
            </w:r>
          </w:p>
        </w:tc>
        <w:tc>
          <w:tcPr>
            <w:tcW w:w="650" w:type="dxa"/>
            <w:vAlign w:val="top"/>
          </w:tcPr>
          <w:p w14:paraId="47B74415">
            <w:pPr>
              <w:spacing w:before="40"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2C9F037C">
            <w:pPr>
              <w:spacing w:before="40" w:line="274"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1" w:type="dxa"/>
            <w:vAlign w:val="top"/>
          </w:tcPr>
          <w:p w14:paraId="1E4C12D3">
            <w:pPr>
              <w:spacing w:before="40"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26.2</w:t>
            </w:r>
          </w:p>
        </w:tc>
        <w:tc>
          <w:tcPr>
            <w:tcW w:w="656" w:type="dxa"/>
            <w:vAlign w:val="top"/>
          </w:tcPr>
          <w:p w14:paraId="7337737E">
            <w:pPr>
              <w:spacing w:before="40"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100.9</w:t>
            </w:r>
          </w:p>
        </w:tc>
      </w:tr>
      <w:tr w14:paraId="62D32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2D660DC6">
            <w:pPr>
              <w:rPr>
                <w:rFonts w:ascii="Arial"/>
                <w:sz w:val="21"/>
              </w:rPr>
            </w:pPr>
          </w:p>
        </w:tc>
        <w:tc>
          <w:tcPr>
            <w:tcW w:w="1667" w:type="dxa"/>
            <w:vMerge w:val="continue"/>
            <w:tcBorders>
              <w:top w:val="nil"/>
              <w:bottom w:val="nil"/>
            </w:tcBorders>
            <w:vAlign w:val="top"/>
          </w:tcPr>
          <w:p w14:paraId="3A7A6982">
            <w:pPr>
              <w:rPr>
                <w:rFonts w:ascii="Arial"/>
                <w:sz w:val="21"/>
              </w:rPr>
            </w:pPr>
          </w:p>
        </w:tc>
        <w:tc>
          <w:tcPr>
            <w:tcW w:w="1547" w:type="dxa"/>
            <w:vAlign w:val="top"/>
          </w:tcPr>
          <w:p w14:paraId="3357F582">
            <w:pPr>
              <w:spacing w:before="40"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14:00-15:00</w:t>
            </w:r>
          </w:p>
        </w:tc>
        <w:tc>
          <w:tcPr>
            <w:tcW w:w="651" w:type="dxa"/>
            <w:vAlign w:val="top"/>
          </w:tcPr>
          <w:p w14:paraId="749DB1C4">
            <w:pPr>
              <w:pStyle w:val="6"/>
              <w:spacing w:before="68" w:line="229" w:lineRule="auto"/>
              <w:ind w:left="234"/>
            </w:pPr>
            <w:r>
              <w:t>晴</w:t>
            </w:r>
          </w:p>
        </w:tc>
        <w:tc>
          <w:tcPr>
            <w:tcW w:w="650" w:type="dxa"/>
            <w:vAlign w:val="top"/>
          </w:tcPr>
          <w:p w14:paraId="2FEC4ACC">
            <w:pPr>
              <w:pStyle w:val="6"/>
              <w:spacing w:before="69" w:line="228" w:lineRule="auto"/>
              <w:ind w:left="234"/>
            </w:pPr>
            <w:r>
              <w:t>东</w:t>
            </w:r>
          </w:p>
        </w:tc>
        <w:tc>
          <w:tcPr>
            <w:tcW w:w="651" w:type="dxa"/>
            <w:vAlign w:val="top"/>
          </w:tcPr>
          <w:p w14:paraId="41157029">
            <w:pPr>
              <w:spacing w:before="40"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23319F28">
            <w:pPr>
              <w:spacing w:before="110"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238AF2F1">
            <w:pPr>
              <w:spacing w:before="40"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2343139E">
            <w:pPr>
              <w:spacing w:before="40"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29.4</w:t>
            </w:r>
          </w:p>
        </w:tc>
        <w:tc>
          <w:tcPr>
            <w:tcW w:w="656" w:type="dxa"/>
            <w:vAlign w:val="top"/>
          </w:tcPr>
          <w:p w14:paraId="1CD8EF8C">
            <w:pPr>
              <w:spacing w:before="40"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100.5</w:t>
            </w:r>
          </w:p>
        </w:tc>
      </w:tr>
      <w:tr w14:paraId="795AB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26A55582">
            <w:pPr>
              <w:rPr>
                <w:rFonts w:ascii="Arial"/>
                <w:sz w:val="21"/>
              </w:rPr>
            </w:pPr>
          </w:p>
        </w:tc>
        <w:tc>
          <w:tcPr>
            <w:tcW w:w="1667" w:type="dxa"/>
            <w:vMerge w:val="continue"/>
            <w:tcBorders>
              <w:top w:val="nil"/>
            </w:tcBorders>
            <w:vAlign w:val="top"/>
          </w:tcPr>
          <w:p w14:paraId="2F764B1C">
            <w:pPr>
              <w:rPr>
                <w:rFonts w:ascii="Arial"/>
                <w:sz w:val="21"/>
              </w:rPr>
            </w:pPr>
          </w:p>
        </w:tc>
        <w:tc>
          <w:tcPr>
            <w:tcW w:w="1547" w:type="dxa"/>
            <w:vAlign w:val="top"/>
          </w:tcPr>
          <w:p w14:paraId="111E7D06">
            <w:pPr>
              <w:spacing w:before="38" w:line="274" w:lineRule="exact"/>
              <w:ind w:left="2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20:00-21:00</w:t>
            </w:r>
          </w:p>
        </w:tc>
        <w:tc>
          <w:tcPr>
            <w:tcW w:w="651" w:type="dxa"/>
            <w:vAlign w:val="top"/>
          </w:tcPr>
          <w:p w14:paraId="0B203E9A">
            <w:pPr>
              <w:pStyle w:val="6"/>
              <w:spacing w:before="69" w:line="229" w:lineRule="auto"/>
              <w:ind w:left="234"/>
            </w:pPr>
            <w:r>
              <w:t>晴</w:t>
            </w:r>
          </w:p>
        </w:tc>
        <w:tc>
          <w:tcPr>
            <w:tcW w:w="650" w:type="dxa"/>
            <w:vAlign w:val="top"/>
          </w:tcPr>
          <w:p w14:paraId="7E871876">
            <w:pPr>
              <w:pStyle w:val="6"/>
              <w:spacing w:before="69" w:line="228" w:lineRule="auto"/>
              <w:ind w:left="234"/>
            </w:pPr>
            <w:r>
              <w:t>东</w:t>
            </w:r>
          </w:p>
        </w:tc>
        <w:tc>
          <w:tcPr>
            <w:tcW w:w="651" w:type="dxa"/>
            <w:vAlign w:val="top"/>
          </w:tcPr>
          <w:p w14:paraId="510E86F3">
            <w:pPr>
              <w:spacing w:before="38"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2A4A0D9A">
            <w:pPr>
              <w:spacing w:before="38"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016AFFC0">
            <w:pPr>
              <w:spacing w:before="38"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417F55C4">
            <w:pPr>
              <w:spacing w:before="38"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27.5</w:t>
            </w:r>
          </w:p>
        </w:tc>
        <w:tc>
          <w:tcPr>
            <w:tcW w:w="656" w:type="dxa"/>
            <w:vAlign w:val="top"/>
          </w:tcPr>
          <w:p w14:paraId="5CB7B7EA">
            <w:pPr>
              <w:spacing w:before="38"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100.9</w:t>
            </w:r>
          </w:p>
        </w:tc>
      </w:tr>
      <w:tr w14:paraId="0563C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3EF9D24E">
            <w:pPr>
              <w:rPr>
                <w:rFonts w:ascii="Arial"/>
                <w:sz w:val="21"/>
              </w:rPr>
            </w:pPr>
          </w:p>
        </w:tc>
        <w:tc>
          <w:tcPr>
            <w:tcW w:w="1667" w:type="dxa"/>
            <w:vMerge w:val="restart"/>
            <w:tcBorders>
              <w:bottom w:val="nil"/>
            </w:tcBorders>
            <w:vAlign w:val="top"/>
          </w:tcPr>
          <w:p w14:paraId="63A5C0F3">
            <w:pPr>
              <w:spacing w:line="335" w:lineRule="auto"/>
              <w:rPr>
                <w:rFonts w:ascii="Arial"/>
                <w:sz w:val="21"/>
              </w:rPr>
            </w:pPr>
          </w:p>
          <w:p w14:paraId="5000E2FE">
            <w:pPr>
              <w:pStyle w:val="6"/>
              <w:spacing w:before="65" w:line="303" w:lineRule="auto"/>
              <w:ind w:left="766" w:right="101" w:hanging="663"/>
            </w:pPr>
            <w:r>
              <w:rPr>
                <w:rFonts w:ascii="Times New Roman" w:hAnsi="Times New Roman" w:eastAsia="Times New Roman" w:cs="Times New Roman"/>
                <w:spacing w:val="-3"/>
              </w:rPr>
              <w:t>2020</w:t>
            </w:r>
            <w:r>
              <w:rPr>
                <w:rFonts w:ascii="Times New Roman" w:hAnsi="Times New Roman" w:eastAsia="Times New Roman" w:cs="Times New Roman"/>
                <w:spacing w:val="16"/>
              </w:rPr>
              <w:t xml:space="preserve"> </w:t>
            </w:r>
            <w:r>
              <w:rPr>
                <w:spacing w:val="-3"/>
              </w:rPr>
              <w:t>年</w:t>
            </w:r>
            <w:r>
              <w:rPr>
                <w:spacing w:val="-23"/>
              </w:rPr>
              <w:t xml:space="preserve"> </w:t>
            </w:r>
            <w:r>
              <w:rPr>
                <w:rFonts w:ascii="Times New Roman" w:hAnsi="Times New Roman" w:eastAsia="Times New Roman" w:cs="Times New Roman"/>
                <w:spacing w:val="-3"/>
              </w:rPr>
              <w:t>11</w:t>
            </w:r>
            <w:r>
              <w:rPr>
                <w:rFonts w:ascii="Times New Roman" w:hAnsi="Times New Roman" w:eastAsia="Times New Roman" w:cs="Times New Roman"/>
                <w:spacing w:val="12"/>
                <w:w w:val="101"/>
              </w:rPr>
              <w:t xml:space="preserve"> </w:t>
            </w:r>
            <w:r>
              <w:rPr>
                <w:spacing w:val="-3"/>
              </w:rPr>
              <w:t>月</w:t>
            </w:r>
            <w:r>
              <w:rPr>
                <w:spacing w:val="-21"/>
              </w:rPr>
              <w:t xml:space="preserve"> </w:t>
            </w:r>
            <w:r>
              <w:rPr>
                <w:rFonts w:ascii="Times New Roman" w:hAnsi="Times New Roman" w:eastAsia="Times New Roman" w:cs="Times New Roman"/>
                <w:spacing w:val="-3"/>
              </w:rPr>
              <w:t>16</w:t>
            </w:r>
            <w:r>
              <w:rPr>
                <w:rFonts w:ascii="Times New Roman" w:hAnsi="Times New Roman" w:eastAsia="Times New Roman" w:cs="Times New Roman"/>
              </w:rPr>
              <w:t xml:space="preserve"> </w:t>
            </w:r>
            <w:r>
              <w:t>日</w:t>
            </w:r>
          </w:p>
        </w:tc>
        <w:tc>
          <w:tcPr>
            <w:tcW w:w="1547" w:type="dxa"/>
            <w:vAlign w:val="top"/>
          </w:tcPr>
          <w:p w14:paraId="22460899">
            <w:pPr>
              <w:spacing w:before="38" w:line="275"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02:00-03:00</w:t>
            </w:r>
          </w:p>
        </w:tc>
        <w:tc>
          <w:tcPr>
            <w:tcW w:w="651" w:type="dxa"/>
            <w:vAlign w:val="top"/>
          </w:tcPr>
          <w:p w14:paraId="3899A2B1">
            <w:pPr>
              <w:pStyle w:val="6"/>
              <w:spacing w:before="69" w:line="229" w:lineRule="auto"/>
              <w:ind w:left="234"/>
            </w:pPr>
            <w:r>
              <w:t>晴</w:t>
            </w:r>
          </w:p>
        </w:tc>
        <w:tc>
          <w:tcPr>
            <w:tcW w:w="650" w:type="dxa"/>
            <w:vAlign w:val="top"/>
          </w:tcPr>
          <w:p w14:paraId="47177EA3">
            <w:pPr>
              <w:pStyle w:val="6"/>
              <w:spacing w:before="70" w:line="228" w:lineRule="auto"/>
              <w:ind w:left="128"/>
            </w:pPr>
            <w:r>
              <w:rPr>
                <w:spacing w:val="1"/>
              </w:rPr>
              <w:t>东南</w:t>
            </w:r>
          </w:p>
        </w:tc>
        <w:tc>
          <w:tcPr>
            <w:tcW w:w="651" w:type="dxa"/>
            <w:vAlign w:val="top"/>
          </w:tcPr>
          <w:p w14:paraId="362BB4D6">
            <w:pPr>
              <w:spacing w:before="38" w:line="275"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5CEF9F26">
            <w:pPr>
              <w:spacing w:before="38" w:line="275"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2D2AFBB3">
            <w:pPr>
              <w:spacing w:before="38" w:line="275" w:lineRule="exact"/>
              <w:ind w:left="2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51" w:type="dxa"/>
            <w:vAlign w:val="top"/>
          </w:tcPr>
          <w:p w14:paraId="215A59C7">
            <w:pPr>
              <w:spacing w:before="38" w:line="275"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26.1</w:t>
            </w:r>
          </w:p>
        </w:tc>
        <w:tc>
          <w:tcPr>
            <w:tcW w:w="656" w:type="dxa"/>
            <w:vAlign w:val="top"/>
          </w:tcPr>
          <w:p w14:paraId="6FFD838D">
            <w:pPr>
              <w:spacing w:before="38" w:line="275"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101.1</w:t>
            </w:r>
          </w:p>
        </w:tc>
      </w:tr>
      <w:tr w14:paraId="11C5E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4057E78B">
            <w:pPr>
              <w:rPr>
                <w:rFonts w:ascii="Arial"/>
                <w:sz w:val="21"/>
              </w:rPr>
            </w:pPr>
          </w:p>
        </w:tc>
        <w:tc>
          <w:tcPr>
            <w:tcW w:w="1667" w:type="dxa"/>
            <w:vMerge w:val="continue"/>
            <w:tcBorders>
              <w:top w:val="nil"/>
              <w:bottom w:val="nil"/>
            </w:tcBorders>
            <w:vAlign w:val="top"/>
          </w:tcPr>
          <w:p w14:paraId="51321FB2">
            <w:pPr>
              <w:rPr>
                <w:rFonts w:ascii="Arial"/>
                <w:sz w:val="21"/>
              </w:rPr>
            </w:pPr>
          </w:p>
        </w:tc>
        <w:tc>
          <w:tcPr>
            <w:tcW w:w="1547" w:type="dxa"/>
            <w:vAlign w:val="top"/>
          </w:tcPr>
          <w:p w14:paraId="21609107">
            <w:pPr>
              <w:spacing w:before="39"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08:00-09:00</w:t>
            </w:r>
          </w:p>
        </w:tc>
        <w:tc>
          <w:tcPr>
            <w:tcW w:w="651" w:type="dxa"/>
            <w:vAlign w:val="top"/>
          </w:tcPr>
          <w:p w14:paraId="76AC75FA">
            <w:pPr>
              <w:pStyle w:val="6"/>
              <w:spacing w:before="70" w:line="229" w:lineRule="auto"/>
              <w:ind w:left="234"/>
            </w:pPr>
            <w:r>
              <w:t>晴</w:t>
            </w:r>
          </w:p>
        </w:tc>
        <w:tc>
          <w:tcPr>
            <w:tcW w:w="650" w:type="dxa"/>
            <w:vAlign w:val="top"/>
          </w:tcPr>
          <w:p w14:paraId="18F2D653">
            <w:pPr>
              <w:pStyle w:val="6"/>
              <w:spacing w:before="70" w:line="228" w:lineRule="auto"/>
              <w:ind w:left="128"/>
            </w:pPr>
            <w:r>
              <w:rPr>
                <w:spacing w:val="1"/>
              </w:rPr>
              <w:t>东南</w:t>
            </w:r>
          </w:p>
        </w:tc>
        <w:tc>
          <w:tcPr>
            <w:tcW w:w="651" w:type="dxa"/>
            <w:vAlign w:val="top"/>
          </w:tcPr>
          <w:p w14:paraId="6679664B">
            <w:pPr>
              <w:spacing w:before="39"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1.7</w:t>
            </w:r>
          </w:p>
        </w:tc>
        <w:tc>
          <w:tcPr>
            <w:tcW w:w="650" w:type="dxa"/>
            <w:vAlign w:val="top"/>
          </w:tcPr>
          <w:p w14:paraId="5E891AB0">
            <w:pPr>
              <w:spacing w:before="108"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5DEB3C03">
            <w:pPr>
              <w:spacing w:before="39"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67205573">
            <w:pPr>
              <w:spacing w:before="3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26.4</w:t>
            </w:r>
          </w:p>
        </w:tc>
        <w:tc>
          <w:tcPr>
            <w:tcW w:w="656" w:type="dxa"/>
            <w:vAlign w:val="top"/>
          </w:tcPr>
          <w:p w14:paraId="23E09F95">
            <w:pPr>
              <w:spacing w:before="39"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101.1</w:t>
            </w:r>
          </w:p>
        </w:tc>
      </w:tr>
      <w:tr w14:paraId="58CCA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74" w:type="dxa"/>
            <w:vMerge w:val="continue"/>
            <w:tcBorders>
              <w:top w:val="nil"/>
              <w:bottom w:val="nil"/>
            </w:tcBorders>
            <w:vAlign w:val="top"/>
          </w:tcPr>
          <w:p w14:paraId="0C96BDC9">
            <w:pPr>
              <w:rPr>
                <w:rFonts w:ascii="Arial"/>
                <w:sz w:val="21"/>
              </w:rPr>
            </w:pPr>
          </w:p>
        </w:tc>
        <w:tc>
          <w:tcPr>
            <w:tcW w:w="1667" w:type="dxa"/>
            <w:vMerge w:val="continue"/>
            <w:tcBorders>
              <w:top w:val="nil"/>
              <w:bottom w:val="nil"/>
            </w:tcBorders>
            <w:vAlign w:val="top"/>
          </w:tcPr>
          <w:p w14:paraId="0ACBB8E0">
            <w:pPr>
              <w:rPr>
                <w:rFonts w:ascii="Arial"/>
                <w:sz w:val="21"/>
              </w:rPr>
            </w:pPr>
          </w:p>
        </w:tc>
        <w:tc>
          <w:tcPr>
            <w:tcW w:w="1547" w:type="dxa"/>
            <w:vAlign w:val="top"/>
          </w:tcPr>
          <w:p w14:paraId="2E77FE58">
            <w:pPr>
              <w:spacing w:before="39"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14:00-15:00</w:t>
            </w:r>
          </w:p>
        </w:tc>
        <w:tc>
          <w:tcPr>
            <w:tcW w:w="651" w:type="dxa"/>
            <w:vAlign w:val="top"/>
          </w:tcPr>
          <w:p w14:paraId="4D36D5B0">
            <w:pPr>
              <w:pStyle w:val="6"/>
              <w:spacing w:before="70" w:line="229" w:lineRule="auto"/>
              <w:ind w:left="234"/>
            </w:pPr>
            <w:r>
              <w:t>晴</w:t>
            </w:r>
          </w:p>
        </w:tc>
        <w:tc>
          <w:tcPr>
            <w:tcW w:w="650" w:type="dxa"/>
            <w:vAlign w:val="top"/>
          </w:tcPr>
          <w:p w14:paraId="0605A34D">
            <w:pPr>
              <w:pStyle w:val="6"/>
              <w:spacing w:before="70" w:line="228" w:lineRule="auto"/>
              <w:ind w:left="128"/>
            </w:pPr>
            <w:r>
              <w:rPr>
                <w:spacing w:val="1"/>
              </w:rPr>
              <w:t>东南</w:t>
            </w:r>
          </w:p>
        </w:tc>
        <w:tc>
          <w:tcPr>
            <w:tcW w:w="651" w:type="dxa"/>
            <w:vAlign w:val="top"/>
          </w:tcPr>
          <w:p w14:paraId="7E509743">
            <w:pPr>
              <w:spacing w:before="39"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650" w:type="dxa"/>
            <w:vAlign w:val="top"/>
          </w:tcPr>
          <w:p w14:paraId="7C32BB6D">
            <w:pPr>
              <w:spacing w:before="109" w:line="192"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1" w:type="dxa"/>
            <w:vAlign w:val="top"/>
          </w:tcPr>
          <w:p w14:paraId="5733F89D">
            <w:pPr>
              <w:spacing w:before="39"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51" w:type="dxa"/>
            <w:vAlign w:val="top"/>
          </w:tcPr>
          <w:p w14:paraId="0A7B1AEC">
            <w:pPr>
              <w:spacing w:before="39"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29.5</w:t>
            </w:r>
          </w:p>
        </w:tc>
        <w:tc>
          <w:tcPr>
            <w:tcW w:w="656" w:type="dxa"/>
            <w:vAlign w:val="top"/>
          </w:tcPr>
          <w:p w14:paraId="27541FBA">
            <w:pPr>
              <w:spacing w:before="39"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100.7</w:t>
            </w:r>
          </w:p>
        </w:tc>
      </w:tr>
      <w:tr w14:paraId="1E438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074" w:type="dxa"/>
            <w:vMerge w:val="continue"/>
            <w:tcBorders>
              <w:top w:val="nil"/>
            </w:tcBorders>
            <w:vAlign w:val="top"/>
          </w:tcPr>
          <w:p w14:paraId="30DD884F">
            <w:pPr>
              <w:rPr>
                <w:rFonts w:ascii="Arial"/>
                <w:sz w:val="21"/>
              </w:rPr>
            </w:pPr>
          </w:p>
        </w:tc>
        <w:tc>
          <w:tcPr>
            <w:tcW w:w="1667" w:type="dxa"/>
            <w:vMerge w:val="continue"/>
            <w:tcBorders>
              <w:top w:val="nil"/>
            </w:tcBorders>
            <w:vAlign w:val="top"/>
          </w:tcPr>
          <w:p w14:paraId="5B59417A">
            <w:pPr>
              <w:rPr>
                <w:rFonts w:ascii="Arial"/>
                <w:sz w:val="21"/>
              </w:rPr>
            </w:pPr>
          </w:p>
        </w:tc>
        <w:tc>
          <w:tcPr>
            <w:tcW w:w="1547" w:type="dxa"/>
            <w:vAlign w:val="top"/>
          </w:tcPr>
          <w:p w14:paraId="2596FEBB">
            <w:pPr>
              <w:spacing w:before="40" w:line="274" w:lineRule="exact"/>
              <w:ind w:left="2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20:00-21:00</w:t>
            </w:r>
          </w:p>
        </w:tc>
        <w:tc>
          <w:tcPr>
            <w:tcW w:w="651" w:type="dxa"/>
            <w:vAlign w:val="top"/>
          </w:tcPr>
          <w:p w14:paraId="034EE765">
            <w:pPr>
              <w:pStyle w:val="6"/>
              <w:spacing w:before="68" w:line="229" w:lineRule="auto"/>
              <w:ind w:left="234"/>
            </w:pPr>
            <w:r>
              <w:t>晴</w:t>
            </w:r>
          </w:p>
        </w:tc>
        <w:tc>
          <w:tcPr>
            <w:tcW w:w="650" w:type="dxa"/>
            <w:vAlign w:val="top"/>
          </w:tcPr>
          <w:p w14:paraId="491CBB87">
            <w:pPr>
              <w:pStyle w:val="6"/>
              <w:spacing w:before="68" w:line="228" w:lineRule="auto"/>
              <w:ind w:left="128"/>
            </w:pPr>
            <w:r>
              <w:rPr>
                <w:spacing w:val="1"/>
              </w:rPr>
              <w:t>东南</w:t>
            </w:r>
          </w:p>
        </w:tc>
        <w:tc>
          <w:tcPr>
            <w:tcW w:w="651" w:type="dxa"/>
            <w:vAlign w:val="top"/>
          </w:tcPr>
          <w:p w14:paraId="6F3CDA6D">
            <w:pPr>
              <w:spacing w:before="40"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1.9</w:t>
            </w:r>
          </w:p>
        </w:tc>
        <w:tc>
          <w:tcPr>
            <w:tcW w:w="650" w:type="dxa"/>
            <w:vAlign w:val="top"/>
          </w:tcPr>
          <w:p w14:paraId="15E9D56B">
            <w:pPr>
              <w:spacing w:before="40"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651" w:type="dxa"/>
            <w:vAlign w:val="top"/>
          </w:tcPr>
          <w:p w14:paraId="0B40E8B2">
            <w:pPr>
              <w:spacing w:before="40"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51" w:type="dxa"/>
            <w:vAlign w:val="top"/>
          </w:tcPr>
          <w:p w14:paraId="231A8D88">
            <w:pPr>
              <w:spacing w:before="40"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28.7</w:t>
            </w:r>
          </w:p>
        </w:tc>
        <w:tc>
          <w:tcPr>
            <w:tcW w:w="656" w:type="dxa"/>
            <w:vAlign w:val="top"/>
          </w:tcPr>
          <w:p w14:paraId="1CB4B939">
            <w:pPr>
              <w:spacing w:before="40"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101.0</w:t>
            </w:r>
          </w:p>
        </w:tc>
      </w:tr>
    </w:tbl>
    <w:p w14:paraId="05FDC50D">
      <w:pPr>
        <w:spacing w:before="138" w:line="229" w:lineRule="auto"/>
        <w:ind w:left="3372"/>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5"/>
          <w:sz w:val="20"/>
          <w:szCs w:val="20"/>
        </w:rPr>
        <w:t xml:space="preserve">4.3-6 </w:t>
      </w:r>
      <w:r>
        <w:rPr>
          <w:rFonts w:ascii="宋体" w:hAnsi="宋体" w:eastAsia="宋体" w:cs="宋体"/>
          <w:b/>
          <w:bCs/>
          <w:spacing w:val="5"/>
          <w:sz w:val="20"/>
          <w:szCs w:val="20"/>
        </w:rPr>
        <w:t>大气监测结果表</w:t>
      </w:r>
    </w:p>
    <w:p w14:paraId="4852BF50">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1155"/>
        <w:gridCol w:w="1668"/>
        <w:gridCol w:w="1684"/>
        <w:gridCol w:w="1684"/>
        <w:gridCol w:w="1689"/>
      </w:tblGrid>
      <w:tr w14:paraId="3CF67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070" w:type="dxa"/>
            <w:vMerge w:val="restart"/>
            <w:tcBorders>
              <w:bottom w:val="nil"/>
            </w:tcBorders>
            <w:vAlign w:val="top"/>
          </w:tcPr>
          <w:p w14:paraId="12D180F3">
            <w:pPr>
              <w:spacing w:line="250" w:lineRule="auto"/>
              <w:rPr>
                <w:rFonts w:ascii="Arial"/>
                <w:sz w:val="21"/>
              </w:rPr>
            </w:pPr>
          </w:p>
          <w:p w14:paraId="064F1581">
            <w:pPr>
              <w:pStyle w:val="6"/>
              <w:spacing w:before="65" w:line="229" w:lineRule="auto"/>
              <w:ind w:left="122"/>
            </w:pPr>
            <w:r>
              <w:rPr>
                <w:b/>
                <w:bCs/>
                <w:spacing w:val="6"/>
              </w:rPr>
              <w:t>监测点位</w:t>
            </w:r>
          </w:p>
        </w:tc>
        <w:tc>
          <w:tcPr>
            <w:tcW w:w="2823" w:type="dxa"/>
            <w:gridSpan w:val="2"/>
            <w:vMerge w:val="restart"/>
            <w:tcBorders>
              <w:bottom w:val="nil"/>
            </w:tcBorders>
            <w:vAlign w:val="top"/>
          </w:tcPr>
          <w:p w14:paraId="15A94AA5">
            <w:pPr>
              <w:spacing w:line="250" w:lineRule="auto"/>
              <w:rPr>
                <w:rFonts w:ascii="Arial"/>
                <w:sz w:val="21"/>
              </w:rPr>
            </w:pPr>
          </w:p>
          <w:p w14:paraId="063FB610">
            <w:pPr>
              <w:pStyle w:val="6"/>
              <w:spacing w:before="65" w:line="227" w:lineRule="auto"/>
              <w:ind w:left="994"/>
            </w:pPr>
            <w:r>
              <w:rPr>
                <w:b/>
                <w:bCs/>
                <w:spacing w:val="6"/>
              </w:rPr>
              <w:t>采样时间</w:t>
            </w:r>
          </w:p>
        </w:tc>
        <w:tc>
          <w:tcPr>
            <w:tcW w:w="5057" w:type="dxa"/>
            <w:gridSpan w:val="3"/>
            <w:vAlign w:val="top"/>
          </w:tcPr>
          <w:p w14:paraId="5F8AC11D">
            <w:pPr>
              <w:pStyle w:val="6"/>
              <w:spacing w:before="34" w:line="217" w:lineRule="auto"/>
              <w:ind w:left="354"/>
            </w:pPr>
            <w:r>
              <w:rPr>
                <w:b/>
                <w:bCs/>
                <w:spacing w:val="6"/>
              </w:rPr>
              <w:t>监测结果（单位：</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6"/>
                <w:sz w:val="13"/>
                <w:szCs w:val="13"/>
              </w:rPr>
              <w:t>3</w:t>
            </w:r>
            <w:r>
              <w:rPr>
                <w:rFonts w:ascii="Times New Roman" w:hAnsi="Times New Roman" w:eastAsia="Times New Roman" w:cs="Times New Roman"/>
                <w:b/>
                <w:bCs/>
                <w:spacing w:val="1"/>
                <w:position w:val="6"/>
                <w:sz w:val="13"/>
                <w:szCs w:val="13"/>
              </w:rPr>
              <w:t xml:space="preserve"> </w:t>
            </w:r>
            <w:r>
              <w:rPr>
                <w:b/>
                <w:bCs/>
                <w:spacing w:val="6"/>
              </w:rPr>
              <w:t>，臭气浓度为无量纲）</w:t>
            </w:r>
          </w:p>
        </w:tc>
      </w:tr>
      <w:tr w14:paraId="0939A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70" w:type="dxa"/>
            <w:vMerge w:val="continue"/>
            <w:tcBorders>
              <w:top w:val="nil"/>
              <w:bottom w:val="nil"/>
            </w:tcBorders>
            <w:vAlign w:val="top"/>
          </w:tcPr>
          <w:p w14:paraId="2B0A535A">
            <w:pPr>
              <w:rPr>
                <w:rFonts w:ascii="Arial"/>
                <w:sz w:val="21"/>
              </w:rPr>
            </w:pPr>
          </w:p>
        </w:tc>
        <w:tc>
          <w:tcPr>
            <w:tcW w:w="2823" w:type="dxa"/>
            <w:gridSpan w:val="2"/>
            <w:vMerge w:val="continue"/>
            <w:tcBorders>
              <w:top w:val="nil"/>
              <w:bottom w:val="nil"/>
            </w:tcBorders>
            <w:vAlign w:val="top"/>
          </w:tcPr>
          <w:p w14:paraId="00BCEF0F">
            <w:pPr>
              <w:rPr>
                <w:rFonts w:ascii="Arial"/>
                <w:sz w:val="21"/>
              </w:rPr>
            </w:pPr>
          </w:p>
        </w:tc>
        <w:tc>
          <w:tcPr>
            <w:tcW w:w="1684" w:type="dxa"/>
            <w:vAlign w:val="top"/>
          </w:tcPr>
          <w:p w14:paraId="7F5BD4CA">
            <w:pPr>
              <w:spacing w:before="68" w:line="201" w:lineRule="auto"/>
              <w:ind w:left="671"/>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H</w:t>
            </w:r>
            <w:r>
              <w:rPr>
                <w:rFonts w:ascii="Times New Roman" w:hAnsi="Times New Roman" w:eastAsia="Times New Roman" w:cs="Times New Roman"/>
                <w:b/>
                <w:bCs/>
                <w:spacing w:val="3"/>
                <w:position w:val="-1"/>
                <w:sz w:val="13"/>
                <w:szCs w:val="13"/>
              </w:rPr>
              <w:t>2</w:t>
            </w:r>
            <w:r>
              <w:rPr>
                <w:rFonts w:ascii="Times New Roman" w:hAnsi="Times New Roman" w:eastAsia="Times New Roman" w:cs="Times New Roman"/>
                <w:b/>
                <w:bCs/>
                <w:spacing w:val="3"/>
                <w:sz w:val="20"/>
                <w:szCs w:val="20"/>
              </w:rPr>
              <w:t>S</w:t>
            </w:r>
          </w:p>
        </w:tc>
        <w:tc>
          <w:tcPr>
            <w:tcW w:w="1684" w:type="dxa"/>
            <w:vAlign w:val="top"/>
          </w:tcPr>
          <w:p w14:paraId="4E5AB953">
            <w:pPr>
              <w:spacing w:before="71" w:line="198" w:lineRule="auto"/>
              <w:ind w:left="652"/>
              <w:rPr>
                <w:rFonts w:ascii="Times New Roman" w:hAnsi="Times New Roman" w:eastAsia="Times New Roman" w:cs="Times New Roman"/>
                <w:sz w:val="13"/>
                <w:szCs w:val="13"/>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14"/>
                <w:position w:val="-1"/>
                <w:sz w:val="13"/>
                <w:szCs w:val="13"/>
              </w:rPr>
              <w:t>3</w:t>
            </w:r>
          </w:p>
        </w:tc>
        <w:tc>
          <w:tcPr>
            <w:tcW w:w="1689" w:type="dxa"/>
            <w:vAlign w:val="top"/>
          </w:tcPr>
          <w:p w14:paraId="7E21D005">
            <w:pPr>
              <w:pStyle w:val="6"/>
              <w:spacing w:before="31" w:line="216" w:lineRule="auto"/>
              <w:ind w:left="430"/>
            </w:pPr>
            <w:r>
              <w:rPr>
                <w:b/>
                <w:bCs/>
                <w:spacing w:val="6"/>
              </w:rPr>
              <w:t>臭气浓度</w:t>
            </w:r>
          </w:p>
        </w:tc>
      </w:tr>
      <w:tr w14:paraId="025A3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070" w:type="dxa"/>
            <w:vMerge w:val="continue"/>
            <w:tcBorders>
              <w:top w:val="nil"/>
            </w:tcBorders>
            <w:vAlign w:val="top"/>
          </w:tcPr>
          <w:p w14:paraId="7D98F909">
            <w:pPr>
              <w:rPr>
                <w:rFonts w:ascii="Arial"/>
                <w:sz w:val="21"/>
              </w:rPr>
            </w:pPr>
          </w:p>
        </w:tc>
        <w:tc>
          <w:tcPr>
            <w:tcW w:w="2823" w:type="dxa"/>
            <w:gridSpan w:val="2"/>
            <w:vMerge w:val="continue"/>
            <w:tcBorders>
              <w:top w:val="nil"/>
            </w:tcBorders>
            <w:vAlign w:val="top"/>
          </w:tcPr>
          <w:p w14:paraId="74D80BB8">
            <w:pPr>
              <w:rPr>
                <w:rFonts w:ascii="Arial"/>
                <w:sz w:val="21"/>
              </w:rPr>
            </w:pPr>
          </w:p>
        </w:tc>
        <w:tc>
          <w:tcPr>
            <w:tcW w:w="1684" w:type="dxa"/>
            <w:vAlign w:val="top"/>
          </w:tcPr>
          <w:p w14:paraId="217BD4C7">
            <w:pPr>
              <w:pStyle w:val="6"/>
              <w:spacing w:before="31" w:line="216" w:lineRule="auto"/>
              <w:ind w:left="506"/>
            </w:pPr>
            <w:r>
              <w:rPr>
                <w:rFonts w:ascii="Times New Roman" w:hAnsi="Times New Roman" w:eastAsia="Times New Roman" w:cs="Times New Roman"/>
                <w:b/>
                <w:bCs/>
              </w:rPr>
              <w:t>1h</w:t>
            </w:r>
            <w:r>
              <w:rPr>
                <w:rFonts w:ascii="Times New Roman" w:hAnsi="Times New Roman" w:eastAsia="Times New Roman" w:cs="Times New Roman"/>
                <w:b/>
                <w:bCs/>
                <w:spacing w:val="13"/>
                <w:w w:val="101"/>
              </w:rPr>
              <w:t xml:space="preserve"> </w:t>
            </w:r>
            <w:r>
              <w:rPr>
                <w:b/>
                <w:bCs/>
              </w:rPr>
              <w:t>均值</w:t>
            </w:r>
          </w:p>
        </w:tc>
        <w:tc>
          <w:tcPr>
            <w:tcW w:w="1684" w:type="dxa"/>
            <w:vAlign w:val="top"/>
          </w:tcPr>
          <w:p w14:paraId="489B5A2D">
            <w:pPr>
              <w:pStyle w:val="6"/>
              <w:spacing w:before="31" w:line="216" w:lineRule="auto"/>
              <w:ind w:left="506"/>
            </w:pPr>
            <w:r>
              <w:rPr>
                <w:rFonts w:ascii="Times New Roman" w:hAnsi="Times New Roman" w:eastAsia="Times New Roman" w:cs="Times New Roman"/>
                <w:b/>
                <w:bCs/>
              </w:rPr>
              <w:t>1h</w:t>
            </w:r>
            <w:r>
              <w:rPr>
                <w:rFonts w:ascii="Times New Roman" w:hAnsi="Times New Roman" w:eastAsia="Times New Roman" w:cs="Times New Roman"/>
                <w:b/>
                <w:bCs/>
                <w:spacing w:val="13"/>
                <w:w w:val="101"/>
              </w:rPr>
              <w:t xml:space="preserve"> </w:t>
            </w:r>
            <w:r>
              <w:rPr>
                <w:b/>
                <w:bCs/>
              </w:rPr>
              <w:t>均值</w:t>
            </w:r>
          </w:p>
        </w:tc>
        <w:tc>
          <w:tcPr>
            <w:tcW w:w="1689" w:type="dxa"/>
            <w:vAlign w:val="top"/>
          </w:tcPr>
          <w:p w14:paraId="66055508">
            <w:pPr>
              <w:pStyle w:val="6"/>
              <w:spacing w:before="31" w:line="216" w:lineRule="auto"/>
              <w:ind w:left="507"/>
            </w:pPr>
            <w:r>
              <w:rPr>
                <w:rFonts w:ascii="Times New Roman" w:hAnsi="Times New Roman" w:eastAsia="Times New Roman" w:cs="Times New Roman"/>
                <w:b/>
                <w:bCs/>
              </w:rPr>
              <w:t>1h</w:t>
            </w:r>
            <w:r>
              <w:rPr>
                <w:rFonts w:ascii="Times New Roman" w:hAnsi="Times New Roman" w:eastAsia="Times New Roman" w:cs="Times New Roman"/>
                <w:b/>
                <w:bCs/>
                <w:spacing w:val="13"/>
                <w:w w:val="101"/>
              </w:rPr>
              <w:t xml:space="preserve"> </w:t>
            </w:r>
            <w:r>
              <w:rPr>
                <w:b/>
                <w:bCs/>
              </w:rPr>
              <w:t>均值</w:t>
            </w:r>
          </w:p>
        </w:tc>
      </w:tr>
      <w:tr w14:paraId="165FA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restart"/>
            <w:tcBorders>
              <w:bottom w:val="nil"/>
            </w:tcBorders>
            <w:vAlign w:val="top"/>
          </w:tcPr>
          <w:p w14:paraId="612C2C90">
            <w:pPr>
              <w:spacing w:line="252" w:lineRule="auto"/>
              <w:rPr>
                <w:rFonts w:ascii="Arial"/>
                <w:sz w:val="21"/>
              </w:rPr>
            </w:pPr>
          </w:p>
          <w:p w14:paraId="12E672EE">
            <w:pPr>
              <w:spacing w:line="252" w:lineRule="auto"/>
              <w:rPr>
                <w:rFonts w:ascii="Arial"/>
                <w:sz w:val="21"/>
              </w:rPr>
            </w:pPr>
          </w:p>
          <w:p w14:paraId="1B789241">
            <w:pPr>
              <w:spacing w:line="252" w:lineRule="auto"/>
              <w:rPr>
                <w:rFonts w:ascii="Arial"/>
                <w:sz w:val="21"/>
              </w:rPr>
            </w:pPr>
          </w:p>
          <w:p w14:paraId="445A1147">
            <w:pPr>
              <w:spacing w:line="252" w:lineRule="auto"/>
              <w:rPr>
                <w:rFonts w:ascii="Arial"/>
                <w:sz w:val="21"/>
              </w:rPr>
            </w:pPr>
          </w:p>
          <w:p w14:paraId="682A2DB5">
            <w:pPr>
              <w:spacing w:line="252" w:lineRule="auto"/>
              <w:rPr>
                <w:rFonts w:ascii="Arial"/>
                <w:sz w:val="21"/>
              </w:rPr>
            </w:pPr>
          </w:p>
          <w:p w14:paraId="098A6FC3">
            <w:pPr>
              <w:spacing w:line="252" w:lineRule="auto"/>
              <w:rPr>
                <w:rFonts w:ascii="Arial"/>
                <w:sz w:val="21"/>
              </w:rPr>
            </w:pPr>
          </w:p>
          <w:p w14:paraId="683B06FC">
            <w:pPr>
              <w:spacing w:line="252" w:lineRule="auto"/>
              <w:rPr>
                <w:rFonts w:ascii="Arial"/>
                <w:sz w:val="21"/>
              </w:rPr>
            </w:pPr>
          </w:p>
          <w:p w14:paraId="17DB8F36">
            <w:pPr>
              <w:spacing w:line="252" w:lineRule="auto"/>
              <w:rPr>
                <w:rFonts w:ascii="Arial"/>
                <w:sz w:val="21"/>
              </w:rPr>
            </w:pPr>
          </w:p>
          <w:p w14:paraId="746A4380">
            <w:pPr>
              <w:spacing w:line="252" w:lineRule="auto"/>
              <w:rPr>
                <w:rFonts w:ascii="Arial"/>
                <w:sz w:val="21"/>
              </w:rPr>
            </w:pPr>
          </w:p>
          <w:p w14:paraId="183F9976">
            <w:pPr>
              <w:spacing w:line="253" w:lineRule="auto"/>
              <w:rPr>
                <w:rFonts w:ascii="Arial"/>
                <w:sz w:val="21"/>
              </w:rPr>
            </w:pPr>
          </w:p>
          <w:p w14:paraId="60C6007A">
            <w:pPr>
              <w:spacing w:line="253" w:lineRule="auto"/>
              <w:rPr>
                <w:rFonts w:ascii="Arial"/>
                <w:sz w:val="21"/>
              </w:rPr>
            </w:pPr>
          </w:p>
          <w:p w14:paraId="75637086">
            <w:pPr>
              <w:pStyle w:val="6"/>
              <w:spacing w:before="65" w:line="273" w:lineRule="exact"/>
              <w:ind w:left="175"/>
            </w:pPr>
            <w:r>
              <w:rPr>
                <w:rFonts w:ascii="Times New Roman" w:hAnsi="Times New Roman" w:eastAsia="Times New Roman" w:cs="Times New Roman"/>
                <w:spacing w:val="-4"/>
                <w:position w:val="1"/>
              </w:rPr>
              <w:t>G</w:t>
            </w:r>
            <w:r>
              <w:rPr>
                <w:rFonts w:ascii="Times New Roman" w:hAnsi="Times New Roman" w:eastAsia="Times New Roman" w:cs="Times New Roman"/>
                <w:spacing w:val="-24"/>
                <w:position w:val="1"/>
              </w:rPr>
              <w:t xml:space="preserve"> </w:t>
            </w:r>
            <w:r>
              <w:rPr>
                <w:rFonts w:ascii="Times New Roman" w:hAnsi="Times New Roman" w:eastAsia="Times New Roman" w:cs="Times New Roman"/>
                <w:spacing w:val="-4"/>
                <w:position w:val="1"/>
              </w:rPr>
              <w:t>1</w:t>
            </w:r>
            <w:r>
              <w:rPr>
                <w:rFonts w:ascii="Times New Roman" w:hAnsi="Times New Roman" w:eastAsia="Times New Roman" w:cs="Times New Roman"/>
                <w:spacing w:val="14"/>
                <w:w w:val="101"/>
                <w:position w:val="1"/>
              </w:rPr>
              <w:t xml:space="preserve"> </w:t>
            </w:r>
            <w:r>
              <w:rPr>
                <w:spacing w:val="-4"/>
                <w:position w:val="1"/>
              </w:rPr>
              <w:t>龙岗</w:t>
            </w:r>
          </w:p>
          <w:p w14:paraId="05A1710B">
            <w:pPr>
              <w:pStyle w:val="6"/>
              <w:spacing w:before="27" w:line="227" w:lineRule="auto"/>
              <w:ind w:left="436"/>
            </w:pPr>
            <w:r>
              <w:t>村</w:t>
            </w:r>
          </w:p>
        </w:tc>
        <w:tc>
          <w:tcPr>
            <w:tcW w:w="1155" w:type="dxa"/>
            <w:vMerge w:val="restart"/>
            <w:tcBorders>
              <w:bottom w:val="nil"/>
            </w:tcBorders>
            <w:vAlign w:val="top"/>
          </w:tcPr>
          <w:p w14:paraId="362B1138">
            <w:pPr>
              <w:spacing w:line="304" w:lineRule="auto"/>
              <w:rPr>
                <w:rFonts w:ascii="Arial"/>
                <w:sz w:val="21"/>
              </w:rPr>
            </w:pPr>
          </w:p>
          <w:p w14:paraId="3D72C1A5">
            <w:pPr>
              <w:spacing w:before="57" w:line="273"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2020.11.10</w:t>
            </w:r>
          </w:p>
        </w:tc>
        <w:tc>
          <w:tcPr>
            <w:tcW w:w="1668" w:type="dxa"/>
            <w:vAlign w:val="top"/>
          </w:tcPr>
          <w:p w14:paraId="75B77AD8">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02:00~03:00</w:t>
            </w:r>
          </w:p>
        </w:tc>
        <w:tc>
          <w:tcPr>
            <w:tcW w:w="1684" w:type="dxa"/>
            <w:vAlign w:val="top"/>
          </w:tcPr>
          <w:p w14:paraId="740CBF2D">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30CB12B5">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1689" w:type="dxa"/>
            <w:vAlign w:val="top"/>
          </w:tcPr>
          <w:p w14:paraId="636B070A">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469D2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59CFD20D">
            <w:pPr>
              <w:rPr>
                <w:rFonts w:ascii="Arial"/>
                <w:sz w:val="21"/>
              </w:rPr>
            </w:pPr>
          </w:p>
        </w:tc>
        <w:tc>
          <w:tcPr>
            <w:tcW w:w="1155" w:type="dxa"/>
            <w:vMerge w:val="continue"/>
            <w:tcBorders>
              <w:top w:val="nil"/>
              <w:bottom w:val="nil"/>
            </w:tcBorders>
            <w:vAlign w:val="top"/>
          </w:tcPr>
          <w:p w14:paraId="5AFE333F">
            <w:pPr>
              <w:rPr>
                <w:rFonts w:ascii="Arial"/>
                <w:sz w:val="21"/>
              </w:rPr>
            </w:pPr>
          </w:p>
        </w:tc>
        <w:tc>
          <w:tcPr>
            <w:tcW w:w="1668" w:type="dxa"/>
            <w:vAlign w:val="top"/>
          </w:tcPr>
          <w:p w14:paraId="7A1D0DF6">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08:00~09:00</w:t>
            </w:r>
          </w:p>
        </w:tc>
        <w:tc>
          <w:tcPr>
            <w:tcW w:w="1684" w:type="dxa"/>
            <w:vAlign w:val="top"/>
          </w:tcPr>
          <w:p w14:paraId="5434BF50">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7C0C4ECC">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1689" w:type="dxa"/>
            <w:vAlign w:val="top"/>
          </w:tcPr>
          <w:p w14:paraId="6E878493">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01157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05527989">
            <w:pPr>
              <w:rPr>
                <w:rFonts w:ascii="Arial"/>
                <w:sz w:val="21"/>
              </w:rPr>
            </w:pPr>
          </w:p>
        </w:tc>
        <w:tc>
          <w:tcPr>
            <w:tcW w:w="1155" w:type="dxa"/>
            <w:vMerge w:val="continue"/>
            <w:tcBorders>
              <w:top w:val="nil"/>
              <w:bottom w:val="nil"/>
            </w:tcBorders>
            <w:vAlign w:val="top"/>
          </w:tcPr>
          <w:p w14:paraId="66C20709">
            <w:pPr>
              <w:rPr>
                <w:rFonts w:ascii="Arial"/>
                <w:sz w:val="21"/>
              </w:rPr>
            </w:pPr>
          </w:p>
        </w:tc>
        <w:tc>
          <w:tcPr>
            <w:tcW w:w="1668" w:type="dxa"/>
            <w:vAlign w:val="top"/>
          </w:tcPr>
          <w:p w14:paraId="1E00FEA0">
            <w:pPr>
              <w:spacing w:line="235" w:lineRule="exact"/>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14:00~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15:00</w:t>
            </w:r>
          </w:p>
        </w:tc>
        <w:tc>
          <w:tcPr>
            <w:tcW w:w="1684" w:type="dxa"/>
            <w:vAlign w:val="top"/>
          </w:tcPr>
          <w:p w14:paraId="1BB2739F">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6C326117">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1689" w:type="dxa"/>
            <w:vAlign w:val="top"/>
          </w:tcPr>
          <w:p w14:paraId="23D8D5FC">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4B0A0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2DD0B787">
            <w:pPr>
              <w:rPr>
                <w:rFonts w:ascii="Arial"/>
                <w:sz w:val="21"/>
              </w:rPr>
            </w:pPr>
          </w:p>
        </w:tc>
        <w:tc>
          <w:tcPr>
            <w:tcW w:w="1155" w:type="dxa"/>
            <w:vMerge w:val="continue"/>
            <w:tcBorders>
              <w:top w:val="nil"/>
            </w:tcBorders>
            <w:vAlign w:val="top"/>
          </w:tcPr>
          <w:p w14:paraId="4C7D7604">
            <w:pPr>
              <w:rPr>
                <w:rFonts w:ascii="Arial"/>
                <w:sz w:val="21"/>
              </w:rPr>
            </w:pPr>
          </w:p>
        </w:tc>
        <w:tc>
          <w:tcPr>
            <w:tcW w:w="1668" w:type="dxa"/>
            <w:vAlign w:val="top"/>
          </w:tcPr>
          <w:p w14:paraId="0587DCBD">
            <w:pPr>
              <w:spacing w:line="235"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20:00~21:00</w:t>
            </w:r>
          </w:p>
        </w:tc>
        <w:tc>
          <w:tcPr>
            <w:tcW w:w="1684" w:type="dxa"/>
            <w:vAlign w:val="top"/>
          </w:tcPr>
          <w:p w14:paraId="75E3C05E">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495E9E9">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689" w:type="dxa"/>
            <w:vAlign w:val="top"/>
          </w:tcPr>
          <w:p w14:paraId="0DB0A6AE">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37611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5973E798">
            <w:pPr>
              <w:rPr>
                <w:rFonts w:ascii="Arial"/>
                <w:sz w:val="21"/>
              </w:rPr>
            </w:pPr>
          </w:p>
        </w:tc>
        <w:tc>
          <w:tcPr>
            <w:tcW w:w="1155" w:type="dxa"/>
            <w:vMerge w:val="restart"/>
            <w:tcBorders>
              <w:bottom w:val="nil"/>
            </w:tcBorders>
            <w:vAlign w:val="top"/>
          </w:tcPr>
          <w:p w14:paraId="61D8DDDF">
            <w:pPr>
              <w:spacing w:line="301" w:lineRule="auto"/>
              <w:rPr>
                <w:rFonts w:ascii="Arial"/>
                <w:sz w:val="21"/>
              </w:rPr>
            </w:pPr>
          </w:p>
          <w:p w14:paraId="32571BF5">
            <w:pPr>
              <w:spacing w:before="57" w:line="273" w:lineRule="exact"/>
              <w:ind w:left="1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2020.11.11</w:t>
            </w:r>
          </w:p>
        </w:tc>
        <w:tc>
          <w:tcPr>
            <w:tcW w:w="1668" w:type="dxa"/>
            <w:vAlign w:val="top"/>
          </w:tcPr>
          <w:p w14:paraId="783453E1">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02:00~03:00</w:t>
            </w:r>
          </w:p>
        </w:tc>
        <w:tc>
          <w:tcPr>
            <w:tcW w:w="1684" w:type="dxa"/>
            <w:vAlign w:val="top"/>
          </w:tcPr>
          <w:p w14:paraId="2AA8578F">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5F6E72E5">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1689" w:type="dxa"/>
            <w:vAlign w:val="top"/>
          </w:tcPr>
          <w:p w14:paraId="6A03BC26">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159E6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 w:hRule="atLeast"/>
        </w:trPr>
        <w:tc>
          <w:tcPr>
            <w:tcW w:w="1070" w:type="dxa"/>
            <w:vMerge w:val="continue"/>
            <w:tcBorders>
              <w:top w:val="nil"/>
              <w:bottom w:val="nil"/>
            </w:tcBorders>
            <w:vAlign w:val="top"/>
          </w:tcPr>
          <w:p w14:paraId="4A5354AA">
            <w:pPr>
              <w:rPr>
                <w:rFonts w:ascii="Arial"/>
                <w:sz w:val="21"/>
              </w:rPr>
            </w:pPr>
          </w:p>
        </w:tc>
        <w:tc>
          <w:tcPr>
            <w:tcW w:w="1155" w:type="dxa"/>
            <w:vMerge w:val="continue"/>
            <w:tcBorders>
              <w:top w:val="nil"/>
              <w:bottom w:val="nil"/>
            </w:tcBorders>
            <w:vAlign w:val="top"/>
          </w:tcPr>
          <w:p w14:paraId="17755343">
            <w:pPr>
              <w:rPr>
                <w:rFonts w:ascii="Arial"/>
                <w:sz w:val="21"/>
              </w:rPr>
            </w:pPr>
          </w:p>
        </w:tc>
        <w:tc>
          <w:tcPr>
            <w:tcW w:w="1668" w:type="dxa"/>
            <w:vAlign w:val="top"/>
          </w:tcPr>
          <w:p w14:paraId="36C9118E">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08:00~09:00</w:t>
            </w:r>
          </w:p>
        </w:tc>
        <w:tc>
          <w:tcPr>
            <w:tcW w:w="1684" w:type="dxa"/>
            <w:vAlign w:val="top"/>
          </w:tcPr>
          <w:p w14:paraId="34381CC3">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3D57BCF8">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1689" w:type="dxa"/>
            <w:vAlign w:val="top"/>
          </w:tcPr>
          <w:p w14:paraId="7CE0A491">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23F43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5FDE01C9">
            <w:pPr>
              <w:rPr>
                <w:rFonts w:ascii="Arial"/>
                <w:sz w:val="21"/>
              </w:rPr>
            </w:pPr>
          </w:p>
        </w:tc>
        <w:tc>
          <w:tcPr>
            <w:tcW w:w="1155" w:type="dxa"/>
            <w:vMerge w:val="continue"/>
            <w:tcBorders>
              <w:top w:val="nil"/>
              <w:bottom w:val="nil"/>
            </w:tcBorders>
            <w:vAlign w:val="top"/>
          </w:tcPr>
          <w:p w14:paraId="1B6D0612">
            <w:pPr>
              <w:rPr>
                <w:rFonts w:ascii="Arial"/>
                <w:sz w:val="21"/>
              </w:rPr>
            </w:pPr>
          </w:p>
        </w:tc>
        <w:tc>
          <w:tcPr>
            <w:tcW w:w="1668" w:type="dxa"/>
            <w:vAlign w:val="top"/>
          </w:tcPr>
          <w:p w14:paraId="44746966">
            <w:pPr>
              <w:spacing w:line="235" w:lineRule="exact"/>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14:00~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15:00</w:t>
            </w:r>
          </w:p>
        </w:tc>
        <w:tc>
          <w:tcPr>
            <w:tcW w:w="1684" w:type="dxa"/>
            <w:vAlign w:val="top"/>
          </w:tcPr>
          <w:p w14:paraId="2B82A200">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5EC1D04E">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1689" w:type="dxa"/>
            <w:vAlign w:val="top"/>
          </w:tcPr>
          <w:p w14:paraId="536472CE">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44ABF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3DFAEE74">
            <w:pPr>
              <w:rPr>
                <w:rFonts w:ascii="Arial"/>
                <w:sz w:val="21"/>
              </w:rPr>
            </w:pPr>
          </w:p>
        </w:tc>
        <w:tc>
          <w:tcPr>
            <w:tcW w:w="1155" w:type="dxa"/>
            <w:vMerge w:val="continue"/>
            <w:tcBorders>
              <w:top w:val="nil"/>
            </w:tcBorders>
            <w:vAlign w:val="top"/>
          </w:tcPr>
          <w:p w14:paraId="1CBA1825">
            <w:pPr>
              <w:rPr>
                <w:rFonts w:ascii="Arial"/>
                <w:sz w:val="21"/>
              </w:rPr>
            </w:pPr>
          </w:p>
        </w:tc>
        <w:tc>
          <w:tcPr>
            <w:tcW w:w="1668" w:type="dxa"/>
            <w:vAlign w:val="top"/>
          </w:tcPr>
          <w:p w14:paraId="501EF9AC">
            <w:pPr>
              <w:spacing w:line="235"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20:00~21:00</w:t>
            </w:r>
          </w:p>
        </w:tc>
        <w:tc>
          <w:tcPr>
            <w:tcW w:w="1684" w:type="dxa"/>
            <w:vAlign w:val="top"/>
          </w:tcPr>
          <w:p w14:paraId="2FF65170">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D6408A7">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1689" w:type="dxa"/>
            <w:vAlign w:val="top"/>
          </w:tcPr>
          <w:p w14:paraId="6A63DBA9">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01F3E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31EC1D13">
            <w:pPr>
              <w:rPr>
                <w:rFonts w:ascii="Arial"/>
                <w:sz w:val="21"/>
              </w:rPr>
            </w:pPr>
          </w:p>
        </w:tc>
        <w:tc>
          <w:tcPr>
            <w:tcW w:w="1155" w:type="dxa"/>
            <w:vMerge w:val="restart"/>
            <w:tcBorders>
              <w:bottom w:val="nil"/>
            </w:tcBorders>
            <w:vAlign w:val="top"/>
          </w:tcPr>
          <w:p w14:paraId="5C7B76DD">
            <w:pPr>
              <w:spacing w:line="304" w:lineRule="auto"/>
              <w:rPr>
                <w:rFonts w:ascii="Arial"/>
                <w:sz w:val="21"/>
              </w:rPr>
            </w:pPr>
          </w:p>
          <w:p w14:paraId="0DBDD59B">
            <w:pPr>
              <w:spacing w:before="57" w:line="273"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2020.11.12</w:t>
            </w:r>
          </w:p>
        </w:tc>
        <w:tc>
          <w:tcPr>
            <w:tcW w:w="1668" w:type="dxa"/>
            <w:vAlign w:val="top"/>
          </w:tcPr>
          <w:p w14:paraId="61A3B38D">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02:00~03:00</w:t>
            </w:r>
          </w:p>
        </w:tc>
        <w:tc>
          <w:tcPr>
            <w:tcW w:w="1684" w:type="dxa"/>
            <w:vAlign w:val="top"/>
          </w:tcPr>
          <w:p w14:paraId="7DBD5E92">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4D405D31">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1689" w:type="dxa"/>
            <w:vAlign w:val="top"/>
          </w:tcPr>
          <w:p w14:paraId="6EBD43EC">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01D91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416371F7">
            <w:pPr>
              <w:rPr>
                <w:rFonts w:ascii="Arial"/>
                <w:sz w:val="21"/>
              </w:rPr>
            </w:pPr>
          </w:p>
        </w:tc>
        <w:tc>
          <w:tcPr>
            <w:tcW w:w="1155" w:type="dxa"/>
            <w:vMerge w:val="continue"/>
            <w:tcBorders>
              <w:top w:val="nil"/>
              <w:bottom w:val="nil"/>
            </w:tcBorders>
            <w:vAlign w:val="top"/>
          </w:tcPr>
          <w:p w14:paraId="741F0BC4">
            <w:pPr>
              <w:rPr>
                <w:rFonts w:ascii="Arial"/>
                <w:sz w:val="21"/>
              </w:rPr>
            </w:pPr>
          </w:p>
        </w:tc>
        <w:tc>
          <w:tcPr>
            <w:tcW w:w="1668" w:type="dxa"/>
            <w:vAlign w:val="top"/>
          </w:tcPr>
          <w:p w14:paraId="2774A59D">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08:00~09:00</w:t>
            </w:r>
          </w:p>
        </w:tc>
        <w:tc>
          <w:tcPr>
            <w:tcW w:w="1684" w:type="dxa"/>
            <w:vAlign w:val="top"/>
          </w:tcPr>
          <w:p w14:paraId="08330DDF">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7980DF3A">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1689" w:type="dxa"/>
            <w:vAlign w:val="top"/>
          </w:tcPr>
          <w:p w14:paraId="73B07E16">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18EBC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7F8B9250">
            <w:pPr>
              <w:rPr>
                <w:rFonts w:ascii="Arial"/>
                <w:sz w:val="21"/>
              </w:rPr>
            </w:pPr>
          </w:p>
        </w:tc>
        <w:tc>
          <w:tcPr>
            <w:tcW w:w="1155" w:type="dxa"/>
            <w:vMerge w:val="continue"/>
            <w:tcBorders>
              <w:top w:val="nil"/>
              <w:bottom w:val="nil"/>
            </w:tcBorders>
            <w:vAlign w:val="top"/>
          </w:tcPr>
          <w:p w14:paraId="247DCB39">
            <w:pPr>
              <w:rPr>
                <w:rFonts w:ascii="Arial"/>
                <w:sz w:val="21"/>
              </w:rPr>
            </w:pPr>
          </w:p>
        </w:tc>
        <w:tc>
          <w:tcPr>
            <w:tcW w:w="1668" w:type="dxa"/>
            <w:vAlign w:val="top"/>
          </w:tcPr>
          <w:p w14:paraId="4BB50107">
            <w:pPr>
              <w:spacing w:line="235" w:lineRule="exact"/>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14:00~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15:00</w:t>
            </w:r>
          </w:p>
        </w:tc>
        <w:tc>
          <w:tcPr>
            <w:tcW w:w="1684" w:type="dxa"/>
            <w:vAlign w:val="top"/>
          </w:tcPr>
          <w:p w14:paraId="5E5FA0DC">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6C9F25EC">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1689" w:type="dxa"/>
            <w:vAlign w:val="top"/>
          </w:tcPr>
          <w:p w14:paraId="69DC6D20">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2A82D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7459BAA0">
            <w:pPr>
              <w:rPr>
                <w:rFonts w:ascii="Arial"/>
                <w:sz w:val="21"/>
              </w:rPr>
            </w:pPr>
          </w:p>
        </w:tc>
        <w:tc>
          <w:tcPr>
            <w:tcW w:w="1155" w:type="dxa"/>
            <w:vMerge w:val="continue"/>
            <w:tcBorders>
              <w:top w:val="nil"/>
            </w:tcBorders>
            <w:vAlign w:val="top"/>
          </w:tcPr>
          <w:p w14:paraId="390FF84E">
            <w:pPr>
              <w:rPr>
                <w:rFonts w:ascii="Arial"/>
                <w:sz w:val="21"/>
              </w:rPr>
            </w:pPr>
          </w:p>
        </w:tc>
        <w:tc>
          <w:tcPr>
            <w:tcW w:w="1668" w:type="dxa"/>
            <w:vAlign w:val="top"/>
          </w:tcPr>
          <w:p w14:paraId="4B24FD07">
            <w:pPr>
              <w:spacing w:line="236"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20:00~21:00</w:t>
            </w:r>
          </w:p>
        </w:tc>
        <w:tc>
          <w:tcPr>
            <w:tcW w:w="1684" w:type="dxa"/>
            <w:vAlign w:val="top"/>
          </w:tcPr>
          <w:p w14:paraId="3FDF0DBB">
            <w:pPr>
              <w:spacing w:line="236"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3EDBD90">
            <w:pPr>
              <w:spacing w:line="236"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1689" w:type="dxa"/>
            <w:vAlign w:val="top"/>
          </w:tcPr>
          <w:p w14:paraId="696FDF93">
            <w:pPr>
              <w:spacing w:line="236"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6AEEC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3302B16B">
            <w:pPr>
              <w:rPr>
                <w:rFonts w:ascii="Arial"/>
                <w:sz w:val="21"/>
              </w:rPr>
            </w:pPr>
          </w:p>
        </w:tc>
        <w:tc>
          <w:tcPr>
            <w:tcW w:w="1155" w:type="dxa"/>
            <w:vMerge w:val="restart"/>
            <w:tcBorders>
              <w:bottom w:val="nil"/>
            </w:tcBorders>
            <w:vAlign w:val="top"/>
          </w:tcPr>
          <w:p w14:paraId="4DFA69BC">
            <w:pPr>
              <w:spacing w:line="303" w:lineRule="auto"/>
              <w:rPr>
                <w:rFonts w:ascii="Arial"/>
                <w:sz w:val="21"/>
              </w:rPr>
            </w:pPr>
          </w:p>
          <w:p w14:paraId="75DF68C8">
            <w:pPr>
              <w:spacing w:before="58" w:line="273"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2020.11.13</w:t>
            </w:r>
          </w:p>
        </w:tc>
        <w:tc>
          <w:tcPr>
            <w:tcW w:w="1668" w:type="dxa"/>
            <w:vAlign w:val="top"/>
          </w:tcPr>
          <w:p w14:paraId="6655004C">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02:00~03:00</w:t>
            </w:r>
          </w:p>
        </w:tc>
        <w:tc>
          <w:tcPr>
            <w:tcW w:w="1684" w:type="dxa"/>
            <w:vAlign w:val="top"/>
          </w:tcPr>
          <w:p w14:paraId="2DB654BE">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6D461FF1">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0.12</w:t>
            </w:r>
          </w:p>
        </w:tc>
        <w:tc>
          <w:tcPr>
            <w:tcW w:w="1689" w:type="dxa"/>
            <w:vAlign w:val="top"/>
          </w:tcPr>
          <w:p w14:paraId="75979F0E">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29F78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724ACB0D">
            <w:pPr>
              <w:rPr>
                <w:rFonts w:ascii="Arial"/>
                <w:sz w:val="21"/>
              </w:rPr>
            </w:pPr>
          </w:p>
        </w:tc>
        <w:tc>
          <w:tcPr>
            <w:tcW w:w="1155" w:type="dxa"/>
            <w:vMerge w:val="continue"/>
            <w:tcBorders>
              <w:top w:val="nil"/>
              <w:bottom w:val="nil"/>
            </w:tcBorders>
            <w:vAlign w:val="top"/>
          </w:tcPr>
          <w:p w14:paraId="7D2C0615">
            <w:pPr>
              <w:rPr>
                <w:rFonts w:ascii="Arial"/>
                <w:sz w:val="21"/>
              </w:rPr>
            </w:pPr>
          </w:p>
        </w:tc>
        <w:tc>
          <w:tcPr>
            <w:tcW w:w="1668" w:type="dxa"/>
            <w:vAlign w:val="top"/>
          </w:tcPr>
          <w:p w14:paraId="34BEC7E6">
            <w:pPr>
              <w:spacing w:line="236"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08:00~09:00</w:t>
            </w:r>
          </w:p>
        </w:tc>
        <w:tc>
          <w:tcPr>
            <w:tcW w:w="1684" w:type="dxa"/>
            <w:vAlign w:val="top"/>
          </w:tcPr>
          <w:p w14:paraId="6F4D66F1">
            <w:pPr>
              <w:spacing w:line="236"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5EEB8E3">
            <w:pPr>
              <w:spacing w:line="236"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689" w:type="dxa"/>
            <w:vAlign w:val="top"/>
          </w:tcPr>
          <w:p w14:paraId="66CEDB72">
            <w:pPr>
              <w:spacing w:line="236"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0B710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664435D7">
            <w:pPr>
              <w:rPr>
                <w:rFonts w:ascii="Arial"/>
                <w:sz w:val="21"/>
              </w:rPr>
            </w:pPr>
          </w:p>
        </w:tc>
        <w:tc>
          <w:tcPr>
            <w:tcW w:w="1155" w:type="dxa"/>
            <w:vMerge w:val="continue"/>
            <w:tcBorders>
              <w:top w:val="nil"/>
              <w:bottom w:val="nil"/>
            </w:tcBorders>
            <w:vAlign w:val="top"/>
          </w:tcPr>
          <w:p w14:paraId="1EB9F6C6">
            <w:pPr>
              <w:rPr>
                <w:rFonts w:ascii="Arial"/>
                <w:sz w:val="21"/>
              </w:rPr>
            </w:pPr>
          </w:p>
        </w:tc>
        <w:tc>
          <w:tcPr>
            <w:tcW w:w="1668" w:type="dxa"/>
            <w:vAlign w:val="top"/>
          </w:tcPr>
          <w:p w14:paraId="0EA12311">
            <w:pPr>
              <w:spacing w:line="235" w:lineRule="exact"/>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14:00~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15:00</w:t>
            </w:r>
          </w:p>
        </w:tc>
        <w:tc>
          <w:tcPr>
            <w:tcW w:w="1684" w:type="dxa"/>
            <w:vAlign w:val="top"/>
          </w:tcPr>
          <w:p w14:paraId="22AFA09F">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48D691D">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689" w:type="dxa"/>
            <w:vAlign w:val="top"/>
          </w:tcPr>
          <w:p w14:paraId="7A2E9AF5">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3E332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74FF9655">
            <w:pPr>
              <w:rPr>
                <w:rFonts w:ascii="Arial"/>
                <w:sz w:val="21"/>
              </w:rPr>
            </w:pPr>
          </w:p>
        </w:tc>
        <w:tc>
          <w:tcPr>
            <w:tcW w:w="1155" w:type="dxa"/>
            <w:vMerge w:val="continue"/>
            <w:tcBorders>
              <w:top w:val="nil"/>
            </w:tcBorders>
            <w:vAlign w:val="top"/>
          </w:tcPr>
          <w:p w14:paraId="4294B0D2">
            <w:pPr>
              <w:rPr>
                <w:rFonts w:ascii="Arial"/>
                <w:sz w:val="21"/>
              </w:rPr>
            </w:pPr>
          </w:p>
        </w:tc>
        <w:tc>
          <w:tcPr>
            <w:tcW w:w="1668" w:type="dxa"/>
            <w:vAlign w:val="top"/>
          </w:tcPr>
          <w:p w14:paraId="11B971B4">
            <w:pPr>
              <w:spacing w:line="236"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20:00~21:00</w:t>
            </w:r>
          </w:p>
        </w:tc>
        <w:tc>
          <w:tcPr>
            <w:tcW w:w="1684" w:type="dxa"/>
            <w:vAlign w:val="top"/>
          </w:tcPr>
          <w:p w14:paraId="5D007D04">
            <w:pPr>
              <w:spacing w:line="236"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EA92A8B">
            <w:pPr>
              <w:spacing w:line="236"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0.11</w:t>
            </w:r>
          </w:p>
        </w:tc>
        <w:tc>
          <w:tcPr>
            <w:tcW w:w="1689" w:type="dxa"/>
            <w:vAlign w:val="top"/>
          </w:tcPr>
          <w:p w14:paraId="10F40F3B">
            <w:pPr>
              <w:spacing w:line="236"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3CBEF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10098B84">
            <w:pPr>
              <w:rPr>
                <w:rFonts w:ascii="Arial"/>
                <w:sz w:val="21"/>
              </w:rPr>
            </w:pPr>
          </w:p>
        </w:tc>
        <w:tc>
          <w:tcPr>
            <w:tcW w:w="1155" w:type="dxa"/>
            <w:vMerge w:val="restart"/>
            <w:tcBorders>
              <w:bottom w:val="nil"/>
            </w:tcBorders>
            <w:vAlign w:val="top"/>
          </w:tcPr>
          <w:p w14:paraId="154D4E68">
            <w:pPr>
              <w:spacing w:line="303" w:lineRule="auto"/>
              <w:rPr>
                <w:rFonts w:ascii="Arial"/>
                <w:sz w:val="21"/>
              </w:rPr>
            </w:pPr>
          </w:p>
          <w:p w14:paraId="74908FF2">
            <w:pPr>
              <w:spacing w:before="58" w:line="273"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2020.11.14</w:t>
            </w:r>
          </w:p>
        </w:tc>
        <w:tc>
          <w:tcPr>
            <w:tcW w:w="1668" w:type="dxa"/>
            <w:vAlign w:val="top"/>
          </w:tcPr>
          <w:p w14:paraId="3A17F170">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02:00~03:00</w:t>
            </w:r>
          </w:p>
        </w:tc>
        <w:tc>
          <w:tcPr>
            <w:tcW w:w="1684" w:type="dxa"/>
            <w:vAlign w:val="top"/>
          </w:tcPr>
          <w:p w14:paraId="45497561">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37FEE2F8">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0.14</w:t>
            </w:r>
          </w:p>
        </w:tc>
        <w:tc>
          <w:tcPr>
            <w:tcW w:w="1689" w:type="dxa"/>
            <w:vAlign w:val="top"/>
          </w:tcPr>
          <w:p w14:paraId="722964E1">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673BB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0F7EE682">
            <w:pPr>
              <w:rPr>
                <w:rFonts w:ascii="Arial"/>
                <w:sz w:val="21"/>
              </w:rPr>
            </w:pPr>
          </w:p>
        </w:tc>
        <w:tc>
          <w:tcPr>
            <w:tcW w:w="1155" w:type="dxa"/>
            <w:vMerge w:val="continue"/>
            <w:tcBorders>
              <w:top w:val="nil"/>
              <w:bottom w:val="nil"/>
            </w:tcBorders>
            <w:vAlign w:val="top"/>
          </w:tcPr>
          <w:p w14:paraId="52D2EEEA">
            <w:pPr>
              <w:rPr>
                <w:rFonts w:ascii="Arial"/>
                <w:sz w:val="21"/>
              </w:rPr>
            </w:pPr>
          </w:p>
        </w:tc>
        <w:tc>
          <w:tcPr>
            <w:tcW w:w="1668" w:type="dxa"/>
            <w:vAlign w:val="top"/>
          </w:tcPr>
          <w:p w14:paraId="59DEF9A0">
            <w:pPr>
              <w:spacing w:line="236"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08:00~09:00</w:t>
            </w:r>
          </w:p>
        </w:tc>
        <w:tc>
          <w:tcPr>
            <w:tcW w:w="1684" w:type="dxa"/>
            <w:vAlign w:val="top"/>
          </w:tcPr>
          <w:p w14:paraId="6600C5CA">
            <w:pPr>
              <w:spacing w:line="236"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012C0657">
            <w:pPr>
              <w:spacing w:line="236"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0.14</w:t>
            </w:r>
          </w:p>
        </w:tc>
        <w:tc>
          <w:tcPr>
            <w:tcW w:w="1689" w:type="dxa"/>
            <w:vAlign w:val="top"/>
          </w:tcPr>
          <w:p w14:paraId="44AB9998">
            <w:pPr>
              <w:spacing w:line="236"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0C878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1933BA7C">
            <w:pPr>
              <w:rPr>
                <w:rFonts w:ascii="Arial"/>
                <w:sz w:val="21"/>
              </w:rPr>
            </w:pPr>
          </w:p>
        </w:tc>
        <w:tc>
          <w:tcPr>
            <w:tcW w:w="1155" w:type="dxa"/>
            <w:vMerge w:val="continue"/>
            <w:tcBorders>
              <w:top w:val="nil"/>
              <w:bottom w:val="nil"/>
            </w:tcBorders>
            <w:vAlign w:val="top"/>
          </w:tcPr>
          <w:p w14:paraId="59C80B6A">
            <w:pPr>
              <w:rPr>
                <w:rFonts w:ascii="Arial"/>
                <w:sz w:val="21"/>
              </w:rPr>
            </w:pPr>
          </w:p>
        </w:tc>
        <w:tc>
          <w:tcPr>
            <w:tcW w:w="1668" w:type="dxa"/>
            <w:vAlign w:val="top"/>
          </w:tcPr>
          <w:p w14:paraId="53C55A37">
            <w:pPr>
              <w:spacing w:line="235" w:lineRule="exact"/>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14:00~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15:00</w:t>
            </w:r>
          </w:p>
        </w:tc>
        <w:tc>
          <w:tcPr>
            <w:tcW w:w="1684" w:type="dxa"/>
            <w:vAlign w:val="top"/>
          </w:tcPr>
          <w:p w14:paraId="383118C8">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7FFD9ADB">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689" w:type="dxa"/>
            <w:vAlign w:val="top"/>
          </w:tcPr>
          <w:p w14:paraId="16699414">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4884E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37D83078">
            <w:pPr>
              <w:rPr>
                <w:rFonts w:ascii="Arial"/>
                <w:sz w:val="21"/>
              </w:rPr>
            </w:pPr>
          </w:p>
        </w:tc>
        <w:tc>
          <w:tcPr>
            <w:tcW w:w="1155" w:type="dxa"/>
            <w:vMerge w:val="continue"/>
            <w:tcBorders>
              <w:top w:val="nil"/>
            </w:tcBorders>
            <w:vAlign w:val="top"/>
          </w:tcPr>
          <w:p w14:paraId="4BD96A36">
            <w:pPr>
              <w:rPr>
                <w:rFonts w:ascii="Arial"/>
                <w:sz w:val="21"/>
              </w:rPr>
            </w:pPr>
          </w:p>
        </w:tc>
        <w:tc>
          <w:tcPr>
            <w:tcW w:w="1668" w:type="dxa"/>
            <w:vAlign w:val="top"/>
          </w:tcPr>
          <w:p w14:paraId="0FF89653">
            <w:pPr>
              <w:spacing w:line="236"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20:00~21:00</w:t>
            </w:r>
          </w:p>
        </w:tc>
        <w:tc>
          <w:tcPr>
            <w:tcW w:w="1684" w:type="dxa"/>
            <w:vAlign w:val="top"/>
          </w:tcPr>
          <w:p w14:paraId="1436710B">
            <w:pPr>
              <w:spacing w:line="236"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CD278D5">
            <w:pPr>
              <w:spacing w:line="236"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0.14</w:t>
            </w:r>
          </w:p>
        </w:tc>
        <w:tc>
          <w:tcPr>
            <w:tcW w:w="1689" w:type="dxa"/>
            <w:vAlign w:val="top"/>
          </w:tcPr>
          <w:p w14:paraId="50A1213C">
            <w:pPr>
              <w:spacing w:line="236"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3E801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14F279F9">
            <w:pPr>
              <w:rPr>
                <w:rFonts w:ascii="Arial"/>
                <w:sz w:val="21"/>
              </w:rPr>
            </w:pPr>
          </w:p>
        </w:tc>
        <w:tc>
          <w:tcPr>
            <w:tcW w:w="1155" w:type="dxa"/>
            <w:vMerge w:val="restart"/>
            <w:tcBorders>
              <w:bottom w:val="nil"/>
            </w:tcBorders>
            <w:vAlign w:val="top"/>
          </w:tcPr>
          <w:p w14:paraId="4564BB43">
            <w:pPr>
              <w:spacing w:line="303" w:lineRule="auto"/>
              <w:rPr>
                <w:rFonts w:ascii="Arial"/>
                <w:sz w:val="21"/>
              </w:rPr>
            </w:pPr>
          </w:p>
          <w:p w14:paraId="795DE0B3">
            <w:pPr>
              <w:spacing w:before="57" w:line="273"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2020.11.15</w:t>
            </w:r>
          </w:p>
        </w:tc>
        <w:tc>
          <w:tcPr>
            <w:tcW w:w="1668" w:type="dxa"/>
            <w:vAlign w:val="top"/>
          </w:tcPr>
          <w:p w14:paraId="0E344B8C">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02:00~03:00</w:t>
            </w:r>
          </w:p>
        </w:tc>
        <w:tc>
          <w:tcPr>
            <w:tcW w:w="1684" w:type="dxa"/>
            <w:vAlign w:val="top"/>
          </w:tcPr>
          <w:p w14:paraId="2E419F38">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5195B29">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689" w:type="dxa"/>
            <w:vAlign w:val="top"/>
          </w:tcPr>
          <w:p w14:paraId="0DE62D12">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52682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709BC39B">
            <w:pPr>
              <w:rPr>
                <w:rFonts w:ascii="Arial"/>
                <w:sz w:val="21"/>
              </w:rPr>
            </w:pPr>
          </w:p>
        </w:tc>
        <w:tc>
          <w:tcPr>
            <w:tcW w:w="1155" w:type="dxa"/>
            <w:vMerge w:val="continue"/>
            <w:tcBorders>
              <w:top w:val="nil"/>
              <w:bottom w:val="nil"/>
            </w:tcBorders>
            <w:vAlign w:val="top"/>
          </w:tcPr>
          <w:p w14:paraId="77893C4A">
            <w:pPr>
              <w:rPr>
                <w:rFonts w:ascii="Arial"/>
                <w:sz w:val="21"/>
              </w:rPr>
            </w:pPr>
          </w:p>
        </w:tc>
        <w:tc>
          <w:tcPr>
            <w:tcW w:w="1668" w:type="dxa"/>
            <w:vAlign w:val="top"/>
          </w:tcPr>
          <w:p w14:paraId="772FF900">
            <w:pPr>
              <w:spacing w:line="23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08:00~09:00</w:t>
            </w:r>
          </w:p>
        </w:tc>
        <w:tc>
          <w:tcPr>
            <w:tcW w:w="1684" w:type="dxa"/>
            <w:vAlign w:val="top"/>
          </w:tcPr>
          <w:p w14:paraId="79024800">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40146625">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689" w:type="dxa"/>
            <w:vAlign w:val="top"/>
          </w:tcPr>
          <w:p w14:paraId="7012BAA6">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2764F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0530CE6C">
            <w:pPr>
              <w:rPr>
                <w:rFonts w:ascii="Arial"/>
                <w:sz w:val="21"/>
              </w:rPr>
            </w:pPr>
          </w:p>
        </w:tc>
        <w:tc>
          <w:tcPr>
            <w:tcW w:w="1155" w:type="dxa"/>
            <w:vMerge w:val="continue"/>
            <w:tcBorders>
              <w:top w:val="nil"/>
              <w:bottom w:val="nil"/>
            </w:tcBorders>
            <w:vAlign w:val="top"/>
          </w:tcPr>
          <w:p w14:paraId="7A8D2D71">
            <w:pPr>
              <w:rPr>
                <w:rFonts w:ascii="Arial"/>
                <w:sz w:val="21"/>
              </w:rPr>
            </w:pPr>
          </w:p>
        </w:tc>
        <w:tc>
          <w:tcPr>
            <w:tcW w:w="1668" w:type="dxa"/>
            <w:vAlign w:val="top"/>
          </w:tcPr>
          <w:p w14:paraId="665D8DCB">
            <w:pPr>
              <w:spacing w:line="235" w:lineRule="exact"/>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14:00~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15:00</w:t>
            </w:r>
          </w:p>
        </w:tc>
        <w:tc>
          <w:tcPr>
            <w:tcW w:w="1684" w:type="dxa"/>
            <w:vAlign w:val="top"/>
          </w:tcPr>
          <w:p w14:paraId="50FCB8FC">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68936DCC">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1689" w:type="dxa"/>
            <w:vAlign w:val="top"/>
          </w:tcPr>
          <w:p w14:paraId="10DDB47C">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4E0B3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70" w:type="dxa"/>
            <w:vMerge w:val="continue"/>
            <w:tcBorders>
              <w:top w:val="nil"/>
              <w:bottom w:val="nil"/>
            </w:tcBorders>
            <w:vAlign w:val="top"/>
          </w:tcPr>
          <w:p w14:paraId="2E88F38E">
            <w:pPr>
              <w:rPr>
                <w:rFonts w:ascii="Arial"/>
                <w:sz w:val="21"/>
              </w:rPr>
            </w:pPr>
          </w:p>
        </w:tc>
        <w:tc>
          <w:tcPr>
            <w:tcW w:w="1155" w:type="dxa"/>
            <w:vMerge w:val="continue"/>
            <w:tcBorders>
              <w:top w:val="nil"/>
            </w:tcBorders>
            <w:vAlign w:val="top"/>
          </w:tcPr>
          <w:p w14:paraId="7E226364">
            <w:pPr>
              <w:rPr>
                <w:rFonts w:ascii="Arial"/>
                <w:sz w:val="21"/>
              </w:rPr>
            </w:pPr>
          </w:p>
        </w:tc>
        <w:tc>
          <w:tcPr>
            <w:tcW w:w="1668" w:type="dxa"/>
            <w:vAlign w:val="top"/>
          </w:tcPr>
          <w:p w14:paraId="49012E03">
            <w:pPr>
              <w:spacing w:line="236"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20:00~21:00</w:t>
            </w:r>
          </w:p>
        </w:tc>
        <w:tc>
          <w:tcPr>
            <w:tcW w:w="1684" w:type="dxa"/>
            <w:vAlign w:val="top"/>
          </w:tcPr>
          <w:p w14:paraId="6752CAF0">
            <w:pPr>
              <w:spacing w:line="236"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1C44BD97">
            <w:pPr>
              <w:spacing w:line="236"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689" w:type="dxa"/>
            <w:vAlign w:val="top"/>
          </w:tcPr>
          <w:p w14:paraId="5718D1B6">
            <w:pPr>
              <w:spacing w:line="236"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3BB83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070" w:type="dxa"/>
            <w:vMerge w:val="continue"/>
            <w:tcBorders>
              <w:top w:val="nil"/>
            </w:tcBorders>
            <w:vAlign w:val="top"/>
          </w:tcPr>
          <w:p w14:paraId="72F312DA">
            <w:pPr>
              <w:rPr>
                <w:rFonts w:ascii="Arial"/>
                <w:sz w:val="21"/>
              </w:rPr>
            </w:pPr>
          </w:p>
        </w:tc>
        <w:tc>
          <w:tcPr>
            <w:tcW w:w="1155" w:type="dxa"/>
            <w:vAlign w:val="top"/>
          </w:tcPr>
          <w:p w14:paraId="66F32037">
            <w:pPr>
              <w:spacing w:line="248" w:lineRule="exact"/>
              <w:ind w:left="11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2020.11.16</w:t>
            </w:r>
          </w:p>
        </w:tc>
        <w:tc>
          <w:tcPr>
            <w:tcW w:w="1668" w:type="dxa"/>
            <w:vAlign w:val="top"/>
          </w:tcPr>
          <w:p w14:paraId="5A173E82">
            <w:pPr>
              <w:spacing w:line="248"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02:00~03:00</w:t>
            </w:r>
          </w:p>
        </w:tc>
        <w:tc>
          <w:tcPr>
            <w:tcW w:w="1684" w:type="dxa"/>
            <w:vAlign w:val="top"/>
          </w:tcPr>
          <w:p w14:paraId="224E89C2">
            <w:pPr>
              <w:spacing w:line="248"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0.001L</w:t>
            </w:r>
          </w:p>
        </w:tc>
        <w:tc>
          <w:tcPr>
            <w:tcW w:w="1684" w:type="dxa"/>
            <w:vAlign w:val="top"/>
          </w:tcPr>
          <w:p w14:paraId="5D34574E">
            <w:pPr>
              <w:spacing w:line="248"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0.11</w:t>
            </w:r>
          </w:p>
        </w:tc>
        <w:tc>
          <w:tcPr>
            <w:tcW w:w="1689" w:type="dxa"/>
            <w:vAlign w:val="top"/>
          </w:tcPr>
          <w:p w14:paraId="2D69B3E5">
            <w:pPr>
              <w:spacing w:line="248"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10L</w:t>
            </w:r>
          </w:p>
        </w:tc>
      </w:tr>
    </w:tbl>
    <w:p w14:paraId="5DC173FA">
      <w:pPr>
        <w:pStyle w:val="2"/>
        <w:spacing w:line="14" w:lineRule="auto"/>
        <w:rPr>
          <w:sz w:val="2"/>
        </w:rPr>
      </w:pPr>
    </w:p>
    <w:p w14:paraId="4F68E5DB">
      <w:pPr>
        <w:spacing w:line="14" w:lineRule="auto"/>
        <w:rPr>
          <w:sz w:val="2"/>
          <w:szCs w:val="2"/>
        </w:rPr>
        <w:sectPr>
          <w:footerReference r:id="rId101" w:type="default"/>
          <w:pgSz w:w="11906" w:h="16839"/>
          <w:pgMar w:top="400" w:right="1475" w:bottom="1485" w:left="1475" w:header="0" w:footer="1249" w:gutter="0"/>
          <w:cols w:space="720" w:num="1"/>
        </w:sectPr>
      </w:pPr>
    </w:p>
    <w:p w14:paraId="53EF8632">
      <w:pPr>
        <w:spacing w:before="12"/>
      </w:pPr>
    </w:p>
    <w:p w14:paraId="21495FCE">
      <w:pPr>
        <w:spacing w:before="12"/>
      </w:pPr>
    </w:p>
    <w:p w14:paraId="47588F1A">
      <w:pPr>
        <w:spacing w:before="12"/>
      </w:pPr>
    </w:p>
    <w:p w14:paraId="7C5E33B6">
      <w:pPr>
        <w:spacing w:before="11"/>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0"/>
        <w:gridCol w:w="1155"/>
        <w:gridCol w:w="1668"/>
        <w:gridCol w:w="1684"/>
        <w:gridCol w:w="1684"/>
        <w:gridCol w:w="1689"/>
      </w:tblGrid>
      <w:tr w14:paraId="4BCB1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1070" w:type="dxa"/>
            <w:vMerge w:val="restart"/>
            <w:tcBorders>
              <w:bottom w:val="nil"/>
            </w:tcBorders>
            <w:vAlign w:val="top"/>
          </w:tcPr>
          <w:p w14:paraId="78CAC8EC">
            <w:pPr>
              <w:rPr>
                <w:rFonts w:ascii="Arial"/>
                <w:sz w:val="21"/>
              </w:rPr>
            </w:pPr>
          </w:p>
        </w:tc>
        <w:tc>
          <w:tcPr>
            <w:tcW w:w="1155" w:type="dxa"/>
            <w:vMerge w:val="restart"/>
            <w:tcBorders>
              <w:bottom w:val="nil"/>
            </w:tcBorders>
            <w:vAlign w:val="top"/>
          </w:tcPr>
          <w:p w14:paraId="6ADC5911">
            <w:pPr>
              <w:rPr>
                <w:rFonts w:ascii="Arial"/>
                <w:sz w:val="21"/>
              </w:rPr>
            </w:pPr>
          </w:p>
        </w:tc>
        <w:tc>
          <w:tcPr>
            <w:tcW w:w="1668" w:type="dxa"/>
            <w:vAlign w:val="top"/>
          </w:tcPr>
          <w:p w14:paraId="43390CB6">
            <w:pPr>
              <w:spacing w:line="244"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08:00~09:00</w:t>
            </w:r>
          </w:p>
        </w:tc>
        <w:tc>
          <w:tcPr>
            <w:tcW w:w="1684" w:type="dxa"/>
            <w:vAlign w:val="top"/>
          </w:tcPr>
          <w:p w14:paraId="4C6368B6">
            <w:pPr>
              <w:spacing w:line="244"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0.001L</w:t>
            </w:r>
          </w:p>
        </w:tc>
        <w:tc>
          <w:tcPr>
            <w:tcW w:w="1684" w:type="dxa"/>
            <w:vAlign w:val="top"/>
          </w:tcPr>
          <w:p w14:paraId="23EBB2F5">
            <w:pPr>
              <w:spacing w:line="244"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0.12</w:t>
            </w:r>
          </w:p>
        </w:tc>
        <w:tc>
          <w:tcPr>
            <w:tcW w:w="1689" w:type="dxa"/>
            <w:vAlign w:val="top"/>
          </w:tcPr>
          <w:p w14:paraId="77207740">
            <w:pPr>
              <w:spacing w:line="244"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10L</w:t>
            </w:r>
          </w:p>
        </w:tc>
      </w:tr>
      <w:tr w14:paraId="1F3F9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70" w:type="dxa"/>
            <w:vMerge w:val="continue"/>
            <w:tcBorders>
              <w:top w:val="nil"/>
              <w:bottom w:val="nil"/>
            </w:tcBorders>
            <w:vAlign w:val="top"/>
          </w:tcPr>
          <w:p w14:paraId="59E85A19">
            <w:pPr>
              <w:rPr>
                <w:rFonts w:ascii="Arial"/>
                <w:sz w:val="21"/>
              </w:rPr>
            </w:pPr>
          </w:p>
        </w:tc>
        <w:tc>
          <w:tcPr>
            <w:tcW w:w="1155" w:type="dxa"/>
            <w:vMerge w:val="continue"/>
            <w:tcBorders>
              <w:top w:val="nil"/>
              <w:bottom w:val="nil"/>
            </w:tcBorders>
            <w:vAlign w:val="top"/>
          </w:tcPr>
          <w:p w14:paraId="738FE33F">
            <w:pPr>
              <w:rPr>
                <w:rFonts w:ascii="Arial"/>
                <w:sz w:val="21"/>
              </w:rPr>
            </w:pPr>
          </w:p>
        </w:tc>
        <w:tc>
          <w:tcPr>
            <w:tcW w:w="1668" w:type="dxa"/>
            <w:vAlign w:val="top"/>
          </w:tcPr>
          <w:p w14:paraId="62E5BB67">
            <w:pPr>
              <w:spacing w:line="235" w:lineRule="exact"/>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14:00~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15:00</w:t>
            </w:r>
          </w:p>
        </w:tc>
        <w:tc>
          <w:tcPr>
            <w:tcW w:w="1684" w:type="dxa"/>
            <w:vAlign w:val="top"/>
          </w:tcPr>
          <w:p w14:paraId="5FE0E94F">
            <w:pPr>
              <w:spacing w:line="235"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684" w:type="dxa"/>
            <w:vAlign w:val="top"/>
          </w:tcPr>
          <w:p w14:paraId="30609900">
            <w:pPr>
              <w:spacing w:line="235" w:lineRule="exact"/>
              <w:ind w:left="6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0.12</w:t>
            </w:r>
          </w:p>
        </w:tc>
        <w:tc>
          <w:tcPr>
            <w:tcW w:w="1689" w:type="dxa"/>
            <w:vAlign w:val="top"/>
          </w:tcPr>
          <w:p w14:paraId="358EEE5A">
            <w:pPr>
              <w:spacing w:line="23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10L</w:t>
            </w:r>
          </w:p>
        </w:tc>
      </w:tr>
      <w:tr w14:paraId="1F92E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070" w:type="dxa"/>
            <w:vMerge w:val="continue"/>
            <w:tcBorders>
              <w:top w:val="nil"/>
            </w:tcBorders>
            <w:vAlign w:val="top"/>
          </w:tcPr>
          <w:p w14:paraId="63F11F63">
            <w:pPr>
              <w:rPr>
                <w:rFonts w:ascii="Arial"/>
                <w:sz w:val="21"/>
              </w:rPr>
            </w:pPr>
          </w:p>
        </w:tc>
        <w:tc>
          <w:tcPr>
            <w:tcW w:w="1155" w:type="dxa"/>
            <w:vMerge w:val="continue"/>
            <w:tcBorders>
              <w:top w:val="nil"/>
            </w:tcBorders>
            <w:vAlign w:val="top"/>
          </w:tcPr>
          <w:p w14:paraId="07F627F7">
            <w:pPr>
              <w:rPr>
                <w:rFonts w:ascii="Arial"/>
                <w:sz w:val="21"/>
              </w:rPr>
            </w:pPr>
          </w:p>
        </w:tc>
        <w:tc>
          <w:tcPr>
            <w:tcW w:w="1668" w:type="dxa"/>
            <w:vAlign w:val="top"/>
          </w:tcPr>
          <w:p w14:paraId="60CBB50B">
            <w:pPr>
              <w:spacing w:line="245"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20:00~21:00</w:t>
            </w:r>
          </w:p>
        </w:tc>
        <w:tc>
          <w:tcPr>
            <w:tcW w:w="1684" w:type="dxa"/>
            <w:vAlign w:val="top"/>
          </w:tcPr>
          <w:p w14:paraId="64D9937B">
            <w:pPr>
              <w:spacing w:before="57" w:line="192"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684" w:type="dxa"/>
            <w:vAlign w:val="top"/>
          </w:tcPr>
          <w:p w14:paraId="755D3A38">
            <w:pPr>
              <w:spacing w:line="245"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0.11</w:t>
            </w:r>
          </w:p>
        </w:tc>
        <w:tc>
          <w:tcPr>
            <w:tcW w:w="1689" w:type="dxa"/>
            <w:vAlign w:val="top"/>
          </w:tcPr>
          <w:p w14:paraId="691DB79D">
            <w:pPr>
              <w:spacing w:line="245" w:lineRule="exact"/>
              <w:ind w:left="69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10L</w:t>
            </w:r>
          </w:p>
        </w:tc>
      </w:tr>
    </w:tbl>
    <w:p w14:paraId="5E4007CC">
      <w:pPr>
        <w:pStyle w:val="2"/>
        <w:spacing w:line="335" w:lineRule="auto"/>
      </w:pPr>
    </w:p>
    <w:p w14:paraId="53B635FB">
      <w:pPr>
        <w:spacing w:before="78"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4.3.3</w:t>
      </w:r>
      <w:r>
        <w:rPr>
          <w:rFonts w:ascii="宋体" w:hAnsi="宋体" w:eastAsia="宋体" w:cs="宋体"/>
          <w:b/>
          <w:bCs/>
          <w:spacing w:val="-2"/>
          <w:sz w:val="24"/>
          <w:szCs w:val="24"/>
        </w:rPr>
        <w:t>环境空气质量现状评价</w:t>
      </w:r>
    </w:p>
    <w:p w14:paraId="1F6436B3">
      <w:pPr>
        <w:pStyle w:val="2"/>
        <w:spacing w:line="246" w:lineRule="auto"/>
      </w:pPr>
    </w:p>
    <w:p w14:paraId="73F0A078">
      <w:pPr>
        <w:spacing w:before="78" w:line="358"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）评价标准</w:t>
      </w:r>
    </w:p>
    <w:p w14:paraId="442966F6">
      <w:pPr>
        <w:spacing w:before="129" w:line="365" w:lineRule="auto"/>
        <w:ind w:left="122" w:right="106" w:firstLine="474"/>
        <w:rPr>
          <w:rFonts w:ascii="宋体" w:hAnsi="宋体" w:eastAsia="宋体" w:cs="宋体"/>
          <w:sz w:val="24"/>
          <w:szCs w:val="24"/>
        </w:rPr>
      </w:pPr>
      <w:r>
        <w:rPr>
          <w:rFonts w:ascii="Times New Roman" w:hAnsi="Times New Roman" w:eastAsia="Times New Roman" w:cs="Times New Roman"/>
          <w:spacing w:val="-3"/>
          <w:sz w:val="24"/>
          <w:szCs w:val="24"/>
        </w:rPr>
        <w:t>H</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3"/>
          <w:sz w:val="24"/>
          <w:szCs w:val="24"/>
        </w:rPr>
        <w:t>S</w:t>
      </w:r>
      <w:r>
        <w:rPr>
          <w:rFonts w:ascii="宋体" w:hAnsi="宋体" w:eastAsia="宋体" w:cs="宋体"/>
          <w:spacing w:val="-3"/>
          <w:sz w:val="24"/>
          <w:szCs w:val="24"/>
        </w:rPr>
        <w:t>、</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13"/>
          <w:position w:val="-1"/>
          <w:sz w:val="15"/>
          <w:szCs w:val="15"/>
        </w:rPr>
        <w:t xml:space="preserve"> </w:t>
      </w:r>
      <w:r>
        <w:rPr>
          <w:rFonts w:ascii="宋体" w:hAnsi="宋体" w:eastAsia="宋体" w:cs="宋体"/>
          <w:spacing w:val="-3"/>
          <w:sz w:val="24"/>
          <w:szCs w:val="24"/>
        </w:rPr>
        <w:t>执行《工业企业设计卫生标准》（</w:t>
      </w:r>
      <w:r>
        <w:rPr>
          <w:rFonts w:ascii="Times New Roman" w:hAnsi="Times New Roman" w:eastAsia="Times New Roman" w:cs="Times New Roman"/>
          <w:spacing w:val="-3"/>
          <w:sz w:val="24"/>
          <w:szCs w:val="24"/>
        </w:rPr>
        <w:t>TJ36-79</w:t>
      </w:r>
      <w:r>
        <w:rPr>
          <w:rFonts w:ascii="宋体" w:hAnsi="宋体" w:eastAsia="宋体" w:cs="宋体"/>
          <w:spacing w:val="-3"/>
          <w:sz w:val="24"/>
          <w:szCs w:val="24"/>
        </w:rPr>
        <w:t>）中居住区大气中有害物质</w:t>
      </w:r>
      <w:r>
        <w:rPr>
          <w:rFonts w:ascii="宋体" w:hAnsi="宋体" w:eastAsia="宋体" w:cs="宋体"/>
          <w:sz w:val="24"/>
          <w:szCs w:val="24"/>
        </w:rPr>
        <w:t xml:space="preserve"> </w:t>
      </w:r>
      <w:r>
        <w:rPr>
          <w:rFonts w:ascii="宋体" w:hAnsi="宋体" w:eastAsia="宋体" w:cs="宋体"/>
          <w:spacing w:val="1"/>
          <w:sz w:val="24"/>
          <w:szCs w:val="24"/>
        </w:rPr>
        <w:t>的最高容许浓度，臭气浓度参考执行《恶臭污染物排放标准》</w:t>
      </w:r>
      <w:r>
        <w:rPr>
          <w:rFonts w:ascii="宋体" w:hAnsi="宋体" w:eastAsia="宋体" w:cs="宋体"/>
          <w:sz w:val="24"/>
          <w:szCs w:val="24"/>
        </w:rPr>
        <w:t>（</w:t>
      </w:r>
      <w:r>
        <w:rPr>
          <w:rFonts w:ascii="Times New Roman" w:hAnsi="Times New Roman" w:eastAsia="Times New Roman" w:cs="Times New Roman"/>
          <w:sz w:val="24"/>
          <w:szCs w:val="24"/>
        </w:rPr>
        <w:t>GB14554-1993</w:t>
      </w:r>
      <w:r>
        <w:rPr>
          <w:rFonts w:ascii="宋体" w:hAnsi="宋体" w:eastAsia="宋体" w:cs="宋体"/>
          <w:sz w:val="24"/>
          <w:szCs w:val="24"/>
        </w:rPr>
        <w:t xml:space="preserve">）恶 </w:t>
      </w:r>
      <w:r>
        <w:rPr>
          <w:rFonts w:ascii="宋体" w:hAnsi="宋体" w:eastAsia="宋体" w:cs="宋体"/>
          <w:spacing w:val="-1"/>
          <w:sz w:val="24"/>
          <w:szCs w:val="24"/>
        </w:rPr>
        <w:t>臭无组织排放浓度限值。</w:t>
      </w:r>
    </w:p>
    <w:p w14:paraId="5E20B753">
      <w:pPr>
        <w:spacing w:before="45" w:line="358"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）评价方法</w:t>
      </w:r>
    </w:p>
    <w:p w14:paraId="01EE2C05">
      <w:pPr>
        <w:spacing w:before="167" w:line="219" w:lineRule="auto"/>
        <w:ind w:left="602"/>
        <w:rPr>
          <w:rFonts w:ascii="宋体" w:hAnsi="宋体" w:eastAsia="宋体" w:cs="宋体"/>
          <w:sz w:val="24"/>
          <w:szCs w:val="24"/>
        </w:rPr>
      </w:pPr>
      <w:r>
        <w:rPr>
          <w:rFonts w:ascii="宋体" w:hAnsi="宋体" w:eastAsia="宋体" w:cs="宋体"/>
          <w:spacing w:val="-1"/>
          <w:sz w:val="24"/>
          <w:szCs w:val="24"/>
        </w:rPr>
        <w:t>采用单项质量指数法，其计算公式为：</w:t>
      </w:r>
    </w:p>
    <w:p w14:paraId="008086F7">
      <w:pPr>
        <w:spacing w:before="165" w:line="506" w:lineRule="exact"/>
        <w:ind w:left="4106"/>
      </w:pPr>
      <w:r>
        <w:rPr>
          <w:position w:val="-10"/>
        </w:rPr>
        <w:drawing>
          <wp:inline distT="0" distB="0" distL="0" distR="0">
            <wp:extent cx="480695" cy="32131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18"/>
                    <a:stretch>
                      <a:fillRect/>
                    </a:stretch>
                  </pic:blipFill>
                  <pic:spPr>
                    <a:xfrm>
                      <a:off x="0" y="0"/>
                      <a:ext cx="480834" cy="321703"/>
                    </a:xfrm>
                    <a:prstGeom prst="rect">
                      <a:avLst/>
                    </a:prstGeom>
                  </pic:spPr>
                </pic:pic>
              </a:graphicData>
            </a:graphic>
          </wp:inline>
        </w:drawing>
      </w:r>
    </w:p>
    <w:p w14:paraId="4199F405">
      <w:pPr>
        <w:spacing w:before="148" w:line="361" w:lineRule="exact"/>
        <w:ind w:left="607"/>
        <w:rPr>
          <w:rFonts w:ascii="宋体" w:hAnsi="宋体" w:eastAsia="宋体" w:cs="宋体"/>
          <w:sz w:val="24"/>
          <w:szCs w:val="24"/>
        </w:rPr>
      </w:pPr>
      <w:r>
        <w:rPr>
          <w:rFonts w:ascii="宋体" w:hAnsi="宋体" w:eastAsia="宋体" w:cs="宋体"/>
          <w:position w:val="2"/>
          <w:sz w:val="24"/>
          <w:szCs w:val="24"/>
        </w:rPr>
        <w:t>式中：</w:t>
      </w:r>
      <w:r>
        <w:rPr>
          <w:rFonts w:ascii="Times New Roman" w:hAnsi="Times New Roman" w:eastAsia="Times New Roman" w:cs="Times New Roman"/>
          <w:i/>
          <w:iCs/>
          <w:position w:val="2"/>
          <w:sz w:val="24"/>
          <w:szCs w:val="24"/>
        </w:rPr>
        <w:t>Pi</w:t>
      </w:r>
      <w:r>
        <w:rPr>
          <w:rFonts w:ascii="宋体" w:hAnsi="宋体" w:eastAsia="宋体" w:cs="宋体"/>
          <w:position w:val="2"/>
          <w:sz w:val="24"/>
          <w:szCs w:val="24"/>
        </w:rPr>
        <w:t>：某污染物</w:t>
      </w:r>
      <w:r>
        <w:rPr>
          <w:rFonts w:ascii="Times New Roman" w:hAnsi="Times New Roman" w:eastAsia="Times New Roman" w:cs="Times New Roman"/>
          <w:position w:val="2"/>
          <w:sz w:val="24"/>
          <w:szCs w:val="24"/>
        </w:rPr>
        <w:t>i</w:t>
      </w:r>
      <w:r>
        <w:rPr>
          <w:rFonts w:ascii="Times New Roman" w:hAnsi="Times New Roman" w:eastAsia="Times New Roman" w:cs="Times New Roman"/>
          <w:spacing w:val="43"/>
          <w:position w:val="2"/>
          <w:sz w:val="24"/>
          <w:szCs w:val="24"/>
        </w:rPr>
        <w:t xml:space="preserve"> </w:t>
      </w:r>
      <w:r>
        <w:rPr>
          <w:rFonts w:ascii="宋体" w:hAnsi="宋体" w:eastAsia="宋体" w:cs="宋体"/>
          <w:position w:val="2"/>
          <w:sz w:val="24"/>
          <w:szCs w:val="24"/>
        </w:rPr>
        <w:t>的质量指数；</w:t>
      </w:r>
    </w:p>
    <w:p w14:paraId="5E132F4A">
      <w:pPr>
        <w:spacing w:before="127" w:line="332" w:lineRule="exact"/>
        <w:ind w:left="609"/>
        <w:rPr>
          <w:rFonts w:ascii="宋体" w:hAnsi="宋体" w:eastAsia="宋体" w:cs="宋体"/>
          <w:sz w:val="24"/>
          <w:szCs w:val="24"/>
        </w:rPr>
      </w:pPr>
      <w:r>
        <w:rPr>
          <w:rFonts w:ascii="Times New Roman" w:hAnsi="Times New Roman" w:eastAsia="Times New Roman" w:cs="Times New Roman"/>
          <w:i/>
          <w:iCs/>
          <w:spacing w:val="-3"/>
          <w:position w:val="3"/>
          <w:sz w:val="24"/>
          <w:szCs w:val="24"/>
        </w:rPr>
        <w:t>Ci</w:t>
      </w:r>
      <w:r>
        <w:rPr>
          <w:rFonts w:ascii="宋体" w:hAnsi="宋体" w:eastAsia="宋体" w:cs="宋体"/>
          <w:spacing w:val="-3"/>
          <w:position w:val="3"/>
          <w:sz w:val="24"/>
          <w:szCs w:val="24"/>
        </w:rPr>
        <w:t>：某污染物</w:t>
      </w:r>
      <w:r>
        <w:rPr>
          <w:rFonts w:ascii="宋体" w:hAnsi="宋体" w:eastAsia="宋体" w:cs="宋体"/>
          <w:spacing w:val="-46"/>
          <w:position w:val="3"/>
          <w:sz w:val="24"/>
          <w:szCs w:val="24"/>
        </w:rPr>
        <w:t xml:space="preserve"> </w:t>
      </w:r>
      <w:r>
        <w:rPr>
          <w:rFonts w:ascii="Times New Roman" w:hAnsi="Times New Roman" w:eastAsia="Times New Roman" w:cs="Times New Roman"/>
          <w:spacing w:val="-3"/>
          <w:position w:val="3"/>
          <w:sz w:val="24"/>
          <w:szCs w:val="24"/>
        </w:rPr>
        <w:t>i</w:t>
      </w:r>
      <w:r>
        <w:rPr>
          <w:rFonts w:ascii="Times New Roman" w:hAnsi="Times New Roman" w:eastAsia="Times New Roman" w:cs="Times New Roman"/>
          <w:spacing w:val="30"/>
          <w:position w:val="3"/>
          <w:sz w:val="24"/>
          <w:szCs w:val="24"/>
        </w:rPr>
        <w:t xml:space="preserve"> </w:t>
      </w:r>
      <w:r>
        <w:rPr>
          <w:rFonts w:ascii="宋体" w:hAnsi="宋体" w:eastAsia="宋体" w:cs="宋体"/>
          <w:spacing w:val="-3"/>
          <w:position w:val="3"/>
          <w:sz w:val="24"/>
          <w:szCs w:val="24"/>
        </w:rPr>
        <w:t>的实测浓度，</w:t>
      </w:r>
      <w:r>
        <w:rPr>
          <w:rFonts w:ascii="Times New Roman" w:hAnsi="Times New Roman" w:eastAsia="Times New Roman" w:cs="Times New Roman"/>
          <w:spacing w:val="-3"/>
          <w:position w:val="3"/>
          <w:sz w:val="24"/>
          <w:szCs w:val="24"/>
        </w:rPr>
        <w:t>mg/m</w:t>
      </w:r>
      <w:r>
        <w:rPr>
          <w:rFonts w:ascii="Times New Roman" w:hAnsi="Times New Roman" w:eastAsia="Times New Roman" w:cs="Times New Roman"/>
          <w:spacing w:val="-3"/>
          <w:position w:val="10"/>
          <w:sz w:val="15"/>
          <w:szCs w:val="15"/>
        </w:rPr>
        <w:t>3</w:t>
      </w:r>
      <w:r>
        <w:rPr>
          <w:rFonts w:ascii="宋体" w:hAnsi="宋体" w:eastAsia="宋体" w:cs="宋体"/>
          <w:spacing w:val="-3"/>
          <w:position w:val="3"/>
          <w:sz w:val="24"/>
          <w:szCs w:val="24"/>
        </w:rPr>
        <w:t>；</w:t>
      </w:r>
    </w:p>
    <w:p w14:paraId="2680B601">
      <w:pPr>
        <w:spacing w:before="157" w:line="333" w:lineRule="exact"/>
        <w:ind w:left="715"/>
        <w:rPr>
          <w:rFonts w:ascii="宋体" w:hAnsi="宋体" w:eastAsia="宋体" w:cs="宋体"/>
          <w:sz w:val="24"/>
          <w:szCs w:val="24"/>
        </w:rPr>
      </w:pPr>
      <w:r>
        <w:rPr>
          <w:rFonts w:ascii="Times New Roman" w:hAnsi="Times New Roman" w:eastAsia="Times New Roman" w:cs="Times New Roman"/>
          <w:i/>
          <w:iCs/>
          <w:spacing w:val="-2"/>
          <w:position w:val="3"/>
          <w:sz w:val="24"/>
          <w:szCs w:val="24"/>
        </w:rPr>
        <w:t>Si</w:t>
      </w:r>
      <w:r>
        <w:rPr>
          <w:rFonts w:ascii="宋体" w:hAnsi="宋体" w:eastAsia="宋体" w:cs="宋体"/>
          <w:spacing w:val="-2"/>
          <w:position w:val="3"/>
          <w:sz w:val="24"/>
          <w:szCs w:val="24"/>
        </w:rPr>
        <w:t>：某污染物</w:t>
      </w:r>
      <w:r>
        <w:rPr>
          <w:rFonts w:ascii="宋体" w:hAnsi="宋体" w:eastAsia="宋体" w:cs="宋体"/>
          <w:spacing w:val="-52"/>
          <w:position w:val="3"/>
          <w:sz w:val="24"/>
          <w:szCs w:val="24"/>
        </w:rPr>
        <w:t xml:space="preserve"> </w:t>
      </w:r>
      <w:r>
        <w:rPr>
          <w:rFonts w:ascii="Times New Roman" w:hAnsi="Times New Roman" w:eastAsia="Times New Roman" w:cs="Times New Roman"/>
          <w:spacing w:val="-2"/>
          <w:position w:val="3"/>
          <w:sz w:val="24"/>
          <w:szCs w:val="24"/>
        </w:rPr>
        <w:t>i</w:t>
      </w:r>
      <w:r>
        <w:rPr>
          <w:rFonts w:ascii="Times New Roman" w:hAnsi="Times New Roman" w:eastAsia="Times New Roman" w:cs="Times New Roman"/>
          <w:spacing w:val="30"/>
          <w:position w:val="3"/>
          <w:sz w:val="24"/>
          <w:szCs w:val="24"/>
        </w:rPr>
        <w:t xml:space="preserve"> </w:t>
      </w:r>
      <w:r>
        <w:rPr>
          <w:rFonts w:ascii="宋体" w:hAnsi="宋体" w:eastAsia="宋体" w:cs="宋体"/>
          <w:spacing w:val="-2"/>
          <w:position w:val="3"/>
          <w:sz w:val="24"/>
          <w:szCs w:val="24"/>
        </w:rPr>
        <w:t>的评价标准，</w:t>
      </w:r>
      <w:r>
        <w:rPr>
          <w:rFonts w:ascii="Times New Roman" w:hAnsi="Times New Roman" w:eastAsia="Times New Roman" w:cs="Times New Roman"/>
          <w:spacing w:val="-2"/>
          <w:position w:val="3"/>
          <w:sz w:val="24"/>
          <w:szCs w:val="24"/>
        </w:rPr>
        <w:t>mg/m</w:t>
      </w:r>
      <w:r>
        <w:rPr>
          <w:rFonts w:ascii="Times New Roman" w:hAnsi="Times New Roman" w:eastAsia="Times New Roman" w:cs="Times New Roman"/>
          <w:spacing w:val="-2"/>
          <w:position w:val="10"/>
          <w:sz w:val="15"/>
          <w:szCs w:val="15"/>
        </w:rPr>
        <w:t>3</w:t>
      </w:r>
      <w:r>
        <w:rPr>
          <w:rFonts w:ascii="宋体" w:hAnsi="宋体" w:eastAsia="宋体" w:cs="宋体"/>
          <w:spacing w:val="-2"/>
          <w:position w:val="3"/>
          <w:sz w:val="24"/>
          <w:szCs w:val="24"/>
        </w:rPr>
        <w:t>。</w:t>
      </w:r>
    </w:p>
    <w:p w14:paraId="68C0EEA0">
      <w:pPr>
        <w:spacing w:before="157" w:line="367" w:lineRule="auto"/>
        <w:ind w:left="125" w:right="108" w:firstLine="462"/>
        <w:rPr>
          <w:rFonts w:ascii="宋体" w:hAnsi="宋体" w:eastAsia="宋体" w:cs="宋体"/>
          <w:sz w:val="24"/>
          <w:szCs w:val="24"/>
        </w:rPr>
      </w:pPr>
      <w:r>
        <w:rPr>
          <w:rFonts w:ascii="Times New Roman" w:hAnsi="Times New Roman" w:eastAsia="Times New Roman" w:cs="Times New Roman"/>
          <w:i/>
          <w:iCs/>
          <w:spacing w:val="-1"/>
          <w:sz w:val="24"/>
          <w:szCs w:val="24"/>
        </w:rPr>
        <w:t>Pi</w:t>
      </w:r>
      <w:r>
        <w:rPr>
          <w:rFonts w:ascii="Times New Roman" w:hAnsi="Times New Roman" w:eastAsia="Times New Roman" w:cs="Times New Roman"/>
          <w:spacing w:val="-1"/>
          <w:sz w:val="24"/>
          <w:szCs w:val="24"/>
        </w:rPr>
        <w:t xml:space="preserve">&lt;1 </w:t>
      </w:r>
      <w:r>
        <w:rPr>
          <w:rFonts w:ascii="宋体" w:hAnsi="宋体" w:eastAsia="宋体" w:cs="宋体"/>
          <w:spacing w:val="-1"/>
          <w:sz w:val="24"/>
          <w:szCs w:val="24"/>
        </w:rPr>
        <w:t>表示污染物浓度未超评价标准，</w:t>
      </w:r>
      <w:r>
        <w:rPr>
          <w:rFonts w:ascii="Times New Roman" w:hAnsi="Times New Roman" w:eastAsia="Times New Roman" w:cs="Times New Roman"/>
          <w:i/>
          <w:iCs/>
          <w:spacing w:val="-1"/>
          <w:sz w:val="24"/>
          <w:szCs w:val="24"/>
        </w:rPr>
        <w:t>Pi</w:t>
      </w:r>
      <w:r>
        <w:rPr>
          <w:rFonts w:ascii="Times New Roman" w:hAnsi="Times New Roman" w:eastAsia="Times New Roman" w:cs="Times New Roman"/>
          <w:spacing w:val="-1"/>
          <w:sz w:val="24"/>
          <w:szCs w:val="24"/>
        </w:rPr>
        <w:t xml:space="preserve">&gt;1 </w:t>
      </w:r>
      <w:r>
        <w:rPr>
          <w:rFonts w:ascii="宋体" w:hAnsi="宋体" w:eastAsia="宋体" w:cs="宋体"/>
          <w:spacing w:val="-1"/>
          <w:sz w:val="24"/>
          <w:szCs w:val="24"/>
        </w:rPr>
        <w:t>表示污染物浓度超出评价标准。</w:t>
      </w:r>
      <w:r>
        <w:rPr>
          <w:rFonts w:ascii="Times New Roman" w:hAnsi="Times New Roman" w:eastAsia="Times New Roman" w:cs="Times New Roman"/>
          <w:i/>
          <w:iCs/>
          <w:spacing w:val="-1"/>
          <w:sz w:val="24"/>
          <w:szCs w:val="24"/>
        </w:rPr>
        <w:t xml:space="preserve">Pi </w:t>
      </w:r>
      <w:r>
        <w:rPr>
          <w:rFonts w:ascii="宋体" w:hAnsi="宋体" w:eastAsia="宋体" w:cs="宋体"/>
          <w:spacing w:val="-1"/>
          <w:sz w:val="24"/>
          <w:szCs w:val="24"/>
        </w:rPr>
        <w:t>越</w:t>
      </w:r>
      <w:r>
        <w:rPr>
          <w:rFonts w:ascii="宋体" w:hAnsi="宋体" w:eastAsia="宋体" w:cs="宋体"/>
          <w:spacing w:val="9"/>
          <w:sz w:val="24"/>
          <w:szCs w:val="24"/>
        </w:rPr>
        <w:t xml:space="preserve"> </w:t>
      </w:r>
      <w:r>
        <w:rPr>
          <w:rFonts w:ascii="宋体" w:hAnsi="宋体" w:eastAsia="宋体" w:cs="宋体"/>
          <w:spacing w:val="-2"/>
          <w:sz w:val="24"/>
          <w:szCs w:val="24"/>
        </w:rPr>
        <w:t>大超标越严重。</w:t>
      </w:r>
    </w:p>
    <w:p w14:paraId="6806BCF3">
      <w:pPr>
        <w:spacing w:before="22" w:line="359" w:lineRule="exact"/>
        <w:ind w:left="614"/>
        <w:outlineLvl w:val="0"/>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）评价结果</w:t>
      </w:r>
    </w:p>
    <w:p w14:paraId="222CCA23">
      <w:pPr>
        <w:spacing w:before="131" w:line="358" w:lineRule="exact"/>
        <w:ind w:left="602"/>
        <w:rPr>
          <w:rFonts w:ascii="宋体" w:hAnsi="宋体" w:eastAsia="宋体" w:cs="宋体"/>
          <w:sz w:val="24"/>
          <w:szCs w:val="24"/>
        </w:rPr>
      </w:pPr>
      <w:r>
        <w:rPr>
          <w:rFonts w:ascii="宋体" w:hAnsi="宋体" w:eastAsia="宋体" w:cs="宋体"/>
          <w:spacing w:val="1"/>
          <w:position w:val="2"/>
          <w:sz w:val="24"/>
          <w:szCs w:val="24"/>
        </w:rPr>
        <w:t>根据评价标准，根据标准指数法计算出各单项标准指数，详见表</w:t>
      </w:r>
      <w:r>
        <w:rPr>
          <w:rFonts w:ascii="Times New Roman" w:hAnsi="Times New Roman" w:eastAsia="Times New Roman" w:cs="Times New Roman"/>
          <w:spacing w:val="1"/>
          <w:position w:val="2"/>
          <w:sz w:val="24"/>
          <w:szCs w:val="24"/>
        </w:rPr>
        <w:t>4.3-7</w:t>
      </w:r>
      <w:r>
        <w:rPr>
          <w:rFonts w:ascii="宋体" w:hAnsi="宋体" w:eastAsia="宋体" w:cs="宋体"/>
          <w:spacing w:val="1"/>
          <w:position w:val="2"/>
          <w:sz w:val="24"/>
          <w:szCs w:val="24"/>
        </w:rPr>
        <w:t>。</w:t>
      </w:r>
    </w:p>
    <w:p w14:paraId="1C54E43E">
      <w:pPr>
        <w:spacing w:before="182" w:line="227" w:lineRule="auto"/>
        <w:ind w:left="284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6"/>
          <w:sz w:val="20"/>
          <w:szCs w:val="20"/>
        </w:rPr>
        <w:t xml:space="preserve">4.3-7 </w:t>
      </w:r>
      <w:r>
        <w:rPr>
          <w:rFonts w:ascii="宋体" w:hAnsi="宋体" w:eastAsia="宋体" w:cs="宋体"/>
          <w:b/>
          <w:bCs/>
          <w:spacing w:val="6"/>
          <w:sz w:val="20"/>
          <w:szCs w:val="20"/>
        </w:rPr>
        <w:t>环境空气小时监测结果评价</w:t>
      </w:r>
    </w:p>
    <w:p w14:paraId="51F453F5">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982"/>
        <w:gridCol w:w="753"/>
        <w:gridCol w:w="1200"/>
        <w:gridCol w:w="739"/>
        <w:gridCol w:w="1234"/>
        <w:gridCol w:w="1540"/>
        <w:gridCol w:w="999"/>
        <w:gridCol w:w="805"/>
      </w:tblGrid>
      <w:tr w14:paraId="33F98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98" w:type="dxa"/>
            <w:vMerge w:val="restart"/>
            <w:tcBorders>
              <w:bottom w:val="nil"/>
            </w:tcBorders>
            <w:vAlign w:val="top"/>
          </w:tcPr>
          <w:p w14:paraId="42217A05">
            <w:pPr>
              <w:pStyle w:val="6"/>
              <w:spacing w:before="69" w:line="230" w:lineRule="auto"/>
              <w:ind w:left="146"/>
            </w:pPr>
            <w:r>
              <w:rPr>
                <w:spacing w:val="4"/>
              </w:rPr>
              <w:t>监测</w:t>
            </w:r>
          </w:p>
          <w:p w14:paraId="035BBD0D">
            <w:pPr>
              <w:pStyle w:val="6"/>
              <w:spacing w:before="74" w:line="230" w:lineRule="auto"/>
              <w:ind w:left="152"/>
            </w:pPr>
            <w:r>
              <w:rPr>
                <w:spacing w:val="1"/>
              </w:rPr>
              <w:t>点位</w:t>
            </w:r>
          </w:p>
        </w:tc>
        <w:tc>
          <w:tcPr>
            <w:tcW w:w="1735" w:type="dxa"/>
            <w:gridSpan w:val="2"/>
            <w:vAlign w:val="top"/>
          </w:tcPr>
          <w:p w14:paraId="30B41867">
            <w:pPr>
              <w:pStyle w:val="6"/>
              <w:spacing w:before="33" w:line="274" w:lineRule="exact"/>
              <w:ind w:left="235"/>
              <w:rPr>
                <w:rFonts w:ascii="Times New Roman" w:hAnsi="Times New Roman" w:eastAsia="Times New Roman" w:cs="Times New Roman"/>
              </w:rPr>
            </w:pPr>
            <w:r>
              <w:rPr>
                <w:spacing w:val="7"/>
                <w:position w:val="1"/>
              </w:rPr>
              <w:t>监测点坐标</w:t>
            </w:r>
            <w:r>
              <w:rPr>
                <w:rFonts w:ascii="Times New Roman" w:hAnsi="Times New Roman" w:eastAsia="Times New Roman" w:cs="Times New Roman"/>
                <w:spacing w:val="7"/>
                <w:position w:val="1"/>
              </w:rPr>
              <w:t>/m</w:t>
            </w:r>
          </w:p>
        </w:tc>
        <w:tc>
          <w:tcPr>
            <w:tcW w:w="1200" w:type="dxa"/>
            <w:vMerge w:val="restart"/>
            <w:tcBorders>
              <w:bottom w:val="nil"/>
            </w:tcBorders>
            <w:vAlign w:val="top"/>
          </w:tcPr>
          <w:p w14:paraId="2F13A5E7">
            <w:pPr>
              <w:pStyle w:val="6"/>
              <w:spacing w:before="232" w:line="229" w:lineRule="auto"/>
              <w:ind w:left="289"/>
            </w:pPr>
            <w:r>
              <w:rPr>
                <w:spacing w:val="6"/>
              </w:rPr>
              <w:t>污染物</w:t>
            </w:r>
          </w:p>
        </w:tc>
        <w:tc>
          <w:tcPr>
            <w:tcW w:w="739" w:type="dxa"/>
            <w:vMerge w:val="restart"/>
            <w:tcBorders>
              <w:bottom w:val="nil"/>
            </w:tcBorders>
            <w:vAlign w:val="top"/>
          </w:tcPr>
          <w:p w14:paraId="46CF29F1">
            <w:pPr>
              <w:pStyle w:val="6"/>
              <w:spacing w:before="69" w:line="229" w:lineRule="auto"/>
              <w:ind w:left="162"/>
            </w:pPr>
            <w:r>
              <w:rPr>
                <w:spacing w:val="5"/>
              </w:rPr>
              <w:t>平均</w:t>
            </w:r>
          </w:p>
          <w:p w14:paraId="27AEA8F3">
            <w:pPr>
              <w:pStyle w:val="6"/>
              <w:spacing w:before="75" w:line="231" w:lineRule="auto"/>
              <w:ind w:left="172"/>
            </w:pPr>
            <w:r>
              <w:rPr>
                <w:spacing w:val="-1"/>
              </w:rPr>
              <w:t>时间</w:t>
            </w:r>
          </w:p>
        </w:tc>
        <w:tc>
          <w:tcPr>
            <w:tcW w:w="1234" w:type="dxa"/>
            <w:vMerge w:val="restart"/>
            <w:tcBorders>
              <w:bottom w:val="nil"/>
            </w:tcBorders>
            <w:vAlign w:val="top"/>
          </w:tcPr>
          <w:p w14:paraId="6CE48985">
            <w:pPr>
              <w:pStyle w:val="6"/>
              <w:spacing w:before="69" w:line="227" w:lineRule="auto"/>
              <w:ind w:left="200"/>
            </w:pPr>
            <w:r>
              <w:rPr>
                <w:spacing w:val="7"/>
              </w:rPr>
              <w:t>评价标准</w:t>
            </w:r>
          </w:p>
          <w:p w14:paraId="753264DC">
            <w:pPr>
              <w:spacing w:before="47"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8"/>
                <w:sz w:val="13"/>
                <w:szCs w:val="13"/>
              </w:rPr>
              <w:t>3</w:t>
            </w:r>
            <w:r>
              <w:rPr>
                <w:rFonts w:ascii="Times New Roman" w:hAnsi="Times New Roman" w:eastAsia="Times New Roman" w:cs="Times New Roman"/>
                <w:spacing w:val="4"/>
                <w:position w:val="3"/>
                <w:sz w:val="20"/>
                <w:szCs w:val="20"/>
              </w:rPr>
              <w:t>)</w:t>
            </w:r>
          </w:p>
        </w:tc>
        <w:tc>
          <w:tcPr>
            <w:tcW w:w="1540" w:type="dxa"/>
            <w:vMerge w:val="restart"/>
            <w:tcBorders>
              <w:bottom w:val="nil"/>
            </w:tcBorders>
            <w:vAlign w:val="top"/>
          </w:tcPr>
          <w:p w14:paraId="0A8A1AB4">
            <w:pPr>
              <w:pStyle w:val="6"/>
              <w:spacing w:before="69" w:line="229" w:lineRule="auto"/>
              <w:ind w:left="146"/>
            </w:pPr>
            <w:r>
              <w:rPr>
                <w:spacing w:val="8"/>
              </w:rPr>
              <w:t>监测浓度范围</w:t>
            </w:r>
          </w:p>
          <w:p w14:paraId="39A3DA48">
            <w:pPr>
              <w:spacing w:before="45" w:line="274" w:lineRule="exact"/>
              <w:ind w:left="429"/>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8"/>
                <w:sz w:val="13"/>
                <w:szCs w:val="13"/>
              </w:rPr>
              <w:t>3</w:t>
            </w:r>
            <w:r>
              <w:rPr>
                <w:rFonts w:ascii="Times New Roman" w:hAnsi="Times New Roman" w:eastAsia="Times New Roman" w:cs="Times New Roman"/>
                <w:spacing w:val="4"/>
                <w:position w:val="3"/>
                <w:sz w:val="20"/>
                <w:szCs w:val="20"/>
              </w:rPr>
              <w:t>)</w:t>
            </w:r>
          </w:p>
        </w:tc>
        <w:tc>
          <w:tcPr>
            <w:tcW w:w="999" w:type="dxa"/>
            <w:vMerge w:val="restart"/>
            <w:tcBorders>
              <w:bottom w:val="nil"/>
            </w:tcBorders>
            <w:vAlign w:val="top"/>
          </w:tcPr>
          <w:p w14:paraId="575687BC">
            <w:pPr>
              <w:pStyle w:val="6"/>
              <w:spacing w:before="69" w:line="272" w:lineRule="auto"/>
              <w:ind w:left="181" w:right="170" w:firstLine="13"/>
              <w:rPr>
                <w:rFonts w:ascii="Times New Roman" w:hAnsi="Times New Roman" w:eastAsia="Times New Roman" w:cs="Times New Roman"/>
              </w:rPr>
            </w:pPr>
            <w:r>
              <w:rPr>
                <w:spacing w:val="6"/>
              </w:rPr>
              <w:t>最大占</w:t>
            </w:r>
            <w:r>
              <w:t xml:space="preserve"> </w:t>
            </w:r>
            <w:r>
              <w:rPr>
                <w:spacing w:val="5"/>
              </w:rPr>
              <w:t>标率</w:t>
            </w:r>
            <w:r>
              <w:rPr>
                <w:rFonts w:ascii="Times New Roman" w:hAnsi="Times New Roman" w:eastAsia="Times New Roman" w:cs="Times New Roman"/>
                <w:spacing w:val="5"/>
              </w:rPr>
              <w:t>/%</w:t>
            </w:r>
          </w:p>
        </w:tc>
        <w:tc>
          <w:tcPr>
            <w:tcW w:w="805" w:type="dxa"/>
            <w:vMerge w:val="restart"/>
            <w:tcBorders>
              <w:bottom w:val="nil"/>
            </w:tcBorders>
            <w:vAlign w:val="top"/>
          </w:tcPr>
          <w:p w14:paraId="25D103AC">
            <w:pPr>
              <w:pStyle w:val="6"/>
              <w:spacing w:before="69" w:line="229" w:lineRule="auto"/>
              <w:ind w:left="198"/>
            </w:pPr>
            <w:r>
              <w:rPr>
                <w:spacing w:val="5"/>
              </w:rPr>
              <w:t>达标</w:t>
            </w:r>
          </w:p>
          <w:p w14:paraId="6C93E41E">
            <w:pPr>
              <w:pStyle w:val="6"/>
              <w:spacing w:before="75" w:line="229" w:lineRule="auto"/>
              <w:ind w:left="197"/>
            </w:pPr>
            <w:r>
              <w:rPr>
                <w:spacing w:val="5"/>
              </w:rPr>
              <w:t>情况</w:t>
            </w:r>
          </w:p>
        </w:tc>
      </w:tr>
      <w:tr w14:paraId="375BA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98" w:type="dxa"/>
            <w:vMerge w:val="continue"/>
            <w:tcBorders>
              <w:top w:val="nil"/>
            </w:tcBorders>
            <w:vAlign w:val="top"/>
          </w:tcPr>
          <w:p w14:paraId="44563DC2">
            <w:pPr>
              <w:rPr>
                <w:rFonts w:ascii="Arial"/>
                <w:sz w:val="21"/>
              </w:rPr>
            </w:pPr>
          </w:p>
        </w:tc>
        <w:tc>
          <w:tcPr>
            <w:tcW w:w="982" w:type="dxa"/>
            <w:vAlign w:val="top"/>
          </w:tcPr>
          <w:p w14:paraId="7FB83DB8">
            <w:pPr>
              <w:spacing w:before="100" w:line="192"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753" w:type="dxa"/>
            <w:vAlign w:val="top"/>
          </w:tcPr>
          <w:p w14:paraId="2DAF711E">
            <w:pPr>
              <w:spacing w:before="100" w:line="192"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200" w:type="dxa"/>
            <w:vMerge w:val="continue"/>
            <w:tcBorders>
              <w:top w:val="nil"/>
            </w:tcBorders>
            <w:vAlign w:val="top"/>
          </w:tcPr>
          <w:p w14:paraId="73B5D44A">
            <w:pPr>
              <w:rPr>
                <w:rFonts w:ascii="Arial"/>
                <w:sz w:val="21"/>
              </w:rPr>
            </w:pPr>
          </w:p>
        </w:tc>
        <w:tc>
          <w:tcPr>
            <w:tcW w:w="739" w:type="dxa"/>
            <w:vMerge w:val="continue"/>
            <w:tcBorders>
              <w:top w:val="nil"/>
            </w:tcBorders>
            <w:vAlign w:val="top"/>
          </w:tcPr>
          <w:p w14:paraId="208901C1">
            <w:pPr>
              <w:rPr>
                <w:rFonts w:ascii="Arial"/>
                <w:sz w:val="21"/>
              </w:rPr>
            </w:pPr>
          </w:p>
        </w:tc>
        <w:tc>
          <w:tcPr>
            <w:tcW w:w="1234" w:type="dxa"/>
            <w:vMerge w:val="continue"/>
            <w:tcBorders>
              <w:top w:val="nil"/>
            </w:tcBorders>
            <w:vAlign w:val="top"/>
          </w:tcPr>
          <w:p w14:paraId="39ABD54F">
            <w:pPr>
              <w:rPr>
                <w:rFonts w:ascii="Arial"/>
                <w:sz w:val="21"/>
              </w:rPr>
            </w:pPr>
          </w:p>
        </w:tc>
        <w:tc>
          <w:tcPr>
            <w:tcW w:w="1540" w:type="dxa"/>
            <w:vMerge w:val="continue"/>
            <w:tcBorders>
              <w:top w:val="nil"/>
            </w:tcBorders>
            <w:vAlign w:val="top"/>
          </w:tcPr>
          <w:p w14:paraId="7DE613EE">
            <w:pPr>
              <w:rPr>
                <w:rFonts w:ascii="Arial"/>
                <w:sz w:val="21"/>
              </w:rPr>
            </w:pPr>
          </w:p>
        </w:tc>
        <w:tc>
          <w:tcPr>
            <w:tcW w:w="999" w:type="dxa"/>
            <w:vMerge w:val="continue"/>
            <w:tcBorders>
              <w:top w:val="nil"/>
            </w:tcBorders>
            <w:vAlign w:val="top"/>
          </w:tcPr>
          <w:p w14:paraId="12B7A038">
            <w:pPr>
              <w:rPr>
                <w:rFonts w:ascii="Arial"/>
                <w:sz w:val="21"/>
              </w:rPr>
            </w:pPr>
          </w:p>
        </w:tc>
        <w:tc>
          <w:tcPr>
            <w:tcW w:w="805" w:type="dxa"/>
            <w:vMerge w:val="continue"/>
            <w:tcBorders>
              <w:top w:val="nil"/>
            </w:tcBorders>
            <w:vAlign w:val="top"/>
          </w:tcPr>
          <w:p w14:paraId="6AA6A161">
            <w:pPr>
              <w:rPr>
                <w:rFonts w:ascii="Arial"/>
                <w:sz w:val="21"/>
              </w:rPr>
            </w:pPr>
          </w:p>
        </w:tc>
      </w:tr>
      <w:tr w14:paraId="03178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98" w:type="dxa"/>
            <w:vMerge w:val="restart"/>
            <w:tcBorders>
              <w:bottom w:val="nil"/>
            </w:tcBorders>
            <w:vAlign w:val="top"/>
          </w:tcPr>
          <w:p w14:paraId="0251F1DD">
            <w:pPr>
              <w:spacing w:line="308" w:lineRule="auto"/>
              <w:rPr>
                <w:rFonts w:ascii="Arial"/>
                <w:sz w:val="21"/>
              </w:rPr>
            </w:pPr>
          </w:p>
          <w:p w14:paraId="35F13C9D">
            <w:pPr>
              <w:spacing w:before="57" w:line="275"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11"/>
                <w:position w:val="2"/>
                <w:sz w:val="20"/>
                <w:szCs w:val="20"/>
              </w:rPr>
              <w:t>G1</w:t>
            </w:r>
          </w:p>
        </w:tc>
        <w:tc>
          <w:tcPr>
            <w:tcW w:w="982" w:type="dxa"/>
            <w:vMerge w:val="restart"/>
            <w:tcBorders>
              <w:bottom w:val="nil"/>
            </w:tcBorders>
            <w:vAlign w:val="top"/>
          </w:tcPr>
          <w:p w14:paraId="2D051367">
            <w:pPr>
              <w:spacing w:line="308" w:lineRule="auto"/>
              <w:rPr>
                <w:rFonts w:ascii="Arial"/>
                <w:sz w:val="21"/>
              </w:rPr>
            </w:pPr>
          </w:p>
          <w:p w14:paraId="271E61F0">
            <w:pPr>
              <w:spacing w:before="57" w:line="275" w:lineRule="exact"/>
              <w:ind w:left="30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-426</w:t>
            </w:r>
          </w:p>
        </w:tc>
        <w:tc>
          <w:tcPr>
            <w:tcW w:w="753" w:type="dxa"/>
            <w:vMerge w:val="restart"/>
            <w:tcBorders>
              <w:bottom w:val="nil"/>
            </w:tcBorders>
            <w:vAlign w:val="top"/>
          </w:tcPr>
          <w:p w14:paraId="0593606C">
            <w:pPr>
              <w:spacing w:line="308" w:lineRule="auto"/>
              <w:rPr>
                <w:rFonts w:ascii="Arial"/>
                <w:sz w:val="21"/>
              </w:rPr>
            </w:pPr>
          </w:p>
          <w:p w14:paraId="7DDA5D01">
            <w:pPr>
              <w:spacing w:before="57" w:line="275" w:lineRule="exact"/>
              <w:ind w:left="2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204</w:t>
            </w:r>
          </w:p>
        </w:tc>
        <w:tc>
          <w:tcPr>
            <w:tcW w:w="1200" w:type="dxa"/>
            <w:vAlign w:val="top"/>
          </w:tcPr>
          <w:p w14:paraId="1D6E77C7">
            <w:pPr>
              <w:spacing w:before="101" w:line="228" w:lineRule="auto"/>
              <w:ind w:left="409"/>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739" w:type="dxa"/>
            <w:vMerge w:val="restart"/>
            <w:tcBorders>
              <w:bottom w:val="nil"/>
            </w:tcBorders>
            <w:vAlign w:val="top"/>
          </w:tcPr>
          <w:p w14:paraId="1BA1995E">
            <w:pPr>
              <w:pStyle w:val="6"/>
              <w:spacing w:before="41" w:line="274" w:lineRule="exact"/>
              <w:ind w:left="208"/>
            </w:pPr>
            <w:r>
              <w:rPr>
                <w:rFonts w:ascii="Times New Roman" w:hAnsi="Times New Roman" w:eastAsia="Times New Roman" w:cs="Times New Roman"/>
                <w:spacing w:val="-10"/>
                <w:position w:val="1"/>
              </w:rPr>
              <w:t>1</w:t>
            </w:r>
            <w:r>
              <w:rPr>
                <w:rFonts w:ascii="Times New Roman" w:hAnsi="Times New Roman" w:eastAsia="Times New Roman" w:cs="Times New Roman"/>
                <w:spacing w:val="15"/>
                <w:position w:val="1"/>
              </w:rPr>
              <w:t xml:space="preserve"> </w:t>
            </w:r>
            <w:r>
              <w:rPr>
                <w:spacing w:val="-10"/>
                <w:position w:val="1"/>
              </w:rPr>
              <w:t>小</w:t>
            </w:r>
          </w:p>
          <w:p w14:paraId="574CB3F7">
            <w:pPr>
              <w:pStyle w:val="6"/>
              <w:spacing w:before="83" w:line="275" w:lineRule="auto"/>
              <w:ind w:left="268" w:right="161" w:hanging="96"/>
            </w:pPr>
            <w:r>
              <w:rPr>
                <w:spacing w:val="-1"/>
              </w:rPr>
              <w:t>时平</w:t>
            </w:r>
            <w:r>
              <w:t xml:space="preserve"> 均</w:t>
            </w:r>
          </w:p>
        </w:tc>
        <w:tc>
          <w:tcPr>
            <w:tcW w:w="1234" w:type="dxa"/>
            <w:vAlign w:val="top"/>
          </w:tcPr>
          <w:p w14:paraId="5AE15A5D">
            <w:pPr>
              <w:spacing w:before="31"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540" w:type="dxa"/>
            <w:vAlign w:val="top"/>
          </w:tcPr>
          <w:p w14:paraId="705D800E">
            <w:pPr>
              <w:spacing w:before="31"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0.11~0.18</w:t>
            </w:r>
          </w:p>
        </w:tc>
        <w:tc>
          <w:tcPr>
            <w:tcW w:w="999" w:type="dxa"/>
            <w:vAlign w:val="top"/>
          </w:tcPr>
          <w:p w14:paraId="69EB1F8F">
            <w:pPr>
              <w:spacing w:before="31" w:line="274" w:lineRule="exact"/>
              <w:ind w:left="4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c>
          <w:tcPr>
            <w:tcW w:w="805" w:type="dxa"/>
            <w:vAlign w:val="top"/>
          </w:tcPr>
          <w:p w14:paraId="6E8CB523">
            <w:pPr>
              <w:pStyle w:val="6"/>
              <w:spacing w:before="62" w:line="229" w:lineRule="auto"/>
              <w:ind w:left="198"/>
            </w:pPr>
            <w:r>
              <w:rPr>
                <w:spacing w:val="5"/>
              </w:rPr>
              <w:t>达标</w:t>
            </w:r>
          </w:p>
        </w:tc>
      </w:tr>
      <w:tr w14:paraId="0CC76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98" w:type="dxa"/>
            <w:vMerge w:val="continue"/>
            <w:tcBorders>
              <w:top w:val="nil"/>
              <w:bottom w:val="nil"/>
            </w:tcBorders>
            <w:vAlign w:val="top"/>
          </w:tcPr>
          <w:p w14:paraId="432CF132">
            <w:pPr>
              <w:rPr>
                <w:rFonts w:ascii="Arial"/>
                <w:sz w:val="21"/>
              </w:rPr>
            </w:pPr>
          </w:p>
        </w:tc>
        <w:tc>
          <w:tcPr>
            <w:tcW w:w="982" w:type="dxa"/>
            <w:vMerge w:val="continue"/>
            <w:tcBorders>
              <w:top w:val="nil"/>
              <w:bottom w:val="nil"/>
            </w:tcBorders>
            <w:vAlign w:val="top"/>
          </w:tcPr>
          <w:p w14:paraId="7528A9B8">
            <w:pPr>
              <w:rPr>
                <w:rFonts w:ascii="Arial"/>
                <w:sz w:val="21"/>
              </w:rPr>
            </w:pPr>
          </w:p>
        </w:tc>
        <w:tc>
          <w:tcPr>
            <w:tcW w:w="753" w:type="dxa"/>
            <w:vMerge w:val="continue"/>
            <w:tcBorders>
              <w:top w:val="nil"/>
              <w:bottom w:val="nil"/>
            </w:tcBorders>
            <w:vAlign w:val="top"/>
          </w:tcPr>
          <w:p w14:paraId="66E09823">
            <w:pPr>
              <w:rPr>
                <w:rFonts w:ascii="Arial"/>
                <w:sz w:val="21"/>
              </w:rPr>
            </w:pPr>
          </w:p>
        </w:tc>
        <w:tc>
          <w:tcPr>
            <w:tcW w:w="1200" w:type="dxa"/>
            <w:vAlign w:val="top"/>
          </w:tcPr>
          <w:p w14:paraId="79374B16">
            <w:pPr>
              <w:spacing w:before="99" w:line="230"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c>
          <w:tcPr>
            <w:tcW w:w="739" w:type="dxa"/>
            <w:vMerge w:val="continue"/>
            <w:tcBorders>
              <w:top w:val="nil"/>
              <w:bottom w:val="nil"/>
            </w:tcBorders>
            <w:vAlign w:val="top"/>
          </w:tcPr>
          <w:p w14:paraId="38C1CDD2">
            <w:pPr>
              <w:rPr>
                <w:rFonts w:ascii="Arial"/>
                <w:sz w:val="21"/>
              </w:rPr>
            </w:pPr>
          </w:p>
        </w:tc>
        <w:tc>
          <w:tcPr>
            <w:tcW w:w="1234" w:type="dxa"/>
            <w:vAlign w:val="top"/>
          </w:tcPr>
          <w:p w14:paraId="11D72644">
            <w:pPr>
              <w:spacing w:before="32" w:line="274" w:lineRule="exact"/>
              <w:ind w:left="4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1540" w:type="dxa"/>
            <w:vAlign w:val="top"/>
          </w:tcPr>
          <w:p w14:paraId="7CC9D12D">
            <w:pPr>
              <w:spacing w:before="32" w:line="274" w:lineRule="exact"/>
              <w:ind w:left="4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0.001L</w:t>
            </w:r>
          </w:p>
        </w:tc>
        <w:tc>
          <w:tcPr>
            <w:tcW w:w="999" w:type="dxa"/>
            <w:vAlign w:val="top"/>
          </w:tcPr>
          <w:p w14:paraId="37D3B0B6">
            <w:pPr>
              <w:spacing w:before="32"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05" w:type="dxa"/>
            <w:vAlign w:val="top"/>
          </w:tcPr>
          <w:p w14:paraId="18FBB0DD">
            <w:pPr>
              <w:pStyle w:val="6"/>
              <w:spacing w:before="63" w:line="229" w:lineRule="auto"/>
              <w:ind w:left="198"/>
            </w:pPr>
            <w:r>
              <w:rPr>
                <w:spacing w:val="5"/>
              </w:rPr>
              <w:t>达标</w:t>
            </w:r>
          </w:p>
        </w:tc>
      </w:tr>
      <w:tr w14:paraId="7A139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98" w:type="dxa"/>
            <w:vMerge w:val="continue"/>
            <w:tcBorders>
              <w:top w:val="nil"/>
            </w:tcBorders>
            <w:vAlign w:val="top"/>
          </w:tcPr>
          <w:p w14:paraId="0C9841F9">
            <w:pPr>
              <w:rPr>
                <w:rFonts w:ascii="Arial"/>
                <w:sz w:val="21"/>
              </w:rPr>
            </w:pPr>
          </w:p>
        </w:tc>
        <w:tc>
          <w:tcPr>
            <w:tcW w:w="982" w:type="dxa"/>
            <w:vMerge w:val="continue"/>
            <w:tcBorders>
              <w:top w:val="nil"/>
            </w:tcBorders>
            <w:vAlign w:val="top"/>
          </w:tcPr>
          <w:p w14:paraId="293233F8">
            <w:pPr>
              <w:rPr>
                <w:rFonts w:ascii="Arial"/>
                <w:sz w:val="21"/>
              </w:rPr>
            </w:pPr>
          </w:p>
        </w:tc>
        <w:tc>
          <w:tcPr>
            <w:tcW w:w="753" w:type="dxa"/>
            <w:vMerge w:val="continue"/>
            <w:tcBorders>
              <w:top w:val="nil"/>
            </w:tcBorders>
            <w:vAlign w:val="top"/>
          </w:tcPr>
          <w:p w14:paraId="1D181B0C">
            <w:pPr>
              <w:rPr>
                <w:rFonts w:ascii="Arial"/>
                <w:sz w:val="21"/>
              </w:rPr>
            </w:pPr>
          </w:p>
        </w:tc>
        <w:tc>
          <w:tcPr>
            <w:tcW w:w="1200" w:type="dxa"/>
            <w:vAlign w:val="top"/>
          </w:tcPr>
          <w:p w14:paraId="109D0FC2">
            <w:pPr>
              <w:pStyle w:val="6"/>
              <w:spacing w:before="64" w:line="228" w:lineRule="auto"/>
              <w:ind w:left="184"/>
            </w:pPr>
            <w:r>
              <w:rPr>
                <w:spacing w:val="7"/>
              </w:rPr>
              <w:t>臭气浓度</w:t>
            </w:r>
          </w:p>
        </w:tc>
        <w:tc>
          <w:tcPr>
            <w:tcW w:w="739" w:type="dxa"/>
            <w:vMerge w:val="continue"/>
            <w:tcBorders>
              <w:top w:val="nil"/>
            </w:tcBorders>
            <w:vAlign w:val="top"/>
          </w:tcPr>
          <w:p w14:paraId="68076B87">
            <w:pPr>
              <w:rPr>
                <w:rFonts w:ascii="Arial"/>
                <w:sz w:val="21"/>
              </w:rPr>
            </w:pPr>
          </w:p>
        </w:tc>
        <w:tc>
          <w:tcPr>
            <w:tcW w:w="1234" w:type="dxa"/>
            <w:vAlign w:val="top"/>
          </w:tcPr>
          <w:p w14:paraId="52A90E8B">
            <w:pPr>
              <w:spacing w:before="33" w:line="274" w:lineRule="exact"/>
              <w:ind w:left="5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40" w:type="dxa"/>
            <w:vAlign w:val="top"/>
          </w:tcPr>
          <w:p w14:paraId="74A45393">
            <w:pPr>
              <w:spacing w:before="33" w:line="274" w:lineRule="exact"/>
              <w:ind w:left="6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10L</w:t>
            </w:r>
          </w:p>
        </w:tc>
        <w:tc>
          <w:tcPr>
            <w:tcW w:w="999" w:type="dxa"/>
            <w:vAlign w:val="top"/>
          </w:tcPr>
          <w:p w14:paraId="020CFD22">
            <w:pPr>
              <w:spacing w:before="33"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05" w:type="dxa"/>
            <w:vAlign w:val="top"/>
          </w:tcPr>
          <w:p w14:paraId="7A3ABDF9">
            <w:pPr>
              <w:pStyle w:val="6"/>
              <w:spacing w:before="64" w:line="229" w:lineRule="auto"/>
              <w:ind w:left="198"/>
            </w:pPr>
            <w:r>
              <w:rPr>
                <w:spacing w:val="5"/>
              </w:rPr>
              <w:t>达标</w:t>
            </w:r>
          </w:p>
        </w:tc>
      </w:tr>
    </w:tbl>
    <w:p w14:paraId="77A30D5F">
      <w:pPr>
        <w:spacing w:before="252" w:line="374" w:lineRule="auto"/>
        <w:ind w:left="117" w:right="110" w:firstLine="485"/>
        <w:rPr>
          <w:rFonts w:ascii="宋体" w:hAnsi="宋体" w:eastAsia="宋体" w:cs="宋体"/>
          <w:sz w:val="24"/>
          <w:szCs w:val="24"/>
        </w:rPr>
      </w:pPr>
      <w:r>
        <w:rPr>
          <w:rFonts w:ascii="宋体" w:hAnsi="宋体" w:eastAsia="宋体" w:cs="宋体"/>
          <w:spacing w:val="-1"/>
          <w:sz w:val="24"/>
          <w:szCs w:val="24"/>
        </w:rPr>
        <w:t>根据广东惠利通检测技术有限公司提供检测报告统计得到表</w:t>
      </w:r>
      <w:r>
        <w:rPr>
          <w:rFonts w:ascii="Times New Roman" w:hAnsi="Times New Roman" w:eastAsia="Times New Roman" w:cs="Times New Roman"/>
          <w:spacing w:val="-1"/>
          <w:sz w:val="24"/>
          <w:szCs w:val="24"/>
        </w:rPr>
        <w:t>4.3-7</w:t>
      </w:r>
      <w:r>
        <w:rPr>
          <w:rFonts w:ascii="Times New Roman" w:hAnsi="Times New Roman" w:eastAsia="Times New Roman" w:cs="Times New Roman"/>
          <w:spacing w:val="37"/>
          <w:w w:val="101"/>
          <w:sz w:val="24"/>
          <w:szCs w:val="24"/>
        </w:rPr>
        <w:t xml:space="preserve"> </w:t>
      </w:r>
      <w:r>
        <w:rPr>
          <w:rFonts w:ascii="宋体" w:hAnsi="宋体" w:eastAsia="宋体" w:cs="宋体"/>
          <w:spacing w:val="-1"/>
          <w:sz w:val="24"/>
          <w:szCs w:val="24"/>
        </w:rPr>
        <w:t>中数据，从表</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4.3-7 </w:t>
      </w:r>
      <w:r>
        <w:rPr>
          <w:rFonts w:ascii="宋体" w:hAnsi="宋体" w:eastAsia="宋体" w:cs="宋体"/>
          <w:spacing w:val="-1"/>
          <w:sz w:val="24"/>
          <w:szCs w:val="24"/>
        </w:rPr>
        <w:t>可得以下结论。</w:t>
      </w:r>
    </w:p>
    <w:p w14:paraId="7BDAA05F">
      <w:pPr>
        <w:spacing w:before="5" w:line="361" w:lineRule="exact"/>
        <w:ind w:left="614"/>
        <w:outlineLvl w:val="0"/>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）氨气（</w:t>
      </w:r>
      <w:r>
        <w:rPr>
          <w:rFonts w:ascii="Times New Roman" w:hAnsi="Times New Roman" w:eastAsia="Times New Roman" w:cs="Times New Roman"/>
          <w:spacing w:val="-2"/>
          <w:position w:val="2"/>
          <w:sz w:val="24"/>
          <w:szCs w:val="24"/>
        </w:rPr>
        <w:t>NH</w:t>
      </w:r>
      <w:r>
        <w:rPr>
          <w:rFonts w:ascii="Times New Roman" w:hAnsi="Times New Roman" w:eastAsia="Times New Roman" w:cs="Times New Roman"/>
          <w:spacing w:val="-2"/>
          <w:position w:val="1"/>
          <w:sz w:val="15"/>
          <w:szCs w:val="15"/>
        </w:rPr>
        <w:t>3</w:t>
      </w:r>
      <w:r>
        <w:rPr>
          <w:rFonts w:ascii="宋体" w:hAnsi="宋体" w:eastAsia="宋体" w:cs="宋体"/>
          <w:spacing w:val="-2"/>
          <w:position w:val="2"/>
          <w:sz w:val="24"/>
          <w:szCs w:val="24"/>
        </w:rPr>
        <w:t>）</w:t>
      </w:r>
    </w:p>
    <w:p w14:paraId="74B53157">
      <w:pPr>
        <w:spacing w:before="130" w:line="374" w:lineRule="auto"/>
        <w:ind w:left="122" w:right="110" w:firstLine="480"/>
        <w:jc w:val="both"/>
        <w:rPr>
          <w:rFonts w:ascii="Times New Roman" w:hAnsi="Times New Roman" w:eastAsia="Times New Roman" w:cs="Times New Roman"/>
          <w:sz w:val="15"/>
          <w:szCs w:val="15"/>
        </w:rPr>
      </w:pPr>
      <w:r>
        <w:pict>
          <v:shape id="_x0000_s1034" o:spid="_x0000_s1034" o:spt="202" type="#_x0000_t202" style="position:absolute;left:0pt;margin-left:180.65pt;margin-top:54.4pt;height:32.7pt;width:100.4pt;z-index:251664384;mso-width-relative:page;mso-height-relative:page;" filled="f" stroked="f" coordsize="21600,21600">
            <v:path/>
            <v:fill on="f" focussize="0,0"/>
            <v:stroke on="f"/>
            <v:imagedata o:title=""/>
            <o:lock v:ext="edit" aspectratio="f"/>
            <v:textbox inset="0mm,0mm,0mm,0mm">
              <w:txbxContent>
                <w:p w14:paraId="72D29803">
                  <w:pPr>
                    <w:spacing w:before="20" w:line="285" w:lineRule="auto"/>
                    <w:ind w:left="960" w:right="20" w:hanging="941"/>
                    <w:rPr>
                      <w:rFonts w:ascii="Times New Roman" w:hAnsi="Times New Roman" w:eastAsia="Times New Roman" w:cs="Times New Roman"/>
                      <w:sz w:val="18"/>
                      <w:szCs w:val="18"/>
                    </w:rPr>
                  </w:pPr>
                  <w:r>
                    <w:rPr>
                      <w:rFonts w:ascii="Times New Roman" w:hAnsi="Times New Roman" w:eastAsia="Times New Roman" w:cs="Times New Roman"/>
                      <w:spacing w:val="-6"/>
                      <w:sz w:val="24"/>
                      <w:szCs w:val="24"/>
                    </w:rPr>
                    <w:t>0.9</w:t>
                  </w:r>
                  <w:r>
                    <w:rPr>
                      <w:rFonts w:ascii="宋体" w:hAnsi="宋体" w:eastAsia="宋体" w:cs="宋体"/>
                      <w:spacing w:val="-6"/>
                      <w:sz w:val="24"/>
                      <w:szCs w:val="24"/>
                    </w:rPr>
                    <w:t>（</w:t>
                  </w:r>
                  <w:r>
                    <w:rPr>
                      <w:rFonts w:ascii="Times New Roman" w:hAnsi="Times New Roman" w:eastAsia="Times New Roman" w:cs="Times New Roman"/>
                      <w:spacing w:val="-6"/>
                      <w:sz w:val="24"/>
                      <w:szCs w:val="24"/>
                    </w:rPr>
                    <w:t>&lt;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6"/>
                      <w:sz w:val="24"/>
                      <w:szCs w:val="24"/>
                    </w:rPr>
                    <w:t>1</w:t>
                  </w:r>
                  <w:r>
                    <w:rPr>
                      <w:rFonts w:ascii="宋体" w:hAnsi="宋体" w:eastAsia="宋体" w:cs="宋体"/>
                      <w:spacing w:val="-6"/>
                      <w:sz w:val="24"/>
                      <w:szCs w:val="24"/>
                    </w:rPr>
                    <w:t>）。因此，</w:t>
                  </w:r>
                  <w:r>
                    <w:rPr>
                      <w:rFonts w:ascii="宋体" w:hAnsi="宋体" w:eastAsia="宋体" w:cs="宋体"/>
                      <w:sz w:val="24"/>
                      <w:szCs w:val="24"/>
                    </w:rPr>
                    <w:t xml:space="preserve"> </w:t>
                  </w:r>
                  <w:r>
                    <w:rPr>
                      <w:rFonts w:ascii="Times New Roman" w:hAnsi="Times New Roman" w:eastAsia="Times New Roman" w:cs="Times New Roman"/>
                      <w:spacing w:val="-4"/>
                      <w:sz w:val="18"/>
                      <w:szCs w:val="18"/>
                    </w:rPr>
                    <w:t>91</w:t>
                  </w:r>
                </w:p>
              </w:txbxContent>
            </v:textbox>
          </v:shape>
        </w:pict>
      </w:r>
      <w:r>
        <w:rPr>
          <w:rFonts w:ascii="宋体" w:hAnsi="宋体" w:eastAsia="宋体" w:cs="宋体"/>
          <w:spacing w:val="-4"/>
          <w:sz w:val="24"/>
          <w:szCs w:val="24"/>
        </w:rPr>
        <w:t>根据表</w:t>
      </w:r>
      <w:r>
        <w:rPr>
          <w:rFonts w:ascii="Times New Roman" w:hAnsi="Times New Roman" w:eastAsia="Times New Roman" w:cs="Times New Roman"/>
          <w:spacing w:val="-4"/>
          <w:sz w:val="24"/>
          <w:szCs w:val="24"/>
        </w:rPr>
        <w:t>4.3-7</w:t>
      </w:r>
      <w:r>
        <w:rPr>
          <w:rFonts w:ascii="Times New Roman" w:hAnsi="Times New Roman" w:eastAsia="Times New Roman" w:cs="Times New Roman"/>
          <w:spacing w:val="41"/>
          <w:sz w:val="24"/>
          <w:szCs w:val="24"/>
        </w:rPr>
        <w:t xml:space="preserve"> </w:t>
      </w:r>
      <w:r>
        <w:rPr>
          <w:rFonts w:ascii="宋体" w:hAnsi="宋体" w:eastAsia="宋体" w:cs="宋体"/>
          <w:spacing w:val="-4"/>
          <w:sz w:val="24"/>
          <w:szCs w:val="24"/>
        </w:rPr>
        <w:t>中的监测统计结果可知，项目评价范围内的各监测点</w:t>
      </w:r>
      <w:r>
        <w:rPr>
          <w:rFonts w:ascii="宋体" w:hAnsi="宋体" w:eastAsia="宋体" w:cs="宋体"/>
          <w:spacing w:val="-63"/>
          <w:sz w:val="24"/>
          <w:szCs w:val="24"/>
        </w:rPr>
        <w:t xml:space="preserve"> </w:t>
      </w:r>
      <w:r>
        <w:rPr>
          <w:rFonts w:ascii="Times New Roman" w:hAnsi="Times New Roman" w:eastAsia="Times New Roman" w:cs="Times New Roman"/>
          <w:spacing w:val="-4"/>
          <w:sz w:val="24"/>
          <w:szCs w:val="24"/>
        </w:rPr>
        <w:t>NH</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31"/>
          <w:w w:val="102"/>
          <w:position w:val="-1"/>
          <w:sz w:val="15"/>
          <w:szCs w:val="15"/>
        </w:rPr>
        <w:t xml:space="preserve"> </w:t>
      </w:r>
      <w:r>
        <w:rPr>
          <w:rFonts w:ascii="宋体" w:hAnsi="宋体" w:eastAsia="宋体" w:cs="宋体"/>
          <w:spacing w:val="-4"/>
          <w:sz w:val="24"/>
          <w:szCs w:val="24"/>
        </w:rPr>
        <w:t>的</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小时</w:t>
      </w:r>
      <w:r>
        <w:rPr>
          <w:rFonts w:ascii="宋体" w:hAnsi="宋体" w:eastAsia="宋体" w:cs="宋体"/>
          <w:sz w:val="24"/>
          <w:szCs w:val="24"/>
        </w:rPr>
        <w:t xml:space="preserve"> </w:t>
      </w:r>
      <w:r>
        <w:rPr>
          <w:rFonts w:ascii="宋体" w:hAnsi="宋体" w:eastAsia="宋体" w:cs="宋体"/>
          <w:spacing w:val="-1"/>
          <w:sz w:val="24"/>
          <w:szCs w:val="24"/>
        </w:rPr>
        <w:t>平均浓度在</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11</w:t>
      </w:r>
      <w:r>
        <w:rPr>
          <w:rFonts w:ascii="宋体" w:hAnsi="宋体" w:eastAsia="宋体" w:cs="宋体"/>
          <w:spacing w:val="-1"/>
          <w:sz w:val="24"/>
          <w:szCs w:val="24"/>
        </w:rPr>
        <w:t>～</w:t>
      </w:r>
      <w:r>
        <w:rPr>
          <w:rFonts w:ascii="Times New Roman" w:hAnsi="Times New Roman" w:eastAsia="Times New Roman" w:cs="Times New Roman"/>
          <w:spacing w:val="-1"/>
          <w:sz w:val="24"/>
          <w:szCs w:val="24"/>
        </w:rPr>
        <w:t>0.18mg/m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3"/>
          <w:w w:val="101"/>
          <w:position w:val="8"/>
          <w:sz w:val="15"/>
          <w:szCs w:val="15"/>
        </w:rPr>
        <w:t xml:space="preserve"> </w:t>
      </w:r>
      <w:r>
        <w:rPr>
          <w:rFonts w:ascii="宋体" w:hAnsi="宋体" w:eastAsia="宋体" w:cs="宋体"/>
          <w:spacing w:val="-1"/>
          <w:sz w:val="24"/>
          <w:szCs w:val="24"/>
        </w:rPr>
        <w:t>之间，各监测点</w:t>
      </w:r>
      <w:r>
        <w:rPr>
          <w:rFonts w:ascii="宋体" w:hAnsi="宋体" w:eastAsia="宋体" w:cs="宋体"/>
          <w:spacing w:val="-2"/>
          <w:sz w:val="24"/>
          <w:szCs w:val="24"/>
        </w:rPr>
        <w:t>的检出率均为</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100%</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，各监测点超标率</w:t>
      </w:r>
      <w:r>
        <w:rPr>
          <w:rFonts w:ascii="宋体" w:hAnsi="宋体" w:eastAsia="宋体" w:cs="宋体"/>
          <w:sz w:val="24"/>
          <w:szCs w:val="24"/>
        </w:rPr>
        <w:t xml:space="preserve"> </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小时平均最大质量指数为                 可知评价范围</w:t>
      </w:r>
      <w:r>
        <w:rPr>
          <w:rFonts w:ascii="宋体" w:hAnsi="宋体" w:eastAsia="宋体" w:cs="宋体"/>
          <w:spacing w:val="2"/>
          <w:sz w:val="24"/>
          <w:szCs w:val="24"/>
        </w:rPr>
        <w:t>内各监测点</w:t>
      </w:r>
      <w:r>
        <w:rPr>
          <w:rFonts w:ascii="宋体" w:hAnsi="宋体" w:eastAsia="宋体" w:cs="宋体"/>
          <w:spacing w:val="-58"/>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2"/>
          <w:position w:val="-1"/>
          <w:sz w:val="15"/>
          <w:szCs w:val="15"/>
        </w:rPr>
        <w:t>3</w:t>
      </w:r>
    </w:p>
    <w:p w14:paraId="3018DB2F">
      <w:pPr>
        <w:spacing w:line="374" w:lineRule="auto"/>
        <w:rPr>
          <w:rFonts w:ascii="Times New Roman" w:hAnsi="Times New Roman" w:eastAsia="Times New Roman" w:cs="Times New Roman"/>
          <w:sz w:val="15"/>
          <w:szCs w:val="15"/>
        </w:rPr>
        <w:sectPr>
          <w:footerReference r:id="rId102" w:type="default"/>
          <w:pgSz w:w="11906" w:h="16839"/>
          <w:pgMar w:top="400" w:right="1475" w:bottom="400" w:left="1475" w:header="0" w:footer="0" w:gutter="0"/>
          <w:cols w:space="720" w:num="1"/>
        </w:sectPr>
      </w:pPr>
    </w:p>
    <w:p w14:paraId="746F32EF">
      <w:pPr>
        <w:pStyle w:val="2"/>
        <w:spacing w:line="255" w:lineRule="auto"/>
      </w:pPr>
    </w:p>
    <w:p w14:paraId="704650D0">
      <w:pPr>
        <w:pStyle w:val="2"/>
        <w:spacing w:line="255" w:lineRule="auto"/>
      </w:pPr>
    </w:p>
    <w:p w14:paraId="65D4DB21">
      <w:pPr>
        <w:pStyle w:val="2"/>
        <w:spacing w:line="255" w:lineRule="auto"/>
      </w:pPr>
    </w:p>
    <w:p w14:paraId="1625D73B">
      <w:pPr>
        <w:pStyle w:val="2"/>
        <w:spacing w:line="256" w:lineRule="auto"/>
      </w:pPr>
    </w:p>
    <w:p w14:paraId="0AB30E10">
      <w:pPr>
        <w:spacing w:before="78" w:line="342" w:lineRule="auto"/>
        <w:ind w:left="134" w:right="233" w:firstLine="8"/>
        <w:rPr>
          <w:rFonts w:ascii="宋体" w:hAnsi="宋体" w:eastAsia="宋体" w:cs="宋体"/>
          <w:sz w:val="24"/>
          <w:szCs w:val="24"/>
        </w:rPr>
      </w:pPr>
      <w:r>
        <w:rPr>
          <w:rFonts w:ascii="宋体" w:hAnsi="宋体" w:eastAsia="宋体" w:cs="宋体"/>
          <w:spacing w:val="13"/>
          <w:sz w:val="24"/>
          <w:szCs w:val="24"/>
        </w:rPr>
        <w:t>的</w:t>
      </w:r>
      <w:r>
        <w:rPr>
          <w:rFonts w:ascii="宋体" w:hAnsi="宋体" w:eastAsia="宋体" w:cs="宋体"/>
          <w:spacing w:val="-11"/>
          <w:sz w:val="24"/>
          <w:szCs w:val="24"/>
        </w:rPr>
        <w:t xml:space="preserve">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13"/>
          <w:sz w:val="24"/>
          <w:szCs w:val="24"/>
        </w:rPr>
        <w:t>小时平均浓度均没有超标，全部符合《环境影响评价技术导则大气环境》</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HJ2.2-2018</w:t>
      </w:r>
      <w:r>
        <w:rPr>
          <w:rFonts w:ascii="宋体" w:hAnsi="宋体" w:eastAsia="宋体" w:cs="宋体"/>
          <w:spacing w:val="-1"/>
          <w:sz w:val="24"/>
          <w:szCs w:val="24"/>
        </w:rPr>
        <w:t>）中附录</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D </w:t>
      </w:r>
      <w:r>
        <w:rPr>
          <w:rFonts w:ascii="宋体" w:hAnsi="宋体" w:eastAsia="宋体" w:cs="宋体"/>
          <w:spacing w:val="-1"/>
          <w:sz w:val="24"/>
          <w:szCs w:val="24"/>
        </w:rPr>
        <w:t>标准限</w:t>
      </w:r>
      <w:r>
        <w:rPr>
          <w:rFonts w:ascii="宋体" w:hAnsi="宋体" w:eastAsia="宋体" w:cs="宋体"/>
          <w:spacing w:val="-2"/>
          <w:sz w:val="24"/>
          <w:szCs w:val="24"/>
        </w:rPr>
        <w:t>值要求。</w:t>
      </w:r>
    </w:p>
    <w:p w14:paraId="7EBD7C64">
      <w:pPr>
        <w:spacing w:line="362"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）硫化氢（</w:t>
      </w:r>
      <w:r>
        <w:rPr>
          <w:rFonts w:ascii="Times New Roman" w:hAnsi="Times New Roman" w:eastAsia="Times New Roman" w:cs="Times New Roman"/>
          <w:spacing w:val="-2"/>
          <w:position w:val="2"/>
          <w:sz w:val="24"/>
          <w:szCs w:val="24"/>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position w:val="2"/>
          <w:sz w:val="24"/>
          <w:szCs w:val="24"/>
        </w:rPr>
        <w:t>S</w:t>
      </w:r>
      <w:r>
        <w:rPr>
          <w:rFonts w:ascii="宋体" w:hAnsi="宋体" w:eastAsia="宋体" w:cs="宋体"/>
          <w:spacing w:val="-2"/>
          <w:position w:val="2"/>
          <w:sz w:val="24"/>
          <w:szCs w:val="24"/>
        </w:rPr>
        <w:t>）</w:t>
      </w:r>
    </w:p>
    <w:p w14:paraId="7E0C4A89">
      <w:pPr>
        <w:spacing w:before="103" w:line="360" w:lineRule="exact"/>
        <w:ind w:left="602"/>
        <w:rPr>
          <w:rFonts w:ascii="宋体" w:hAnsi="宋体" w:eastAsia="宋体" w:cs="宋体"/>
          <w:sz w:val="24"/>
          <w:szCs w:val="24"/>
        </w:rPr>
      </w:pPr>
      <w:r>
        <w:rPr>
          <w:rFonts w:ascii="宋体" w:hAnsi="宋体" w:eastAsia="宋体" w:cs="宋体"/>
          <w:position w:val="2"/>
          <w:sz w:val="24"/>
          <w:szCs w:val="24"/>
        </w:rPr>
        <w:t>根据表</w:t>
      </w:r>
      <w:r>
        <w:rPr>
          <w:rFonts w:ascii="Times New Roman" w:hAnsi="Times New Roman" w:eastAsia="Times New Roman" w:cs="Times New Roman"/>
          <w:position w:val="2"/>
          <w:sz w:val="24"/>
          <w:szCs w:val="24"/>
        </w:rPr>
        <w:t>4.4-7</w:t>
      </w:r>
      <w:r>
        <w:rPr>
          <w:rFonts w:ascii="Times New Roman" w:hAnsi="Times New Roman" w:eastAsia="Times New Roman" w:cs="Times New Roman"/>
          <w:spacing w:val="48"/>
          <w:w w:val="101"/>
          <w:position w:val="2"/>
          <w:sz w:val="24"/>
          <w:szCs w:val="24"/>
        </w:rPr>
        <w:t xml:space="preserve"> </w:t>
      </w:r>
      <w:r>
        <w:rPr>
          <w:rFonts w:ascii="宋体" w:hAnsi="宋体" w:eastAsia="宋体" w:cs="宋体"/>
          <w:position w:val="2"/>
          <w:sz w:val="24"/>
          <w:szCs w:val="24"/>
        </w:rPr>
        <w:t>中的监测统计结果可知，监测位置硫化氢为未检出。</w:t>
      </w:r>
    </w:p>
    <w:p w14:paraId="4D632D43">
      <w:pPr>
        <w:spacing w:before="107" w:line="361" w:lineRule="exact"/>
        <w:ind w:left="614"/>
        <w:rPr>
          <w:rFonts w:ascii="宋体" w:hAnsi="宋体" w:eastAsia="宋体" w:cs="宋体"/>
          <w:sz w:val="24"/>
          <w:szCs w:val="24"/>
        </w:rPr>
      </w:pPr>
      <w:r>
        <w:rPr>
          <w:rFonts w:ascii="宋体" w:hAnsi="宋体" w:eastAsia="宋体" w:cs="宋体"/>
          <w:spacing w:val="-5"/>
          <w:position w:val="2"/>
          <w:sz w:val="24"/>
          <w:szCs w:val="24"/>
        </w:rPr>
        <w:t>（</w:t>
      </w:r>
      <w:r>
        <w:rPr>
          <w:rFonts w:ascii="Times New Roman" w:hAnsi="Times New Roman" w:eastAsia="Times New Roman" w:cs="Times New Roman"/>
          <w:spacing w:val="-5"/>
          <w:position w:val="2"/>
          <w:sz w:val="24"/>
          <w:szCs w:val="24"/>
        </w:rPr>
        <w:t>3</w:t>
      </w:r>
      <w:r>
        <w:rPr>
          <w:rFonts w:ascii="宋体" w:hAnsi="宋体" w:eastAsia="宋体" w:cs="宋体"/>
          <w:spacing w:val="-5"/>
          <w:position w:val="2"/>
          <w:sz w:val="24"/>
          <w:szCs w:val="24"/>
        </w:rPr>
        <w:t>）臭气</w:t>
      </w:r>
    </w:p>
    <w:p w14:paraId="538738AB">
      <w:pPr>
        <w:spacing w:before="107" w:line="361" w:lineRule="exact"/>
        <w:ind w:left="602"/>
        <w:rPr>
          <w:rFonts w:ascii="宋体" w:hAnsi="宋体" w:eastAsia="宋体" w:cs="宋体"/>
          <w:sz w:val="24"/>
          <w:szCs w:val="24"/>
        </w:rPr>
      </w:pPr>
      <w:r>
        <w:rPr>
          <w:rFonts w:ascii="宋体" w:hAnsi="宋体" w:eastAsia="宋体" w:cs="宋体"/>
          <w:position w:val="2"/>
          <w:sz w:val="24"/>
          <w:szCs w:val="24"/>
        </w:rPr>
        <w:t>根据表</w:t>
      </w:r>
      <w:r>
        <w:rPr>
          <w:rFonts w:ascii="Times New Roman" w:hAnsi="Times New Roman" w:eastAsia="Times New Roman" w:cs="Times New Roman"/>
          <w:position w:val="2"/>
          <w:sz w:val="24"/>
          <w:szCs w:val="24"/>
        </w:rPr>
        <w:t>4.3-7</w:t>
      </w:r>
      <w:r>
        <w:rPr>
          <w:rFonts w:ascii="Times New Roman" w:hAnsi="Times New Roman" w:eastAsia="Times New Roman" w:cs="Times New Roman"/>
          <w:spacing w:val="48"/>
          <w:w w:val="101"/>
          <w:position w:val="2"/>
          <w:sz w:val="24"/>
          <w:szCs w:val="24"/>
        </w:rPr>
        <w:t xml:space="preserve"> </w:t>
      </w:r>
      <w:r>
        <w:rPr>
          <w:rFonts w:ascii="宋体" w:hAnsi="宋体" w:eastAsia="宋体" w:cs="宋体"/>
          <w:position w:val="2"/>
          <w:sz w:val="24"/>
          <w:szCs w:val="24"/>
        </w:rPr>
        <w:t>中的监测统计结果可知，监测位置臭气浓度为未检出。</w:t>
      </w:r>
    </w:p>
    <w:p w14:paraId="6E51A683">
      <w:pPr>
        <w:spacing w:before="105" w:line="358"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4</w:t>
      </w:r>
      <w:r>
        <w:rPr>
          <w:rFonts w:ascii="宋体" w:hAnsi="宋体" w:eastAsia="宋体" w:cs="宋体"/>
          <w:spacing w:val="-2"/>
          <w:position w:val="2"/>
          <w:sz w:val="24"/>
          <w:szCs w:val="24"/>
        </w:rPr>
        <w:t>）环境空气质量现状评价小结</w:t>
      </w:r>
    </w:p>
    <w:p w14:paraId="61B9BE0A">
      <w:pPr>
        <w:spacing w:before="109" w:line="357" w:lineRule="auto"/>
        <w:ind w:left="123" w:right="216" w:firstLine="479"/>
        <w:rPr>
          <w:rFonts w:ascii="宋体" w:hAnsi="宋体" w:eastAsia="宋体" w:cs="宋体"/>
          <w:sz w:val="24"/>
          <w:szCs w:val="24"/>
        </w:rPr>
      </w:pPr>
      <w:r>
        <w:rPr>
          <w:rFonts w:ascii="宋体" w:hAnsi="宋体" w:eastAsia="宋体" w:cs="宋体"/>
          <w:spacing w:val="2"/>
          <w:sz w:val="24"/>
          <w:szCs w:val="24"/>
        </w:rPr>
        <w:t>环境空气质量现状监测与评价表明，项目所在区域为达标区；评价范围</w:t>
      </w:r>
      <w:r>
        <w:rPr>
          <w:rFonts w:ascii="宋体" w:hAnsi="宋体" w:eastAsia="宋体" w:cs="宋体"/>
          <w:spacing w:val="1"/>
          <w:sz w:val="24"/>
          <w:szCs w:val="24"/>
        </w:rPr>
        <w:t>内</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个</w:t>
      </w:r>
      <w:r>
        <w:rPr>
          <w:rFonts w:ascii="宋体" w:hAnsi="宋体" w:eastAsia="宋体" w:cs="宋体"/>
          <w:sz w:val="24"/>
          <w:szCs w:val="24"/>
        </w:rPr>
        <w:t xml:space="preserve"> </w:t>
      </w:r>
      <w:r>
        <w:rPr>
          <w:rFonts w:ascii="宋体" w:hAnsi="宋体" w:eastAsia="宋体" w:cs="宋体"/>
          <w:spacing w:val="1"/>
          <w:sz w:val="24"/>
          <w:szCs w:val="24"/>
        </w:rPr>
        <w:t>监测点的</w:t>
      </w:r>
      <w:r>
        <w:rPr>
          <w:rFonts w:ascii="宋体" w:hAnsi="宋体" w:eastAsia="宋体" w:cs="宋体"/>
          <w:spacing w:val="-60"/>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5"/>
          <w:w w:val="102"/>
          <w:position w:val="-1"/>
          <w:sz w:val="15"/>
          <w:szCs w:val="15"/>
        </w:rPr>
        <w:t xml:space="preserve"> </w:t>
      </w:r>
      <w:r>
        <w:rPr>
          <w:rFonts w:ascii="宋体" w:hAnsi="宋体" w:eastAsia="宋体" w:cs="宋体"/>
          <w:spacing w:val="1"/>
          <w:sz w:val="24"/>
          <w:szCs w:val="24"/>
        </w:rPr>
        <w:t>连续</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天的</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1"/>
          <w:sz w:val="24"/>
          <w:szCs w:val="24"/>
        </w:rPr>
        <w:t xml:space="preserve"> </w:t>
      </w:r>
      <w:r>
        <w:rPr>
          <w:rFonts w:ascii="宋体" w:hAnsi="宋体" w:eastAsia="宋体" w:cs="宋体"/>
          <w:spacing w:val="1"/>
          <w:sz w:val="24"/>
          <w:szCs w:val="24"/>
        </w:rPr>
        <w:t>小时平均浓度超标率为</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，能满足《环境影响评价技术</w:t>
      </w:r>
      <w:r>
        <w:rPr>
          <w:rFonts w:ascii="宋体" w:hAnsi="宋体" w:eastAsia="宋体" w:cs="宋体"/>
          <w:sz w:val="24"/>
          <w:szCs w:val="24"/>
        </w:rPr>
        <w:t xml:space="preserve"> 导则大气环境》（</w:t>
      </w:r>
      <w:r>
        <w:rPr>
          <w:rFonts w:ascii="Times New Roman" w:hAnsi="Times New Roman" w:eastAsia="Times New Roman" w:cs="Times New Roman"/>
          <w:sz w:val="24"/>
          <w:szCs w:val="24"/>
        </w:rPr>
        <w:t>HJ2.2-2018</w:t>
      </w:r>
      <w:r>
        <w:rPr>
          <w:rFonts w:ascii="宋体" w:hAnsi="宋体" w:eastAsia="宋体" w:cs="宋体"/>
          <w:sz w:val="24"/>
          <w:szCs w:val="24"/>
        </w:rPr>
        <w:t>）中附录</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D </w:t>
      </w:r>
      <w:r>
        <w:rPr>
          <w:rFonts w:ascii="宋体" w:hAnsi="宋体" w:eastAsia="宋体" w:cs="宋体"/>
          <w:sz w:val="24"/>
          <w:szCs w:val="24"/>
        </w:rPr>
        <w:t>标</w:t>
      </w:r>
      <w:r>
        <w:rPr>
          <w:rFonts w:ascii="宋体" w:hAnsi="宋体" w:eastAsia="宋体" w:cs="宋体"/>
          <w:spacing w:val="-1"/>
          <w:sz w:val="24"/>
          <w:szCs w:val="24"/>
        </w:rPr>
        <w:t>准限值要求；硫化氢空臭气为未检出。</w:t>
      </w:r>
    </w:p>
    <w:p w14:paraId="1024E60C">
      <w:pPr>
        <w:pStyle w:val="2"/>
        <w:spacing w:line="334" w:lineRule="auto"/>
      </w:pPr>
    </w:p>
    <w:p w14:paraId="0E688A05">
      <w:pPr>
        <w:spacing w:before="101" w:line="224" w:lineRule="auto"/>
        <w:ind w:left="121"/>
        <w:outlineLvl w:val="1"/>
        <w:rPr>
          <w:rFonts w:ascii="宋体" w:hAnsi="宋体" w:eastAsia="宋体" w:cs="宋体"/>
          <w:sz w:val="31"/>
          <w:szCs w:val="31"/>
        </w:rPr>
      </w:pPr>
      <w:bookmarkStart w:id="30" w:name="bookmark27"/>
      <w:bookmarkEnd w:id="30"/>
      <w:r>
        <w:rPr>
          <w:rFonts w:ascii="Times New Roman" w:hAnsi="Times New Roman" w:eastAsia="Times New Roman" w:cs="Times New Roman"/>
          <w:b/>
          <w:bCs/>
          <w:spacing w:val="6"/>
          <w:sz w:val="31"/>
          <w:szCs w:val="31"/>
        </w:rPr>
        <w:t>4.4</w:t>
      </w:r>
      <w:r>
        <w:rPr>
          <w:rFonts w:ascii="宋体" w:hAnsi="宋体" w:eastAsia="宋体" w:cs="宋体"/>
          <w:b/>
          <w:bCs/>
          <w:spacing w:val="6"/>
          <w:sz w:val="31"/>
          <w:szCs w:val="31"/>
        </w:rPr>
        <w:t>声环境质量现状评价</w:t>
      </w:r>
    </w:p>
    <w:p w14:paraId="5DD8450E">
      <w:pPr>
        <w:pStyle w:val="2"/>
        <w:spacing w:line="410" w:lineRule="auto"/>
      </w:pPr>
    </w:p>
    <w:p w14:paraId="3C6CB0AF">
      <w:pPr>
        <w:spacing w:before="79" w:line="220"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4.4.1</w:t>
      </w:r>
      <w:r>
        <w:rPr>
          <w:rFonts w:ascii="宋体" w:hAnsi="宋体" w:eastAsia="宋体" w:cs="宋体"/>
          <w:b/>
          <w:bCs/>
          <w:spacing w:val="-2"/>
          <w:sz w:val="24"/>
          <w:szCs w:val="24"/>
        </w:rPr>
        <w:t>声环境质量现状监测</w:t>
      </w:r>
    </w:p>
    <w:p w14:paraId="0D9DE58E">
      <w:pPr>
        <w:spacing w:before="168"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）监测采样点布设</w:t>
      </w:r>
    </w:p>
    <w:p w14:paraId="22F701E1">
      <w:pPr>
        <w:spacing w:before="128" w:line="360" w:lineRule="exact"/>
        <w:ind w:left="602"/>
        <w:rPr>
          <w:rFonts w:ascii="宋体" w:hAnsi="宋体" w:eastAsia="宋体" w:cs="宋体"/>
          <w:sz w:val="24"/>
          <w:szCs w:val="24"/>
        </w:rPr>
      </w:pPr>
      <w:r>
        <w:rPr>
          <w:rFonts w:ascii="宋体" w:hAnsi="宋体" w:eastAsia="宋体" w:cs="宋体"/>
          <w:spacing w:val="-1"/>
          <w:position w:val="2"/>
          <w:sz w:val="24"/>
          <w:szCs w:val="24"/>
        </w:rPr>
        <w:t>在项目选址个边界共布设</w:t>
      </w:r>
      <w:r>
        <w:rPr>
          <w:rFonts w:ascii="宋体" w:hAnsi="宋体" w:eastAsia="宋体" w:cs="宋体"/>
          <w:spacing w:val="-52"/>
          <w:position w:val="2"/>
          <w:sz w:val="24"/>
          <w:szCs w:val="24"/>
        </w:rPr>
        <w:t xml:space="preserve"> </w:t>
      </w:r>
      <w:r>
        <w:rPr>
          <w:rFonts w:ascii="Times New Roman" w:hAnsi="Times New Roman" w:eastAsia="Times New Roman" w:cs="Times New Roman"/>
          <w:spacing w:val="-1"/>
          <w:position w:val="2"/>
          <w:sz w:val="24"/>
          <w:szCs w:val="24"/>
        </w:rPr>
        <w:t xml:space="preserve">4 </w:t>
      </w:r>
      <w:r>
        <w:rPr>
          <w:rFonts w:ascii="宋体" w:hAnsi="宋体" w:eastAsia="宋体" w:cs="宋体"/>
          <w:spacing w:val="-1"/>
          <w:position w:val="2"/>
          <w:sz w:val="24"/>
          <w:szCs w:val="24"/>
        </w:rPr>
        <w:t>个监测点。</w:t>
      </w:r>
    </w:p>
    <w:p w14:paraId="7DF19CCA">
      <w:pPr>
        <w:spacing w:before="182" w:line="228" w:lineRule="auto"/>
        <w:ind w:left="3164"/>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2"/>
          <w:sz w:val="20"/>
          <w:szCs w:val="20"/>
        </w:rPr>
        <w:t xml:space="preserve"> </w:t>
      </w:r>
      <w:r>
        <w:rPr>
          <w:rFonts w:ascii="Times New Roman" w:hAnsi="Times New Roman" w:eastAsia="Times New Roman" w:cs="Times New Roman"/>
          <w:b/>
          <w:bCs/>
          <w:spacing w:val="5"/>
          <w:sz w:val="20"/>
          <w:szCs w:val="20"/>
        </w:rPr>
        <w:t>4.4-1</w:t>
      </w:r>
      <w:r>
        <w:rPr>
          <w:rFonts w:ascii="Times New Roman" w:hAnsi="Times New Roman" w:eastAsia="Times New Roman" w:cs="Times New Roman"/>
          <w:b/>
          <w:bCs/>
          <w:spacing w:val="16"/>
          <w:w w:val="101"/>
          <w:sz w:val="20"/>
          <w:szCs w:val="20"/>
        </w:rPr>
        <w:t xml:space="preserve"> </w:t>
      </w:r>
      <w:r>
        <w:rPr>
          <w:rFonts w:ascii="宋体" w:hAnsi="宋体" w:eastAsia="宋体" w:cs="宋体"/>
          <w:b/>
          <w:bCs/>
          <w:spacing w:val="5"/>
          <w:sz w:val="20"/>
          <w:szCs w:val="20"/>
        </w:rPr>
        <w:t>声环境质量现状监测布点</w:t>
      </w:r>
    </w:p>
    <w:p w14:paraId="72CE58B3">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9"/>
        <w:gridCol w:w="2235"/>
        <w:gridCol w:w="2236"/>
        <w:gridCol w:w="2240"/>
      </w:tblGrid>
      <w:tr w14:paraId="68B8C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2239" w:type="dxa"/>
            <w:vAlign w:val="top"/>
          </w:tcPr>
          <w:p w14:paraId="36565273">
            <w:pPr>
              <w:pStyle w:val="6"/>
              <w:spacing w:before="226" w:line="230" w:lineRule="auto"/>
              <w:ind w:left="915"/>
            </w:pPr>
            <w:r>
              <w:rPr>
                <w:b/>
                <w:bCs/>
                <w:spacing w:val="4"/>
              </w:rPr>
              <w:t>序号</w:t>
            </w:r>
          </w:p>
        </w:tc>
        <w:tc>
          <w:tcPr>
            <w:tcW w:w="2235" w:type="dxa"/>
            <w:vAlign w:val="top"/>
          </w:tcPr>
          <w:p w14:paraId="41B4A0AA">
            <w:pPr>
              <w:pStyle w:val="6"/>
              <w:spacing w:before="226" w:line="230" w:lineRule="auto"/>
              <w:ind w:left="597"/>
            </w:pPr>
            <w:r>
              <w:rPr>
                <w:b/>
                <w:bCs/>
                <w:spacing w:val="6"/>
              </w:rPr>
              <w:t>监测点名称</w:t>
            </w:r>
          </w:p>
        </w:tc>
        <w:tc>
          <w:tcPr>
            <w:tcW w:w="2236" w:type="dxa"/>
            <w:vAlign w:val="top"/>
          </w:tcPr>
          <w:p w14:paraId="703112CE">
            <w:pPr>
              <w:pStyle w:val="6"/>
              <w:spacing w:before="226" w:line="230" w:lineRule="auto"/>
              <w:ind w:left="914"/>
            </w:pPr>
            <w:r>
              <w:rPr>
                <w:b/>
                <w:bCs/>
                <w:spacing w:val="3"/>
              </w:rPr>
              <w:t>属性</w:t>
            </w:r>
          </w:p>
        </w:tc>
        <w:tc>
          <w:tcPr>
            <w:tcW w:w="2240" w:type="dxa"/>
            <w:vAlign w:val="top"/>
          </w:tcPr>
          <w:p w14:paraId="5964FA3D">
            <w:pPr>
              <w:pStyle w:val="6"/>
              <w:spacing w:before="63" w:line="229" w:lineRule="auto"/>
              <w:ind w:left="120"/>
            </w:pPr>
            <w:r>
              <w:rPr>
                <w:b/>
                <w:bCs/>
                <w:spacing w:val="6"/>
              </w:rPr>
              <w:t>监测点与项目的方位、</w:t>
            </w:r>
          </w:p>
          <w:p w14:paraId="70596070">
            <w:pPr>
              <w:pStyle w:val="6"/>
              <w:spacing w:before="78" w:line="229" w:lineRule="auto"/>
              <w:ind w:left="913"/>
            </w:pPr>
            <w:r>
              <w:rPr>
                <w:b/>
                <w:bCs/>
                <w:spacing w:val="4"/>
              </w:rPr>
              <w:t>距离</w:t>
            </w:r>
          </w:p>
        </w:tc>
      </w:tr>
      <w:tr w14:paraId="16EA2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239" w:type="dxa"/>
            <w:vAlign w:val="top"/>
          </w:tcPr>
          <w:p w14:paraId="72597F2C">
            <w:pPr>
              <w:spacing w:before="30" w:line="274" w:lineRule="exact"/>
              <w:ind w:left="986"/>
              <w:rPr>
                <w:rFonts w:ascii="Times New Roman" w:hAnsi="Times New Roman" w:eastAsia="Times New Roman" w:cs="Times New Roman"/>
                <w:sz w:val="20"/>
                <w:szCs w:val="20"/>
              </w:rPr>
            </w:pPr>
            <w:r>
              <w:rPr>
                <w:rFonts w:ascii="Times New Roman" w:hAnsi="Times New Roman" w:eastAsia="Times New Roman" w:cs="Times New Roman"/>
                <w:spacing w:val="16"/>
                <w:position w:val="2"/>
                <w:sz w:val="20"/>
                <w:szCs w:val="20"/>
              </w:rPr>
              <w:t>N1</w:t>
            </w:r>
          </w:p>
        </w:tc>
        <w:tc>
          <w:tcPr>
            <w:tcW w:w="2235" w:type="dxa"/>
            <w:vAlign w:val="top"/>
          </w:tcPr>
          <w:p w14:paraId="7195CF57">
            <w:pPr>
              <w:pStyle w:val="6"/>
              <w:spacing w:before="61" w:line="228" w:lineRule="auto"/>
              <w:ind w:left="600"/>
            </w:pPr>
            <w:r>
              <w:rPr>
                <w:spacing w:val="7"/>
              </w:rPr>
              <w:t>项目东边界</w:t>
            </w:r>
          </w:p>
        </w:tc>
        <w:tc>
          <w:tcPr>
            <w:tcW w:w="2236" w:type="dxa"/>
            <w:vAlign w:val="top"/>
          </w:tcPr>
          <w:p w14:paraId="7F27F30F">
            <w:pPr>
              <w:spacing w:before="185" w:line="97" w:lineRule="exact"/>
              <w:ind w:left="105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2240" w:type="dxa"/>
            <w:vAlign w:val="top"/>
          </w:tcPr>
          <w:p w14:paraId="469F34FE">
            <w:pPr>
              <w:spacing w:before="30" w:line="274" w:lineRule="exact"/>
              <w:ind w:left="1007"/>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1m</w:t>
            </w:r>
          </w:p>
        </w:tc>
      </w:tr>
      <w:tr w14:paraId="79901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239" w:type="dxa"/>
            <w:vAlign w:val="top"/>
          </w:tcPr>
          <w:p w14:paraId="40A3D36B">
            <w:pPr>
              <w:spacing w:before="31" w:line="274" w:lineRule="exact"/>
              <w:ind w:left="98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N2</w:t>
            </w:r>
          </w:p>
        </w:tc>
        <w:tc>
          <w:tcPr>
            <w:tcW w:w="2235" w:type="dxa"/>
            <w:vAlign w:val="top"/>
          </w:tcPr>
          <w:p w14:paraId="6B4DE4F9">
            <w:pPr>
              <w:pStyle w:val="6"/>
              <w:spacing w:before="62" w:line="229" w:lineRule="auto"/>
              <w:ind w:left="600"/>
            </w:pPr>
            <w:r>
              <w:rPr>
                <w:spacing w:val="7"/>
              </w:rPr>
              <w:t>项目南边界</w:t>
            </w:r>
          </w:p>
        </w:tc>
        <w:tc>
          <w:tcPr>
            <w:tcW w:w="2236" w:type="dxa"/>
            <w:vAlign w:val="top"/>
          </w:tcPr>
          <w:p w14:paraId="64FE9A2E">
            <w:pPr>
              <w:spacing w:before="186" w:line="97" w:lineRule="exact"/>
              <w:ind w:left="105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2240" w:type="dxa"/>
            <w:vAlign w:val="top"/>
          </w:tcPr>
          <w:p w14:paraId="261ADBF7">
            <w:pPr>
              <w:spacing w:before="31" w:line="274" w:lineRule="exact"/>
              <w:ind w:left="1007"/>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1m</w:t>
            </w:r>
          </w:p>
        </w:tc>
      </w:tr>
      <w:tr w14:paraId="72F08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239" w:type="dxa"/>
            <w:vAlign w:val="top"/>
          </w:tcPr>
          <w:p w14:paraId="6FAA75BC">
            <w:pPr>
              <w:spacing w:before="32" w:line="274" w:lineRule="exact"/>
              <w:ind w:left="98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N3</w:t>
            </w:r>
          </w:p>
        </w:tc>
        <w:tc>
          <w:tcPr>
            <w:tcW w:w="2235" w:type="dxa"/>
            <w:vAlign w:val="top"/>
          </w:tcPr>
          <w:p w14:paraId="5B2E0B8D">
            <w:pPr>
              <w:pStyle w:val="6"/>
              <w:spacing w:before="63" w:line="229" w:lineRule="auto"/>
              <w:ind w:left="600"/>
            </w:pPr>
            <w:r>
              <w:rPr>
                <w:spacing w:val="7"/>
              </w:rPr>
              <w:t>项目西边界</w:t>
            </w:r>
          </w:p>
        </w:tc>
        <w:tc>
          <w:tcPr>
            <w:tcW w:w="2236" w:type="dxa"/>
            <w:vAlign w:val="top"/>
          </w:tcPr>
          <w:p w14:paraId="201DE486">
            <w:pPr>
              <w:spacing w:before="187" w:line="97" w:lineRule="exact"/>
              <w:ind w:left="105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2240" w:type="dxa"/>
            <w:vAlign w:val="top"/>
          </w:tcPr>
          <w:p w14:paraId="589A0386">
            <w:pPr>
              <w:spacing w:before="32" w:line="274" w:lineRule="exact"/>
              <w:ind w:left="1007"/>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1m</w:t>
            </w:r>
          </w:p>
        </w:tc>
      </w:tr>
      <w:tr w14:paraId="539D5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239" w:type="dxa"/>
            <w:vAlign w:val="top"/>
          </w:tcPr>
          <w:p w14:paraId="24F519E9">
            <w:pPr>
              <w:spacing w:before="33" w:line="274" w:lineRule="exact"/>
              <w:ind w:left="98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N4</w:t>
            </w:r>
          </w:p>
        </w:tc>
        <w:tc>
          <w:tcPr>
            <w:tcW w:w="2235" w:type="dxa"/>
            <w:vAlign w:val="top"/>
          </w:tcPr>
          <w:p w14:paraId="400A09A0">
            <w:pPr>
              <w:pStyle w:val="6"/>
              <w:spacing w:before="64" w:line="229" w:lineRule="auto"/>
              <w:ind w:left="600"/>
            </w:pPr>
            <w:r>
              <w:rPr>
                <w:spacing w:val="7"/>
              </w:rPr>
              <w:t>项目北边界</w:t>
            </w:r>
          </w:p>
        </w:tc>
        <w:tc>
          <w:tcPr>
            <w:tcW w:w="2236" w:type="dxa"/>
            <w:vAlign w:val="top"/>
          </w:tcPr>
          <w:p w14:paraId="3EEFC6E9">
            <w:pPr>
              <w:spacing w:before="188" w:line="97" w:lineRule="exact"/>
              <w:ind w:left="105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2240" w:type="dxa"/>
            <w:vAlign w:val="top"/>
          </w:tcPr>
          <w:p w14:paraId="2ADE7CED">
            <w:pPr>
              <w:spacing w:before="33" w:line="274" w:lineRule="exact"/>
              <w:ind w:left="1007"/>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1m</w:t>
            </w:r>
          </w:p>
        </w:tc>
      </w:tr>
    </w:tbl>
    <w:p w14:paraId="1DFF9357">
      <w:pPr>
        <w:spacing w:before="89" w:line="361"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）监测项目</w:t>
      </w:r>
    </w:p>
    <w:p w14:paraId="13E161FB">
      <w:pPr>
        <w:spacing w:before="164" w:line="212" w:lineRule="auto"/>
        <w:ind w:left="603"/>
        <w:rPr>
          <w:rFonts w:ascii="宋体" w:hAnsi="宋体" w:eastAsia="宋体" w:cs="宋体"/>
          <w:sz w:val="24"/>
          <w:szCs w:val="24"/>
        </w:rPr>
      </w:pPr>
      <w:r>
        <w:rPr>
          <w:rFonts w:ascii="宋体" w:hAnsi="宋体" w:eastAsia="宋体" w:cs="宋体"/>
          <w:spacing w:val="-2"/>
          <w:sz w:val="24"/>
          <w:szCs w:val="24"/>
        </w:rPr>
        <w:t>连续等效</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A </w:t>
      </w:r>
      <w:r>
        <w:rPr>
          <w:rFonts w:ascii="宋体" w:hAnsi="宋体" w:eastAsia="宋体" w:cs="宋体"/>
          <w:spacing w:val="-2"/>
          <w:sz w:val="24"/>
          <w:szCs w:val="24"/>
        </w:rPr>
        <w:t>声级</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Leq</w:t>
      </w:r>
      <w:r>
        <w:rPr>
          <w:rFonts w:ascii="宋体" w:hAnsi="宋体" w:eastAsia="宋体" w:cs="宋体"/>
          <w:spacing w:val="-2"/>
          <w:sz w:val="24"/>
          <w:szCs w:val="24"/>
        </w:rPr>
        <w:t>。</w:t>
      </w:r>
    </w:p>
    <w:p w14:paraId="006AFE39">
      <w:pPr>
        <w:spacing w:before="176" w:line="360"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）监测时间及监测频次</w:t>
      </w:r>
    </w:p>
    <w:p w14:paraId="19D45A93">
      <w:pPr>
        <w:spacing w:before="129" w:line="374" w:lineRule="auto"/>
        <w:ind w:left="123" w:firstLine="474"/>
        <w:rPr>
          <w:rFonts w:ascii="宋体" w:hAnsi="宋体" w:eastAsia="宋体" w:cs="宋体"/>
          <w:sz w:val="24"/>
          <w:szCs w:val="24"/>
        </w:rPr>
      </w:pPr>
      <w:r>
        <w:rPr>
          <w:rFonts w:ascii="Times New Roman" w:hAnsi="Times New Roman" w:eastAsia="Times New Roman" w:cs="Times New Roman"/>
          <w:spacing w:val="-15"/>
          <w:sz w:val="24"/>
          <w:szCs w:val="24"/>
        </w:rPr>
        <w:t xml:space="preserve">2020 </w:t>
      </w:r>
      <w:r>
        <w:rPr>
          <w:rFonts w:ascii="宋体" w:hAnsi="宋体" w:eastAsia="宋体" w:cs="宋体"/>
          <w:spacing w:val="-15"/>
          <w:sz w:val="24"/>
          <w:szCs w:val="24"/>
        </w:rPr>
        <w:t>年</w:t>
      </w:r>
      <w:r>
        <w:rPr>
          <w:rFonts w:ascii="宋体" w:hAnsi="宋体" w:eastAsia="宋体" w:cs="宋体"/>
          <w:spacing w:val="-56"/>
          <w:sz w:val="24"/>
          <w:szCs w:val="24"/>
        </w:rPr>
        <w:t xml:space="preserve"> </w:t>
      </w:r>
      <w:r>
        <w:rPr>
          <w:rFonts w:ascii="Times New Roman" w:hAnsi="Times New Roman" w:eastAsia="Times New Roman" w:cs="Times New Roman"/>
          <w:spacing w:val="-15"/>
          <w:sz w:val="24"/>
          <w:szCs w:val="24"/>
        </w:rPr>
        <w:t xml:space="preserve">11 </w:t>
      </w:r>
      <w:r>
        <w:rPr>
          <w:rFonts w:ascii="宋体" w:hAnsi="宋体" w:eastAsia="宋体" w:cs="宋体"/>
          <w:spacing w:val="-15"/>
          <w:sz w:val="24"/>
          <w:szCs w:val="24"/>
        </w:rPr>
        <w:t>月</w:t>
      </w:r>
      <w:r>
        <w:rPr>
          <w:rFonts w:ascii="宋体" w:hAnsi="宋体" w:eastAsia="宋体" w:cs="宋体"/>
          <w:spacing w:val="-56"/>
          <w:sz w:val="24"/>
          <w:szCs w:val="24"/>
        </w:rPr>
        <w:t xml:space="preserve"> </w:t>
      </w:r>
      <w:r>
        <w:rPr>
          <w:rFonts w:ascii="Times New Roman" w:hAnsi="Times New Roman" w:eastAsia="Times New Roman" w:cs="Times New Roman"/>
          <w:spacing w:val="-15"/>
          <w:sz w:val="24"/>
          <w:szCs w:val="24"/>
        </w:rPr>
        <w:t>10</w:t>
      </w:r>
      <w:r>
        <w:rPr>
          <w:rFonts w:ascii="Times New Roman" w:hAnsi="Times New Roman" w:eastAsia="Times New Roman" w:cs="Times New Roman"/>
          <w:spacing w:val="29"/>
          <w:sz w:val="24"/>
          <w:szCs w:val="24"/>
        </w:rPr>
        <w:t xml:space="preserve"> </w:t>
      </w:r>
      <w:r>
        <w:rPr>
          <w:rFonts w:ascii="宋体" w:hAnsi="宋体" w:eastAsia="宋体" w:cs="宋体"/>
          <w:spacing w:val="-15"/>
          <w:sz w:val="24"/>
          <w:szCs w:val="24"/>
        </w:rPr>
        <w:t>日</w:t>
      </w:r>
      <w:r>
        <w:rPr>
          <w:rFonts w:ascii="Times New Roman" w:hAnsi="Times New Roman" w:eastAsia="Times New Roman" w:cs="Times New Roman"/>
          <w:spacing w:val="-15"/>
          <w:sz w:val="24"/>
          <w:szCs w:val="24"/>
        </w:rPr>
        <w:t xml:space="preserve">~2020 </w:t>
      </w:r>
      <w:r>
        <w:rPr>
          <w:rFonts w:ascii="宋体" w:hAnsi="宋体" w:eastAsia="宋体" w:cs="宋体"/>
          <w:spacing w:val="-15"/>
          <w:sz w:val="24"/>
          <w:szCs w:val="24"/>
        </w:rPr>
        <w:t>年</w:t>
      </w:r>
      <w:r>
        <w:rPr>
          <w:rFonts w:ascii="宋体" w:hAnsi="宋体" w:eastAsia="宋体" w:cs="宋体"/>
          <w:spacing w:val="-54"/>
          <w:sz w:val="24"/>
          <w:szCs w:val="24"/>
        </w:rPr>
        <w:t xml:space="preserve"> </w:t>
      </w:r>
      <w:r>
        <w:rPr>
          <w:rFonts w:ascii="Times New Roman" w:hAnsi="Times New Roman" w:eastAsia="Times New Roman" w:cs="Times New Roman"/>
          <w:spacing w:val="-15"/>
          <w:sz w:val="24"/>
          <w:szCs w:val="24"/>
        </w:rPr>
        <w:t xml:space="preserve">11 </w:t>
      </w:r>
      <w:r>
        <w:rPr>
          <w:rFonts w:ascii="宋体" w:hAnsi="宋体" w:eastAsia="宋体" w:cs="宋体"/>
          <w:spacing w:val="-15"/>
          <w:sz w:val="24"/>
          <w:szCs w:val="24"/>
        </w:rPr>
        <w:t>月</w:t>
      </w:r>
      <w:r>
        <w:rPr>
          <w:rFonts w:ascii="宋体" w:hAnsi="宋体" w:eastAsia="宋体" w:cs="宋体"/>
          <w:spacing w:val="-53"/>
          <w:sz w:val="24"/>
          <w:szCs w:val="24"/>
        </w:rPr>
        <w:t xml:space="preserve"> </w:t>
      </w:r>
      <w:r>
        <w:rPr>
          <w:rFonts w:ascii="Times New Roman" w:hAnsi="Times New Roman" w:eastAsia="Times New Roman" w:cs="Times New Roman"/>
          <w:spacing w:val="-15"/>
          <w:sz w:val="24"/>
          <w:szCs w:val="24"/>
        </w:rPr>
        <w:t>11</w:t>
      </w:r>
      <w:r>
        <w:rPr>
          <w:rFonts w:ascii="Times New Roman" w:hAnsi="Times New Roman" w:eastAsia="Times New Roman" w:cs="Times New Roman"/>
          <w:spacing w:val="26"/>
          <w:w w:val="101"/>
          <w:sz w:val="24"/>
          <w:szCs w:val="24"/>
        </w:rPr>
        <w:t xml:space="preserve"> </w:t>
      </w:r>
      <w:r>
        <w:rPr>
          <w:rFonts w:ascii="宋体" w:hAnsi="宋体" w:eastAsia="宋体" w:cs="宋体"/>
          <w:spacing w:val="-15"/>
          <w:sz w:val="24"/>
          <w:szCs w:val="24"/>
        </w:rPr>
        <w:t>日，连续监测</w:t>
      </w:r>
      <w:r>
        <w:rPr>
          <w:rFonts w:ascii="Times New Roman" w:hAnsi="Times New Roman" w:eastAsia="Times New Roman" w:cs="Times New Roman"/>
          <w:spacing w:val="-15"/>
          <w:sz w:val="24"/>
          <w:szCs w:val="24"/>
        </w:rPr>
        <w:t xml:space="preserve">2 </w:t>
      </w:r>
      <w:r>
        <w:rPr>
          <w:rFonts w:ascii="宋体" w:hAnsi="宋体" w:eastAsia="宋体" w:cs="宋体"/>
          <w:spacing w:val="-15"/>
          <w:sz w:val="24"/>
          <w:szCs w:val="24"/>
        </w:rPr>
        <w:t>天，每天两次，昼间（</w:t>
      </w:r>
      <w:r>
        <w:rPr>
          <w:rFonts w:ascii="Times New Roman" w:hAnsi="Times New Roman" w:eastAsia="Times New Roman" w:cs="Times New Roman"/>
          <w:spacing w:val="-15"/>
          <w:sz w:val="24"/>
          <w:szCs w:val="24"/>
        </w:rPr>
        <w:t>6:00~22:</w:t>
      </w:r>
      <w:r>
        <w:rPr>
          <w:rFonts w:ascii="Times New Roman" w:hAnsi="Times New Roman" w:eastAsia="Times New Roman" w:cs="Times New Roman"/>
          <w:spacing w:val="-16"/>
          <w:sz w:val="24"/>
          <w:szCs w:val="24"/>
        </w:rPr>
        <w:t>00</w:t>
      </w:r>
      <w:r>
        <w:rPr>
          <w:rFonts w:ascii="宋体" w:hAnsi="宋体" w:eastAsia="宋体" w:cs="宋体"/>
          <w:spacing w:val="-16"/>
          <w:sz w:val="24"/>
          <w:szCs w:val="24"/>
        </w:rPr>
        <w:t>）</w:t>
      </w:r>
      <w:r>
        <w:rPr>
          <w:rFonts w:ascii="宋体" w:hAnsi="宋体" w:eastAsia="宋体" w:cs="宋体"/>
          <w:sz w:val="24"/>
          <w:szCs w:val="24"/>
        </w:rPr>
        <w:t xml:space="preserve"> </w:t>
      </w:r>
      <w:r>
        <w:rPr>
          <w:rFonts w:ascii="宋体" w:hAnsi="宋体" w:eastAsia="宋体" w:cs="宋体"/>
          <w:spacing w:val="-1"/>
          <w:sz w:val="24"/>
          <w:szCs w:val="24"/>
        </w:rPr>
        <w:t>和夜间（</w:t>
      </w:r>
      <w:r>
        <w:rPr>
          <w:rFonts w:ascii="Times New Roman" w:hAnsi="Times New Roman" w:eastAsia="Times New Roman" w:cs="Times New Roman"/>
          <w:spacing w:val="-1"/>
          <w:sz w:val="24"/>
          <w:szCs w:val="24"/>
        </w:rPr>
        <w:t>22:00~6:00</w:t>
      </w:r>
      <w:r>
        <w:rPr>
          <w:rFonts w:ascii="宋体" w:hAnsi="宋体" w:eastAsia="宋体" w:cs="宋体"/>
          <w:spacing w:val="-1"/>
          <w:sz w:val="24"/>
          <w:szCs w:val="24"/>
        </w:rPr>
        <w:t>）各一次，每次连</w:t>
      </w:r>
      <w:r>
        <w:rPr>
          <w:rFonts w:ascii="宋体" w:hAnsi="宋体" w:eastAsia="宋体" w:cs="宋体"/>
          <w:spacing w:val="-2"/>
          <w:sz w:val="24"/>
          <w:szCs w:val="24"/>
        </w:rPr>
        <w:t>续监测</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10min</w:t>
      </w:r>
      <w:r>
        <w:rPr>
          <w:rFonts w:ascii="宋体" w:hAnsi="宋体" w:eastAsia="宋体" w:cs="宋体"/>
          <w:spacing w:val="-2"/>
          <w:sz w:val="24"/>
          <w:szCs w:val="24"/>
        </w:rPr>
        <w:t>。</w:t>
      </w:r>
    </w:p>
    <w:p w14:paraId="4BFC80D8">
      <w:pPr>
        <w:spacing w:before="8" w:line="362"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4</w:t>
      </w:r>
      <w:r>
        <w:rPr>
          <w:rFonts w:ascii="宋体" w:hAnsi="宋体" w:eastAsia="宋体" w:cs="宋体"/>
          <w:spacing w:val="-3"/>
          <w:position w:val="2"/>
          <w:sz w:val="24"/>
          <w:szCs w:val="24"/>
        </w:rPr>
        <w:t>）测量方法</w:t>
      </w:r>
    </w:p>
    <w:p w14:paraId="6A20A328">
      <w:pPr>
        <w:spacing w:before="124" w:line="374" w:lineRule="auto"/>
        <w:ind w:left="134" w:right="375" w:firstLine="470"/>
        <w:rPr>
          <w:rFonts w:ascii="宋体" w:hAnsi="宋体" w:eastAsia="宋体" w:cs="宋体"/>
          <w:sz w:val="24"/>
          <w:szCs w:val="24"/>
        </w:rPr>
      </w:pPr>
      <w:r>
        <w:rPr>
          <w:rFonts w:ascii="宋体" w:hAnsi="宋体" w:eastAsia="宋体" w:cs="宋体"/>
          <w:spacing w:val="-1"/>
          <w:sz w:val="24"/>
          <w:szCs w:val="24"/>
        </w:rPr>
        <w:t>按照《环境影响评价技术导则声环境》（</w:t>
      </w:r>
      <w:r>
        <w:rPr>
          <w:rFonts w:ascii="Times New Roman" w:hAnsi="Times New Roman" w:eastAsia="Times New Roman" w:cs="Times New Roman"/>
          <w:spacing w:val="-1"/>
          <w:sz w:val="24"/>
          <w:szCs w:val="24"/>
        </w:rPr>
        <w:t>HJ2.4-2009</w:t>
      </w:r>
      <w:r>
        <w:rPr>
          <w:rFonts w:ascii="宋体" w:hAnsi="宋体" w:eastAsia="宋体" w:cs="宋体"/>
          <w:spacing w:val="-1"/>
          <w:sz w:val="24"/>
          <w:szCs w:val="24"/>
        </w:rPr>
        <w:t>）、《声环境质量标准》</w:t>
      </w:r>
      <w:r>
        <w:rPr>
          <w:rFonts w:ascii="宋体" w:hAnsi="宋体" w:eastAsia="宋体" w:cs="宋体"/>
          <w:spacing w:val="16"/>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GB3096-2008</w:t>
      </w:r>
      <w:r>
        <w:rPr>
          <w:rFonts w:ascii="宋体" w:hAnsi="宋体" w:eastAsia="宋体" w:cs="宋体"/>
          <w:spacing w:val="-1"/>
          <w:sz w:val="24"/>
          <w:szCs w:val="24"/>
        </w:rPr>
        <w:t>）中的有关规定，原则上选天气良好、无雨雪、无雷电天气，风速</w:t>
      </w:r>
    </w:p>
    <w:p w14:paraId="2ECC6BDA">
      <w:pPr>
        <w:spacing w:line="374" w:lineRule="auto"/>
        <w:rPr>
          <w:rFonts w:ascii="宋体" w:hAnsi="宋体" w:eastAsia="宋体" w:cs="宋体"/>
          <w:sz w:val="24"/>
          <w:szCs w:val="24"/>
        </w:rPr>
        <w:sectPr>
          <w:footerReference r:id="rId103" w:type="default"/>
          <w:pgSz w:w="11906" w:h="16839"/>
          <w:pgMar w:top="400" w:right="1369" w:bottom="1485" w:left="1475" w:header="0" w:footer="1249" w:gutter="0"/>
          <w:cols w:space="720" w:num="1"/>
        </w:sectPr>
      </w:pPr>
    </w:p>
    <w:p w14:paraId="6EF01C5B">
      <w:pPr>
        <w:pStyle w:val="2"/>
        <w:spacing w:line="255" w:lineRule="auto"/>
      </w:pPr>
    </w:p>
    <w:p w14:paraId="1F70569A">
      <w:pPr>
        <w:pStyle w:val="2"/>
        <w:spacing w:line="255" w:lineRule="auto"/>
      </w:pPr>
    </w:p>
    <w:p w14:paraId="73C9D991">
      <w:pPr>
        <w:pStyle w:val="2"/>
        <w:spacing w:line="256" w:lineRule="auto"/>
      </w:pPr>
    </w:p>
    <w:p w14:paraId="6792A483">
      <w:pPr>
        <w:pStyle w:val="2"/>
        <w:spacing w:line="256" w:lineRule="auto"/>
      </w:pPr>
    </w:p>
    <w:p w14:paraId="64237056">
      <w:pPr>
        <w:spacing w:before="78" w:line="359" w:lineRule="exact"/>
        <w:ind w:left="125"/>
        <w:rPr>
          <w:rFonts w:ascii="宋体" w:hAnsi="宋体" w:eastAsia="宋体" w:cs="宋体"/>
          <w:sz w:val="24"/>
          <w:szCs w:val="24"/>
        </w:rPr>
      </w:pPr>
      <w:r>
        <w:rPr>
          <w:rFonts w:ascii="Times New Roman" w:hAnsi="Times New Roman" w:eastAsia="Times New Roman" w:cs="Times New Roman"/>
          <w:spacing w:val="-3"/>
          <w:position w:val="2"/>
          <w:sz w:val="24"/>
          <w:szCs w:val="24"/>
        </w:rPr>
        <w:t>5m/s</w:t>
      </w:r>
      <w:r>
        <w:rPr>
          <w:rFonts w:ascii="Times New Roman" w:hAnsi="Times New Roman" w:eastAsia="Times New Roman" w:cs="Times New Roman"/>
          <w:spacing w:val="34"/>
          <w:w w:val="101"/>
          <w:position w:val="2"/>
          <w:sz w:val="24"/>
          <w:szCs w:val="24"/>
        </w:rPr>
        <w:t xml:space="preserve"> </w:t>
      </w:r>
      <w:r>
        <w:rPr>
          <w:rFonts w:ascii="宋体" w:hAnsi="宋体" w:eastAsia="宋体" w:cs="宋体"/>
          <w:spacing w:val="-3"/>
          <w:position w:val="2"/>
          <w:sz w:val="24"/>
          <w:szCs w:val="24"/>
        </w:rPr>
        <w:t>以下的天气进行测量，传声器设置户外</w:t>
      </w:r>
      <w:r>
        <w:rPr>
          <w:rFonts w:ascii="宋体" w:hAnsi="宋体" w:eastAsia="宋体" w:cs="宋体"/>
          <w:spacing w:val="-32"/>
          <w:position w:val="2"/>
          <w:sz w:val="24"/>
          <w:szCs w:val="24"/>
        </w:rPr>
        <w:t xml:space="preserve"> </w:t>
      </w:r>
      <w:r>
        <w:rPr>
          <w:rFonts w:ascii="Times New Roman" w:hAnsi="Times New Roman" w:eastAsia="Times New Roman" w:cs="Times New Roman"/>
          <w:spacing w:val="-3"/>
          <w:position w:val="2"/>
          <w:sz w:val="24"/>
          <w:szCs w:val="24"/>
        </w:rPr>
        <w:t>1m</w:t>
      </w:r>
      <w:r>
        <w:rPr>
          <w:rFonts w:ascii="Times New Roman" w:hAnsi="Times New Roman" w:eastAsia="Times New Roman" w:cs="Times New Roman"/>
          <w:spacing w:val="15"/>
          <w:position w:val="2"/>
          <w:sz w:val="24"/>
          <w:szCs w:val="24"/>
        </w:rPr>
        <w:t xml:space="preserve"> </w:t>
      </w:r>
      <w:r>
        <w:rPr>
          <w:rFonts w:ascii="宋体" w:hAnsi="宋体" w:eastAsia="宋体" w:cs="宋体"/>
          <w:spacing w:val="-3"/>
          <w:position w:val="2"/>
          <w:sz w:val="24"/>
          <w:szCs w:val="24"/>
        </w:rPr>
        <w:t>处，高度为</w:t>
      </w:r>
      <w:r>
        <w:rPr>
          <w:rFonts w:ascii="宋体" w:hAnsi="宋体" w:eastAsia="宋体" w:cs="宋体"/>
          <w:spacing w:val="-32"/>
          <w:position w:val="2"/>
          <w:sz w:val="24"/>
          <w:szCs w:val="24"/>
        </w:rPr>
        <w:t xml:space="preserve"> </w:t>
      </w:r>
      <w:r>
        <w:rPr>
          <w:rFonts w:ascii="Times New Roman" w:hAnsi="Times New Roman" w:eastAsia="Times New Roman" w:cs="Times New Roman"/>
          <w:spacing w:val="-4"/>
          <w:position w:val="2"/>
          <w:sz w:val="24"/>
          <w:szCs w:val="24"/>
        </w:rPr>
        <w:t>1.2-1.5m</w:t>
      </w:r>
      <w:r>
        <w:rPr>
          <w:rFonts w:ascii="宋体" w:hAnsi="宋体" w:eastAsia="宋体" w:cs="宋体"/>
          <w:spacing w:val="-4"/>
          <w:position w:val="2"/>
          <w:sz w:val="24"/>
          <w:szCs w:val="24"/>
        </w:rPr>
        <w:t>。</w:t>
      </w:r>
    </w:p>
    <w:p w14:paraId="1682ABDC">
      <w:pPr>
        <w:pStyle w:val="2"/>
        <w:spacing w:line="249" w:lineRule="auto"/>
      </w:pPr>
    </w:p>
    <w:p w14:paraId="0EE5DB88">
      <w:pPr>
        <w:pStyle w:val="2"/>
        <w:spacing w:line="250" w:lineRule="auto"/>
      </w:pPr>
    </w:p>
    <w:p w14:paraId="367A7156">
      <w:pPr>
        <w:spacing w:line="8856" w:lineRule="exact"/>
        <w:ind w:firstLine="188"/>
      </w:pPr>
      <w:r>
        <w:rPr>
          <w:position w:val="-177"/>
        </w:rPr>
        <w:drawing>
          <wp:inline distT="0" distB="0" distL="0" distR="0">
            <wp:extent cx="5458460" cy="562292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9"/>
                    <a:stretch>
                      <a:fillRect/>
                    </a:stretch>
                  </pic:blipFill>
                  <pic:spPr>
                    <a:xfrm>
                      <a:off x="0" y="0"/>
                      <a:ext cx="5458967" cy="5623559"/>
                    </a:xfrm>
                    <a:prstGeom prst="rect">
                      <a:avLst/>
                    </a:prstGeom>
                  </pic:spPr>
                </pic:pic>
              </a:graphicData>
            </a:graphic>
          </wp:inline>
        </w:drawing>
      </w:r>
    </w:p>
    <w:p w14:paraId="1810DF97">
      <w:pPr>
        <w:spacing w:before="260" w:line="220" w:lineRule="auto"/>
        <w:ind w:left="2851"/>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38"/>
          <w:sz w:val="24"/>
          <w:szCs w:val="24"/>
        </w:rPr>
        <w:t xml:space="preserve"> </w:t>
      </w:r>
      <w:r>
        <w:rPr>
          <w:rFonts w:ascii="Times New Roman" w:hAnsi="Times New Roman" w:eastAsia="Times New Roman" w:cs="Times New Roman"/>
          <w:b/>
          <w:bCs/>
          <w:spacing w:val="-4"/>
          <w:sz w:val="24"/>
          <w:szCs w:val="24"/>
        </w:rPr>
        <w:t xml:space="preserve">4.4-1  </w:t>
      </w:r>
      <w:r>
        <w:rPr>
          <w:rFonts w:ascii="宋体" w:hAnsi="宋体" w:eastAsia="宋体" w:cs="宋体"/>
          <w:b/>
          <w:bCs/>
          <w:spacing w:val="-4"/>
          <w:sz w:val="24"/>
          <w:szCs w:val="24"/>
        </w:rPr>
        <w:t>声环境质量现状监测点位图</w:t>
      </w:r>
    </w:p>
    <w:p w14:paraId="5A094F1A">
      <w:pPr>
        <w:spacing w:before="203" w:line="221"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）监测结果</w:t>
      </w:r>
    </w:p>
    <w:p w14:paraId="6F8CA7DE">
      <w:pPr>
        <w:spacing w:before="165" w:line="360" w:lineRule="exact"/>
        <w:ind w:left="614"/>
        <w:rPr>
          <w:rFonts w:ascii="宋体" w:hAnsi="宋体" w:eastAsia="宋体" w:cs="宋体"/>
          <w:sz w:val="24"/>
          <w:szCs w:val="24"/>
        </w:rPr>
      </w:pPr>
      <w:r>
        <w:rPr>
          <w:rFonts w:ascii="宋体" w:hAnsi="宋体" w:eastAsia="宋体" w:cs="宋体"/>
          <w:spacing w:val="2"/>
          <w:position w:val="2"/>
          <w:sz w:val="24"/>
          <w:szCs w:val="24"/>
        </w:rPr>
        <w:t>噪声监测结果见表</w:t>
      </w:r>
      <w:r>
        <w:rPr>
          <w:rFonts w:ascii="Times New Roman" w:hAnsi="Times New Roman" w:eastAsia="Times New Roman" w:cs="Times New Roman"/>
          <w:spacing w:val="2"/>
          <w:position w:val="2"/>
          <w:sz w:val="24"/>
          <w:szCs w:val="24"/>
        </w:rPr>
        <w:t>4.4-2</w:t>
      </w:r>
      <w:r>
        <w:rPr>
          <w:rFonts w:ascii="宋体" w:hAnsi="宋体" w:eastAsia="宋体" w:cs="宋体"/>
          <w:spacing w:val="2"/>
          <w:position w:val="2"/>
          <w:sz w:val="24"/>
          <w:szCs w:val="24"/>
        </w:rPr>
        <w:t>。</w:t>
      </w:r>
    </w:p>
    <w:p w14:paraId="693F5D84">
      <w:pPr>
        <w:spacing w:before="179" w:line="229" w:lineRule="auto"/>
        <w:ind w:left="2645"/>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4.4-2</w:t>
      </w:r>
      <w:r>
        <w:rPr>
          <w:rFonts w:ascii="Times New Roman" w:hAnsi="Times New Roman" w:eastAsia="Times New Roman" w:cs="Times New Roman"/>
          <w:b/>
          <w:bCs/>
          <w:spacing w:val="19"/>
          <w:w w:val="101"/>
          <w:sz w:val="20"/>
          <w:szCs w:val="20"/>
        </w:rPr>
        <w:t xml:space="preserve"> </w:t>
      </w:r>
      <w:r>
        <w:rPr>
          <w:rFonts w:ascii="宋体" w:hAnsi="宋体" w:eastAsia="宋体" w:cs="宋体"/>
          <w:b/>
          <w:bCs/>
          <w:spacing w:val="6"/>
          <w:sz w:val="20"/>
          <w:szCs w:val="20"/>
        </w:rPr>
        <w:t>噪声监测结果汇总表单位：</w:t>
      </w:r>
      <w:r>
        <w:rPr>
          <w:rFonts w:ascii="Times New Roman" w:hAnsi="Times New Roman" w:eastAsia="Times New Roman" w:cs="Times New Roman"/>
          <w:b/>
          <w:bCs/>
          <w:sz w:val="20"/>
          <w:szCs w:val="20"/>
        </w:rPr>
        <w:t>dB</w:t>
      </w: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A</w:t>
      </w:r>
      <w:r>
        <w:rPr>
          <w:rFonts w:ascii="宋体" w:hAnsi="宋体" w:eastAsia="宋体" w:cs="宋体"/>
          <w:b/>
          <w:bCs/>
          <w:spacing w:val="6"/>
          <w:sz w:val="20"/>
          <w:szCs w:val="20"/>
        </w:rPr>
        <w:t>）</w:t>
      </w:r>
    </w:p>
    <w:p w14:paraId="6AE45022">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5"/>
        <w:gridCol w:w="1122"/>
        <w:gridCol w:w="1670"/>
        <w:gridCol w:w="848"/>
        <w:gridCol w:w="988"/>
        <w:gridCol w:w="1410"/>
        <w:gridCol w:w="847"/>
        <w:gridCol w:w="900"/>
      </w:tblGrid>
      <w:tr w14:paraId="41CDC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65" w:type="dxa"/>
            <w:vMerge w:val="restart"/>
            <w:tcBorders>
              <w:bottom w:val="nil"/>
            </w:tcBorders>
            <w:vAlign w:val="top"/>
          </w:tcPr>
          <w:p w14:paraId="3C7ED4E6">
            <w:pPr>
              <w:pStyle w:val="6"/>
              <w:spacing w:before="232" w:line="229" w:lineRule="auto"/>
              <w:ind w:left="167"/>
            </w:pPr>
            <w:r>
              <w:rPr>
                <w:b/>
                <w:bCs/>
                <w:spacing w:val="6"/>
              </w:rPr>
              <w:t>监测日期</w:t>
            </w:r>
          </w:p>
        </w:tc>
        <w:tc>
          <w:tcPr>
            <w:tcW w:w="1122" w:type="dxa"/>
            <w:vMerge w:val="restart"/>
            <w:tcBorders>
              <w:bottom w:val="nil"/>
            </w:tcBorders>
            <w:vAlign w:val="top"/>
          </w:tcPr>
          <w:p w14:paraId="2D57972B">
            <w:pPr>
              <w:pStyle w:val="6"/>
              <w:spacing w:before="232" w:line="230" w:lineRule="auto"/>
              <w:ind w:left="145"/>
            </w:pPr>
            <w:r>
              <w:rPr>
                <w:b/>
                <w:bCs/>
                <w:spacing w:val="6"/>
              </w:rPr>
              <w:t>监测序号</w:t>
            </w:r>
          </w:p>
        </w:tc>
        <w:tc>
          <w:tcPr>
            <w:tcW w:w="1670" w:type="dxa"/>
            <w:vMerge w:val="restart"/>
            <w:tcBorders>
              <w:bottom w:val="nil"/>
            </w:tcBorders>
            <w:vAlign w:val="top"/>
          </w:tcPr>
          <w:p w14:paraId="7977ED39">
            <w:pPr>
              <w:pStyle w:val="6"/>
              <w:spacing w:before="232" w:line="230" w:lineRule="auto"/>
              <w:ind w:left="420"/>
            </w:pPr>
            <w:r>
              <w:rPr>
                <w:b/>
                <w:bCs/>
                <w:spacing w:val="6"/>
              </w:rPr>
              <w:t>监测点位</w:t>
            </w:r>
          </w:p>
        </w:tc>
        <w:tc>
          <w:tcPr>
            <w:tcW w:w="1836" w:type="dxa"/>
            <w:gridSpan w:val="2"/>
            <w:vAlign w:val="top"/>
          </w:tcPr>
          <w:p w14:paraId="7DFB2FAD">
            <w:pPr>
              <w:pStyle w:val="6"/>
              <w:spacing w:before="64" w:line="229" w:lineRule="auto"/>
              <w:ind w:left="504"/>
            </w:pPr>
            <w:r>
              <w:rPr>
                <w:spacing w:val="7"/>
              </w:rPr>
              <w:t>监测结果</w:t>
            </w:r>
          </w:p>
        </w:tc>
        <w:tc>
          <w:tcPr>
            <w:tcW w:w="1410" w:type="dxa"/>
            <w:vMerge w:val="restart"/>
            <w:tcBorders>
              <w:bottom w:val="nil"/>
            </w:tcBorders>
            <w:vAlign w:val="top"/>
          </w:tcPr>
          <w:p w14:paraId="7E2AFF5F">
            <w:pPr>
              <w:pStyle w:val="6"/>
              <w:spacing w:before="232" w:line="228" w:lineRule="auto"/>
              <w:ind w:left="190"/>
            </w:pPr>
            <w:r>
              <w:rPr>
                <w:b/>
                <w:bCs/>
                <w:spacing w:val="5"/>
              </w:rPr>
              <w:t>功能区类别</w:t>
            </w:r>
          </w:p>
        </w:tc>
        <w:tc>
          <w:tcPr>
            <w:tcW w:w="1747" w:type="dxa"/>
            <w:gridSpan w:val="2"/>
            <w:vAlign w:val="top"/>
          </w:tcPr>
          <w:p w14:paraId="5943B164">
            <w:pPr>
              <w:pStyle w:val="6"/>
              <w:spacing w:before="64" w:line="228" w:lineRule="auto"/>
              <w:ind w:left="460"/>
            </w:pPr>
            <w:r>
              <w:rPr>
                <w:b/>
                <w:bCs/>
                <w:spacing w:val="6"/>
              </w:rPr>
              <w:t>标准限值</w:t>
            </w:r>
          </w:p>
        </w:tc>
      </w:tr>
      <w:tr w14:paraId="27272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65" w:type="dxa"/>
            <w:vMerge w:val="continue"/>
            <w:tcBorders>
              <w:top w:val="nil"/>
            </w:tcBorders>
            <w:vAlign w:val="top"/>
          </w:tcPr>
          <w:p w14:paraId="2E356513">
            <w:pPr>
              <w:rPr>
                <w:rFonts w:ascii="Arial"/>
                <w:sz w:val="21"/>
              </w:rPr>
            </w:pPr>
          </w:p>
        </w:tc>
        <w:tc>
          <w:tcPr>
            <w:tcW w:w="1122" w:type="dxa"/>
            <w:vMerge w:val="continue"/>
            <w:tcBorders>
              <w:top w:val="nil"/>
            </w:tcBorders>
            <w:vAlign w:val="top"/>
          </w:tcPr>
          <w:p w14:paraId="787EA337">
            <w:pPr>
              <w:rPr>
                <w:rFonts w:ascii="Arial"/>
                <w:sz w:val="21"/>
              </w:rPr>
            </w:pPr>
          </w:p>
        </w:tc>
        <w:tc>
          <w:tcPr>
            <w:tcW w:w="1670" w:type="dxa"/>
            <w:vMerge w:val="continue"/>
            <w:tcBorders>
              <w:top w:val="nil"/>
            </w:tcBorders>
            <w:vAlign w:val="top"/>
          </w:tcPr>
          <w:p w14:paraId="0551271D">
            <w:pPr>
              <w:rPr>
                <w:rFonts w:ascii="Arial"/>
                <w:sz w:val="21"/>
              </w:rPr>
            </w:pPr>
          </w:p>
        </w:tc>
        <w:tc>
          <w:tcPr>
            <w:tcW w:w="848" w:type="dxa"/>
            <w:vAlign w:val="top"/>
          </w:tcPr>
          <w:p w14:paraId="147A7A78">
            <w:pPr>
              <w:pStyle w:val="6"/>
              <w:spacing w:before="60" w:line="231" w:lineRule="auto"/>
              <w:ind w:left="219"/>
            </w:pPr>
            <w:r>
              <w:rPr>
                <w:spacing w:val="5"/>
              </w:rPr>
              <w:t>昼间</w:t>
            </w:r>
          </w:p>
        </w:tc>
        <w:tc>
          <w:tcPr>
            <w:tcW w:w="988" w:type="dxa"/>
            <w:vAlign w:val="top"/>
          </w:tcPr>
          <w:p w14:paraId="371C079B">
            <w:pPr>
              <w:pStyle w:val="6"/>
              <w:spacing w:before="60" w:line="228" w:lineRule="auto"/>
              <w:ind w:left="292"/>
            </w:pPr>
            <w:r>
              <w:rPr>
                <w:spacing w:val="3"/>
              </w:rPr>
              <w:t>夜间</w:t>
            </w:r>
          </w:p>
        </w:tc>
        <w:tc>
          <w:tcPr>
            <w:tcW w:w="1410" w:type="dxa"/>
            <w:vMerge w:val="continue"/>
            <w:tcBorders>
              <w:top w:val="nil"/>
            </w:tcBorders>
            <w:vAlign w:val="top"/>
          </w:tcPr>
          <w:p w14:paraId="47E50850">
            <w:pPr>
              <w:rPr>
                <w:rFonts w:ascii="Arial"/>
                <w:sz w:val="21"/>
              </w:rPr>
            </w:pPr>
          </w:p>
        </w:tc>
        <w:tc>
          <w:tcPr>
            <w:tcW w:w="847" w:type="dxa"/>
            <w:vAlign w:val="top"/>
          </w:tcPr>
          <w:p w14:paraId="79F89F76">
            <w:pPr>
              <w:pStyle w:val="6"/>
              <w:spacing w:before="60" w:line="231" w:lineRule="auto"/>
              <w:ind w:left="220"/>
            </w:pPr>
            <w:r>
              <w:rPr>
                <w:b/>
                <w:bCs/>
                <w:spacing w:val="4"/>
              </w:rPr>
              <w:t>昼间</w:t>
            </w:r>
          </w:p>
        </w:tc>
        <w:tc>
          <w:tcPr>
            <w:tcW w:w="900" w:type="dxa"/>
            <w:vAlign w:val="top"/>
          </w:tcPr>
          <w:p w14:paraId="31EEE06A">
            <w:pPr>
              <w:pStyle w:val="6"/>
              <w:spacing w:before="60" w:line="228" w:lineRule="auto"/>
              <w:ind w:left="249"/>
            </w:pPr>
            <w:r>
              <w:rPr>
                <w:b/>
                <w:bCs/>
                <w:spacing w:val="2"/>
              </w:rPr>
              <w:t>夜间</w:t>
            </w:r>
          </w:p>
        </w:tc>
      </w:tr>
      <w:tr w14:paraId="010A7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165" w:type="dxa"/>
            <w:vMerge w:val="restart"/>
            <w:tcBorders>
              <w:bottom w:val="nil"/>
            </w:tcBorders>
            <w:vAlign w:val="top"/>
          </w:tcPr>
          <w:p w14:paraId="474475CA">
            <w:pPr>
              <w:spacing w:line="302" w:lineRule="auto"/>
              <w:rPr>
                <w:rFonts w:ascii="Arial"/>
                <w:sz w:val="21"/>
              </w:rPr>
            </w:pPr>
          </w:p>
          <w:p w14:paraId="1F488C81">
            <w:pPr>
              <w:spacing w:before="57" w:line="275"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2020.11.10</w:t>
            </w:r>
          </w:p>
        </w:tc>
        <w:tc>
          <w:tcPr>
            <w:tcW w:w="1122" w:type="dxa"/>
            <w:vAlign w:val="top"/>
          </w:tcPr>
          <w:p w14:paraId="0EE92FEC">
            <w:pPr>
              <w:spacing w:before="109" w:line="274"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16"/>
                <w:position w:val="2"/>
                <w:sz w:val="20"/>
                <w:szCs w:val="20"/>
              </w:rPr>
              <w:t>N1</w:t>
            </w:r>
          </w:p>
        </w:tc>
        <w:tc>
          <w:tcPr>
            <w:tcW w:w="1670" w:type="dxa"/>
            <w:vAlign w:val="top"/>
          </w:tcPr>
          <w:p w14:paraId="471A2ED1">
            <w:pPr>
              <w:pStyle w:val="6"/>
              <w:spacing w:before="109" w:line="274" w:lineRule="exact"/>
              <w:ind w:left="158"/>
              <w:rPr>
                <w:rFonts w:ascii="Times New Roman" w:hAnsi="Times New Roman" w:eastAsia="Times New Roman" w:cs="Times New Roman"/>
              </w:rPr>
            </w:pPr>
            <w:r>
              <w:rPr>
                <w:spacing w:val="3"/>
                <w:position w:val="1"/>
              </w:rPr>
              <w:t>项目东边界</w:t>
            </w:r>
            <w:r>
              <w:rPr>
                <w:spacing w:val="-20"/>
                <w:position w:val="1"/>
              </w:rPr>
              <w:t xml:space="preserve"> </w:t>
            </w:r>
            <w:r>
              <w:rPr>
                <w:rFonts w:ascii="Times New Roman" w:hAnsi="Times New Roman" w:eastAsia="Times New Roman" w:cs="Times New Roman"/>
                <w:spacing w:val="3"/>
                <w:position w:val="1"/>
              </w:rPr>
              <w:t>1m</w:t>
            </w:r>
          </w:p>
        </w:tc>
        <w:tc>
          <w:tcPr>
            <w:tcW w:w="848" w:type="dxa"/>
            <w:vAlign w:val="top"/>
          </w:tcPr>
          <w:p w14:paraId="78A0ED3C">
            <w:pPr>
              <w:spacing w:before="109" w:line="274" w:lineRule="exact"/>
              <w:ind w:left="3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58</w:t>
            </w:r>
          </w:p>
        </w:tc>
        <w:tc>
          <w:tcPr>
            <w:tcW w:w="988" w:type="dxa"/>
            <w:vAlign w:val="top"/>
          </w:tcPr>
          <w:p w14:paraId="1252441A">
            <w:pPr>
              <w:spacing w:before="109"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w:t>
            </w:r>
          </w:p>
        </w:tc>
        <w:tc>
          <w:tcPr>
            <w:tcW w:w="1410" w:type="dxa"/>
            <w:vAlign w:val="top"/>
          </w:tcPr>
          <w:p w14:paraId="2F2D0E17">
            <w:pPr>
              <w:pStyle w:val="6"/>
              <w:spacing w:before="109" w:line="274" w:lineRule="exact"/>
              <w:ind w:left="523"/>
            </w:pPr>
            <w:r>
              <w:rPr>
                <w:rFonts w:ascii="Times New Roman" w:hAnsi="Times New Roman" w:eastAsia="Times New Roman" w:cs="Times New Roman"/>
                <w:position w:val="1"/>
              </w:rPr>
              <w:t>2</w:t>
            </w:r>
            <w:r>
              <w:rPr>
                <w:rFonts w:ascii="Times New Roman" w:hAnsi="Times New Roman" w:eastAsia="Times New Roman" w:cs="Times New Roman"/>
                <w:spacing w:val="12"/>
                <w:position w:val="1"/>
              </w:rPr>
              <w:t xml:space="preserve"> </w:t>
            </w:r>
            <w:r>
              <w:rPr>
                <w:position w:val="1"/>
              </w:rPr>
              <w:t>类</w:t>
            </w:r>
          </w:p>
        </w:tc>
        <w:tc>
          <w:tcPr>
            <w:tcW w:w="847" w:type="dxa"/>
            <w:vAlign w:val="top"/>
          </w:tcPr>
          <w:p w14:paraId="79F489C1">
            <w:pPr>
              <w:spacing w:before="109" w:line="274"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00" w:type="dxa"/>
            <w:vAlign w:val="top"/>
          </w:tcPr>
          <w:p w14:paraId="4BB8456D">
            <w:pPr>
              <w:spacing w:before="109" w:line="274" w:lineRule="exact"/>
              <w:ind w:left="3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33AAB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1165" w:type="dxa"/>
            <w:vMerge w:val="continue"/>
            <w:tcBorders>
              <w:top w:val="nil"/>
            </w:tcBorders>
            <w:vAlign w:val="top"/>
          </w:tcPr>
          <w:p w14:paraId="77D44AC5">
            <w:pPr>
              <w:rPr>
                <w:rFonts w:ascii="Arial"/>
                <w:sz w:val="21"/>
              </w:rPr>
            </w:pPr>
          </w:p>
        </w:tc>
        <w:tc>
          <w:tcPr>
            <w:tcW w:w="1122" w:type="dxa"/>
            <w:vAlign w:val="top"/>
          </w:tcPr>
          <w:p w14:paraId="65CFD72E">
            <w:pPr>
              <w:spacing w:before="111" w:line="275"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N2</w:t>
            </w:r>
          </w:p>
        </w:tc>
        <w:tc>
          <w:tcPr>
            <w:tcW w:w="1670" w:type="dxa"/>
            <w:vAlign w:val="top"/>
          </w:tcPr>
          <w:p w14:paraId="1C57975F">
            <w:pPr>
              <w:pStyle w:val="6"/>
              <w:spacing w:before="111" w:line="275" w:lineRule="exact"/>
              <w:ind w:left="158"/>
              <w:rPr>
                <w:rFonts w:ascii="Times New Roman" w:hAnsi="Times New Roman" w:eastAsia="Times New Roman" w:cs="Times New Roman"/>
              </w:rPr>
            </w:pPr>
            <w:r>
              <w:rPr>
                <w:spacing w:val="3"/>
                <w:position w:val="1"/>
              </w:rPr>
              <w:t>项目南边界</w:t>
            </w:r>
            <w:r>
              <w:rPr>
                <w:spacing w:val="-20"/>
                <w:position w:val="1"/>
              </w:rPr>
              <w:t xml:space="preserve"> </w:t>
            </w:r>
            <w:r>
              <w:rPr>
                <w:rFonts w:ascii="Times New Roman" w:hAnsi="Times New Roman" w:eastAsia="Times New Roman" w:cs="Times New Roman"/>
                <w:spacing w:val="3"/>
                <w:position w:val="1"/>
              </w:rPr>
              <w:t>1m</w:t>
            </w:r>
          </w:p>
        </w:tc>
        <w:tc>
          <w:tcPr>
            <w:tcW w:w="848" w:type="dxa"/>
            <w:vAlign w:val="top"/>
          </w:tcPr>
          <w:p w14:paraId="66205F50">
            <w:pPr>
              <w:spacing w:before="181" w:line="192"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988" w:type="dxa"/>
            <w:vAlign w:val="top"/>
          </w:tcPr>
          <w:p w14:paraId="1C60DD07">
            <w:pPr>
              <w:spacing w:before="111" w:line="275"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1410" w:type="dxa"/>
            <w:vAlign w:val="top"/>
          </w:tcPr>
          <w:p w14:paraId="459C127E">
            <w:pPr>
              <w:pStyle w:val="6"/>
              <w:spacing w:before="111" w:line="275" w:lineRule="exact"/>
              <w:ind w:left="523"/>
            </w:pPr>
            <w:r>
              <w:rPr>
                <w:rFonts w:ascii="Times New Roman" w:hAnsi="Times New Roman" w:eastAsia="Times New Roman" w:cs="Times New Roman"/>
                <w:position w:val="1"/>
              </w:rPr>
              <w:t>2</w:t>
            </w:r>
            <w:r>
              <w:rPr>
                <w:rFonts w:ascii="Times New Roman" w:hAnsi="Times New Roman" w:eastAsia="Times New Roman" w:cs="Times New Roman"/>
                <w:spacing w:val="12"/>
                <w:position w:val="1"/>
              </w:rPr>
              <w:t xml:space="preserve"> </w:t>
            </w:r>
            <w:r>
              <w:rPr>
                <w:position w:val="1"/>
              </w:rPr>
              <w:t>类</w:t>
            </w:r>
          </w:p>
        </w:tc>
        <w:tc>
          <w:tcPr>
            <w:tcW w:w="847" w:type="dxa"/>
            <w:vAlign w:val="top"/>
          </w:tcPr>
          <w:p w14:paraId="13FB8685">
            <w:pPr>
              <w:spacing w:before="111" w:line="275"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00" w:type="dxa"/>
            <w:vAlign w:val="top"/>
          </w:tcPr>
          <w:p w14:paraId="51AD42F1">
            <w:pPr>
              <w:spacing w:before="111" w:line="275" w:lineRule="exact"/>
              <w:ind w:left="3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bl>
    <w:p w14:paraId="7D4B9628">
      <w:pPr>
        <w:pStyle w:val="2"/>
      </w:pPr>
    </w:p>
    <w:p w14:paraId="250E21E9">
      <w:pPr>
        <w:sectPr>
          <w:footerReference r:id="rId104" w:type="default"/>
          <w:pgSz w:w="11906" w:h="16839"/>
          <w:pgMar w:top="400" w:right="1475" w:bottom="1485" w:left="1475" w:header="0" w:footer="1249" w:gutter="0"/>
          <w:cols w:space="720" w:num="1"/>
        </w:sectPr>
      </w:pPr>
    </w:p>
    <w:p w14:paraId="438CD357">
      <w:pPr>
        <w:spacing w:before="13"/>
      </w:pPr>
    </w:p>
    <w:p w14:paraId="1624C2D8">
      <w:pPr>
        <w:spacing w:before="13"/>
      </w:pPr>
    </w:p>
    <w:p w14:paraId="0C06C9DE">
      <w:pPr>
        <w:spacing w:before="13"/>
      </w:pPr>
    </w:p>
    <w:p w14:paraId="51F7FB1D">
      <w:pPr>
        <w:spacing w:before="13"/>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5"/>
        <w:gridCol w:w="1122"/>
        <w:gridCol w:w="1670"/>
        <w:gridCol w:w="848"/>
        <w:gridCol w:w="988"/>
        <w:gridCol w:w="1410"/>
        <w:gridCol w:w="847"/>
        <w:gridCol w:w="900"/>
      </w:tblGrid>
      <w:tr w14:paraId="31D10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165" w:type="dxa"/>
            <w:vMerge w:val="restart"/>
            <w:tcBorders>
              <w:bottom w:val="nil"/>
            </w:tcBorders>
            <w:vAlign w:val="top"/>
          </w:tcPr>
          <w:p w14:paraId="163ABA05">
            <w:pPr>
              <w:rPr>
                <w:rFonts w:ascii="Arial"/>
                <w:sz w:val="21"/>
              </w:rPr>
            </w:pPr>
          </w:p>
        </w:tc>
        <w:tc>
          <w:tcPr>
            <w:tcW w:w="1122" w:type="dxa"/>
            <w:vAlign w:val="top"/>
          </w:tcPr>
          <w:p w14:paraId="776B605E">
            <w:pPr>
              <w:spacing w:before="112" w:line="274"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N3</w:t>
            </w:r>
          </w:p>
        </w:tc>
        <w:tc>
          <w:tcPr>
            <w:tcW w:w="1670" w:type="dxa"/>
            <w:vAlign w:val="top"/>
          </w:tcPr>
          <w:p w14:paraId="43A27CF8">
            <w:pPr>
              <w:pStyle w:val="6"/>
              <w:spacing w:before="112" w:line="274" w:lineRule="exact"/>
              <w:ind w:left="158"/>
              <w:rPr>
                <w:rFonts w:ascii="Times New Roman" w:hAnsi="Times New Roman" w:eastAsia="Times New Roman" w:cs="Times New Roman"/>
              </w:rPr>
            </w:pPr>
            <w:r>
              <w:rPr>
                <w:spacing w:val="3"/>
                <w:position w:val="1"/>
              </w:rPr>
              <w:t>项目西边界</w:t>
            </w:r>
            <w:r>
              <w:rPr>
                <w:spacing w:val="-20"/>
                <w:position w:val="1"/>
              </w:rPr>
              <w:t xml:space="preserve"> </w:t>
            </w:r>
            <w:r>
              <w:rPr>
                <w:rFonts w:ascii="Times New Roman" w:hAnsi="Times New Roman" w:eastAsia="Times New Roman" w:cs="Times New Roman"/>
                <w:spacing w:val="3"/>
                <w:position w:val="1"/>
              </w:rPr>
              <w:t>1m</w:t>
            </w:r>
          </w:p>
        </w:tc>
        <w:tc>
          <w:tcPr>
            <w:tcW w:w="848" w:type="dxa"/>
            <w:vAlign w:val="top"/>
          </w:tcPr>
          <w:p w14:paraId="55FAB37F">
            <w:pPr>
              <w:spacing w:before="112" w:line="274" w:lineRule="exact"/>
              <w:ind w:left="3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988" w:type="dxa"/>
            <w:vAlign w:val="top"/>
          </w:tcPr>
          <w:p w14:paraId="3539F453">
            <w:pPr>
              <w:spacing w:before="112"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1410" w:type="dxa"/>
            <w:vAlign w:val="top"/>
          </w:tcPr>
          <w:p w14:paraId="3336EB71">
            <w:pPr>
              <w:pStyle w:val="6"/>
              <w:spacing w:before="112" w:line="274" w:lineRule="exact"/>
              <w:ind w:left="523"/>
            </w:pPr>
            <w:r>
              <w:rPr>
                <w:rFonts w:ascii="Times New Roman" w:hAnsi="Times New Roman" w:eastAsia="Times New Roman" w:cs="Times New Roman"/>
                <w:position w:val="1"/>
              </w:rPr>
              <w:t>2</w:t>
            </w:r>
            <w:r>
              <w:rPr>
                <w:rFonts w:ascii="Times New Roman" w:hAnsi="Times New Roman" w:eastAsia="Times New Roman" w:cs="Times New Roman"/>
                <w:spacing w:val="12"/>
                <w:position w:val="1"/>
              </w:rPr>
              <w:t xml:space="preserve"> </w:t>
            </w:r>
            <w:r>
              <w:rPr>
                <w:position w:val="1"/>
              </w:rPr>
              <w:t>类</w:t>
            </w:r>
          </w:p>
        </w:tc>
        <w:tc>
          <w:tcPr>
            <w:tcW w:w="847" w:type="dxa"/>
            <w:vAlign w:val="top"/>
          </w:tcPr>
          <w:p w14:paraId="7DC8A232">
            <w:pPr>
              <w:spacing w:before="112" w:line="274"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00" w:type="dxa"/>
            <w:vAlign w:val="top"/>
          </w:tcPr>
          <w:p w14:paraId="39CB8EF7">
            <w:pPr>
              <w:spacing w:before="112" w:line="274"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w:t>
            </w:r>
          </w:p>
        </w:tc>
      </w:tr>
      <w:tr w14:paraId="61AED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165" w:type="dxa"/>
            <w:vMerge w:val="continue"/>
            <w:tcBorders>
              <w:top w:val="nil"/>
            </w:tcBorders>
            <w:vAlign w:val="top"/>
          </w:tcPr>
          <w:p w14:paraId="7F6468D6">
            <w:pPr>
              <w:rPr>
                <w:rFonts w:ascii="Arial"/>
                <w:sz w:val="21"/>
              </w:rPr>
            </w:pPr>
          </w:p>
        </w:tc>
        <w:tc>
          <w:tcPr>
            <w:tcW w:w="1122" w:type="dxa"/>
            <w:vAlign w:val="top"/>
          </w:tcPr>
          <w:p w14:paraId="4D240844">
            <w:pPr>
              <w:spacing w:before="108" w:line="274"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N4</w:t>
            </w:r>
          </w:p>
        </w:tc>
        <w:tc>
          <w:tcPr>
            <w:tcW w:w="1670" w:type="dxa"/>
            <w:vAlign w:val="top"/>
          </w:tcPr>
          <w:p w14:paraId="2BD56FCA">
            <w:pPr>
              <w:pStyle w:val="6"/>
              <w:spacing w:before="108" w:line="274" w:lineRule="exact"/>
              <w:ind w:left="158"/>
              <w:rPr>
                <w:rFonts w:ascii="Times New Roman" w:hAnsi="Times New Roman" w:eastAsia="Times New Roman" w:cs="Times New Roman"/>
              </w:rPr>
            </w:pPr>
            <w:r>
              <w:rPr>
                <w:spacing w:val="3"/>
                <w:position w:val="1"/>
              </w:rPr>
              <w:t>项目北边界</w:t>
            </w:r>
            <w:r>
              <w:rPr>
                <w:spacing w:val="-20"/>
                <w:position w:val="1"/>
              </w:rPr>
              <w:t xml:space="preserve"> </w:t>
            </w:r>
            <w:r>
              <w:rPr>
                <w:rFonts w:ascii="Times New Roman" w:hAnsi="Times New Roman" w:eastAsia="Times New Roman" w:cs="Times New Roman"/>
                <w:spacing w:val="3"/>
                <w:position w:val="1"/>
              </w:rPr>
              <w:t>1m</w:t>
            </w:r>
          </w:p>
        </w:tc>
        <w:tc>
          <w:tcPr>
            <w:tcW w:w="848" w:type="dxa"/>
            <w:vAlign w:val="top"/>
          </w:tcPr>
          <w:p w14:paraId="40F7E7AD">
            <w:pPr>
              <w:spacing w:before="178" w:line="192"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988" w:type="dxa"/>
            <w:vAlign w:val="top"/>
          </w:tcPr>
          <w:p w14:paraId="23A16639">
            <w:pPr>
              <w:spacing w:before="108"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1410" w:type="dxa"/>
            <w:vAlign w:val="top"/>
          </w:tcPr>
          <w:p w14:paraId="3403584E">
            <w:pPr>
              <w:pStyle w:val="6"/>
              <w:spacing w:before="108" w:line="274" w:lineRule="exact"/>
              <w:ind w:left="523"/>
            </w:pPr>
            <w:r>
              <w:rPr>
                <w:rFonts w:ascii="Times New Roman" w:hAnsi="Times New Roman" w:eastAsia="Times New Roman" w:cs="Times New Roman"/>
                <w:position w:val="1"/>
              </w:rPr>
              <w:t>2</w:t>
            </w:r>
            <w:r>
              <w:rPr>
                <w:rFonts w:ascii="Times New Roman" w:hAnsi="Times New Roman" w:eastAsia="Times New Roman" w:cs="Times New Roman"/>
                <w:spacing w:val="12"/>
                <w:position w:val="1"/>
              </w:rPr>
              <w:t xml:space="preserve"> </w:t>
            </w:r>
            <w:r>
              <w:rPr>
                <w:position w:val="1"/>
              </w:rPr>
              <w:t>类</w:t>
            </w:r>
          </w:p>
        </w:tc>
        <w:tc>
          <w:tcPr>
            <w:tcW w:w="847" w:type="dxa"/>
            <w:vAlign w:val="top"/>
          </w:tcPr>
          <w:p w14:paraId="652A978B">
            <w:pPr>
              <w:spacing w:before="108" w:line="274"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00" w:type="dxa"/>
            <w:vAlign w:val="top"/>
          </w:tcPr>
          <w:p w14:paraId="58424B27">
            <w:pPr>
              <w:spacing w:before="108" w:line="274" w:lineRule="exact"/>
              <w:ind w:left="3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7C87D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165" w:type="dxa"/>
            <w:vMerge w:val="restart"/>
            <w:tcBorders>
              <w:bottom w:val="nil"/>
            </w:tcBorders>
            <w:vAlign w:val="top"/>
          </w:tcPr>
          <w:p w14:paraId="495AD264">
            <w:pPr>
              <w:spacing w:line="265" w:lineRule="auto"/>
              <w:rPr>
                <w:rFonts w:ascii="Arial"/>
                <w:sz w:val="21"/>
              </w:rPr>
            </w:pPr>
          </w:p>
          <w:p w14:paraId="56ED0C0D">
            <w:pPr>
              <w:spacing w:line="265" w:lineRule="auto"/>
              <w:rPr>
                <w:rFonts w:ascii="Arial"/>
                <w:sz w:val="21"/>
              </w:rPr>
            </w:pPr>
          </w:p>
          <w:p w14:paraId="11A5A79B">
            <w:pPr>
              <w:spacing w:line="266" w:lineRule="auto"/>
              <w:rPr>
                <w:rFonts w:ascii="Arial"/>
                <w:sz w:val="21"/>
              </w:rPr>
            </w:pPr>
          </w:p>
          <w:p w14:paraId="1326DBB8">
            <w:pPr>
              <w:spacing w:before="57" w:line="275"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2020.11.11</w:t>
            </w:r>
          </w:p>
        </w:tc>
        <w:tc>
          <w:tcPr>
            <w:tcW w:w="1122" w:type="dxa"/>
            <w:vAlign w:val="top"/>
          </w:tcPr>
          <w:p w14:paraId="1D9FC7CF">
            <w:pPr>
              <w:spacing w:before="109" w:line="275"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16"/>
                <w:position w:val="2"/>
                <w:sz w:val="20"/>
                <w:szCs w:val="20"/>
              </w:rPr>
              <w:t>N1</w:t>
            </w:r>
          </w:p>
        </w:tc>
        <w:tc>
          <w:tcPr>
            <w:tcW w:w="1670" w:type="dxa"/>
            <w:vAlign w:val="top"/>
          </w:tcPr>
          <w:p w14:paraId="742C466C">
            <w:pPr>
              <w:pStyle w:val="6"/>
              <w:spacing w:before="109" w:line="275" w:lineRule="exact"/>
              <w:ind w:left="158"/>
              <w:rPr>
                <w:rFonts w:ascii="Times New Roman" w:hAnsi="Times New Roman" w:eastAsia="Times New Roman" w:cs="Times New Roman"/>
              </w:rPr>
            </w:pPr>
            <w:r>
              <w:rPr>
                <w:spacing w:val="3"/>
                <w:position w:val="1"/>
              </w:rPr>
              <w:t>项目东边界</w:t>
            </w:r>
            <w:r>
              <w:rPr>
                <w:spacing w:val="-20"/>
                <w:position w:val="1"/>
              </w:rPr>
              <w:t xml:space="preserve"> </w:t>
            </w:r>
            <w:r>
              <w:rPr>
                <w:rFonts w:ascii="Times New Roman" w:hAnsi="Times New Roman" w:eastAsia="Times New Roman" w:cs="Times New Roman"/>
                <w:spacing w:val="3"/>
                <w:position w:val="1"/>
              </w:rPr>
              <w:t>1m</w:t>
            </w:r>
          </w:p>
        </w:tc>
        <w:tc>
          <w:tcPr>
            <w:tcW w:w="848" w:type="dxa"/>
            <w:vAlign w:val="top"/>
          </w:tcPr>
          <w:p w14:paraId="1B1D3B15">
            <w:pPr>
              <w:spacing w:before="109" w:line="275" w:lineRule="exact"/>
              <w:ind w:left="3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58</w:t>
            </w:r>
          </w:p>
        </w:tc>
        <w:tc>
          <w:tcPr>
            <w:tcW w:w="988" w:type="dxa"/>
            <w:vAlign w:val="top"/>
          </w:tcPr>
          <w:p w14:paraId="5969AA19">
            <w:pPr>
              <w:spacing w:before="109" w:line="275"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w:t>
            </w:r>
          </w:p>
        </w:tc>
        <w:tc>
          <w:tcPr>
            <w:tcW w:w="1410" w:type="dxa"/>
            <w:vAlign w:val="top"/>
          </w:tcPr>
          <w:p w14:paraId="70F53E73">
            <w:pPr>
              <w:pStyle w:val="6"/>
              <w:spacing w:before="109" w:line="275" w:lineRule="exact"/>
              <w:ind w:left="523"/>
            </w:pPr>
            <w:r>
              <w:rPr>
                <w:rFonts w:ascii="Times New Roman" w:hAnsi="Times New Roman" w:eastAsia="Times New Roman" w:cs="Times New Roman"/>
                <w:position w:val="1"/>
              </w:rPr>
              <w:t>2</w:t>
            </w:r>
            <w:r>
              <w:rPr>
                <w:rFonts w:ascii="Times New Roman" w:hAnsi="Times New Roman" w:eastAsia="Times New Roman" w:cs="Times New Roman"/>
                <w:spacing w:val="12"/>
                <w:position w:val="1"/>
              </w:rPr>
              <w:t xml:space="preserve"> </w:t>
            </w:r>
            <w:r>
              <w:rPr>
                <w:position w:val="1"/>
              </w:rPr>
              <w:t>类</w:t>
            </w:r>
          </w:p>
        </w:tc>
        <w:tc>
          <w:tcPr>
            <w:tcW w:w="847" w:type="dxa"/>
            <w:vAlign w:val="top"/>
          </w:tcPr>
          <w:p w14:paraId="109BEBB5">
            <w:pPr>
              <w:spacing w:before="109" w:line="275"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00" w:type="dxa"/>
            <w:vAlign w:val="top"/>
          </w:tcPr>
          <w:p w14:paraId="5416795B">
            <w:pPr>
              <w:spacing w:before="109" w:line="275" w:lineRule="exact"/>
              <w:ind w:left="3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50BCC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165" w:type="dxa"/>
            <w:vMerge w:val="continue"/>
            <w:tcBorders>
              <w:top w:val="nil"/>
              <w:bottom w:val="nil"/>
            </w:tcBorders>
            <w:vAlign w:val="top"/>
          </w:tcPr>
          <w:p w14:paraId="7C7E28FE">
            <w:pPr>
              <w:rPr>
                <w:rFonts w:ascii="Arial"/>
                <w:sz w:val="21"/>
              </w:rPr>
            </w:pPr>
          </w:p>
        </w:tc>
        <w:tc>
          <w:tcPr>
            <w:tcW w:w="1122" w:type="dxa"/>
            <w:vAlign w:val="top"/>
          </w:tcPr>
          <w:p w14:paraId="197BFF72">
            <w:pPr>
              <w:spacing w:before="111" w:line="274"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N2</w:t>
            </w:r>
          </w:p>
        </w:tc>
        <w:tc>
          <w:tcPr>
            <w:tcW w:w="1670" w:type="dxa"/>
            <w:vAlign w:val="top"/>
          </w:tcPr>
          <w:p w14:paraId="00F0E240">
            <w:pPr>
              <w:pStyle w:val="6"/>
              <w:spacing w:before="111" w:line="274" w:lineRule="exact"/>
              <w:ind w:left="158"/>
              <w:rPr>
                <w:rFonts w:ascii="Times New Roman" w:hAnsi="Times New Roman" w:eastAsia="Times New Roman" w:cs="Times New Roman"/>
              </w:rPr>
            </w:pPr>
            <w:r>
              <w:rPr>
                <w:spacing w:val="3"/>
                <w:position w:val="1"/>
              </w:rPr>
              <w:t>项目南边界</w:t>
            </w:r>
            <w:r>
              <w:rPr>
                <w:spacing w:val="-20"/>
                <w:position w:val="1"/>
              </w:rPr>
              <w:t xml:space="preserve"> </w:t>
            </w:r>
            <w:r>
              <w:rPr>
                <w:rFonts w:ascii="Times New Roman" w:hAnsi="Times New Roman" w:eastAsia="Times New Roman" w:cs="Times New Roman"/>
                <w:spacing w:val="3"/>
                <w:position w:val="1"/>
              </w:rPr>
              <w:t>1m</w:t>
            </w:r>
          </w:p>
        </w:tc>
        <w:tc>
          <w:tcPr>
            <w:tcW w:w="848" w:type="dxa"/>
            <w:vAlign w:val="top"/>
          </w:tcPr>
          <w:p w14:paraId="17766CE1">
            <w:pPr>
              <w:spacing w:before="180" w:line="192"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988" w:type="dxa"/>
            <w:vAlign w:val="top"/>
          </w:tcPr>
          <w:p w14:paraId="314B0EF1">
            <w:pPr>
              <w:spacing w:before="111"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1410" w:type="dxa"/>
            <w:vAlign w:val="top"/>
          </w:tcPr>
          <w:p w14:paraId="19B770C3">
            <w:pPr>
              <w:pStyle w:val="6"/>
              <w:spacing w:before="111" w:line="274" w:lineRule="exact"/>
              <w:ind w:left="523"/>
            </w:pPr>
            <w:r>
              <w:rPr>
                <w:rFonts w:ascii="Times New Roman" w:hAnsi="Times New Roman" w:eastAsia="Times New Roman" w:cs="Times New Roman"/>
                <w:position w:val="1"/>
              </w:rPr>
              <w:t>2</w:t>
            </w:r>
            <w:r>
              <w:rPr>
                <w:rFonts w:ascii="Times New Roman" w:hAnsi="Times New Roman" w:eastAsia="Times New Roman" w:cs="Times New Roman"/>
                <w:spacing w:val="12"/>
                <w:position w:val="1"/>
              </w:rPr>
              <w:t xml:space="preserve"> </w:t>
            </w:r>
            <w:r>
              <w:rPr>
                <w:position w:val="1"/>
              </w:rPr>
              <w:t>类</w:t>
            </w:r>
          </w:p>
        </w:tc>
        <w:tc>
          <w:tcPr>
            <w:tcW w:w="847" w:type="dxa"/>
            <w:vAlign w:val="top"/>
          </w:tcPr>
          <w:p w14:paraId="53418A23">
            <w:pPr>
              <w:spacing w:before="111" w:line="274"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00" w:type="dxa"/>
            <w:vAlign w:val="top"/>
          </w:tcPr>
          <w:p w14:paraId="17918D73">
            <w:pPr>
              <w:spacing w:before="111" w:line="274" w:lineRule="exact"/>
              <w:ind w:left="3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3D4D2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165" w:type="dxa"/>
            <w:vMerge w:val="continue"/>
            <w:tcBorders>
              <w:top w:val="nil"/>
              <w:bottom w:val="nil"/>
            </w:tcBorders>
            <w:vAlign w:val="top"/>
          </w:tcPr>
          <w:p w14:paraId="409C6F8F">
            <w:pPr>
              <w:rPr>
                <w:rFonts w:ascii="Arial"/>
                <w:sz w:val="21"/>
              </w:rPr>
            </w:pPr>
          </w:p>
        </w:tc>
        <w:tc>
          <w:tcPr>
            <w:tcW w:w="1122" w:type="dxa"/>
            <w:vAlign w:val="top"/>
          </w:tcPr>
          <w:p w14:paraId="5FE42BA2">
            <w:pPr>
              <w:spacing w:before="112" w:line="274"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N3</w:t>
            </w:r>
          </w:p>
        </w:tc>
        <w:tc>
          <w:tcPr>
            <w:tcW w:w="1670" w:type="dxa"/>
            <w:vAlign w:val="top"/>
          </w:tcPr>
          <w:p w14:paraId="10F498BA">
            <w:pPr>
              <w:pStyle w:val="6"/>
              <w:spacing w:before="112" w:line="274" w:lineRule="exact"/>
              <w:ind w:left="158"/>
              <w:rPr>
                <w:rFonts w:ascii="Times New Roman" w:hAnsi="Times New Roman" w:eastAsia="Times New Roman" w:cs="Times New Roman"/>
              </w:rPr>
            </w:pPr>
            <w:r>
              <w:rPr>
                <w:spacing w:val="3"/>
                <w:position w:val="1"/>
              </w:rPr>
              <w:t>项目西边界</w:t>
            </w:r>
            <w:r>
              <w:rPr>
                <w:spacing w:val="-20"/>
                <w:position w:val="1"/>
              </w:rPr>
              <w:t xml:space="preserve"> </w:t>
            </w:r>
            <w:r>
              <w:rPr>
                <w:rFonts w:ascii="Times New Roman" w:hAnsi="Times New Roman" w:eastAsia="Times New Roman" w:cs="Times New Roman"/>
                <w:spacing w:val="3"/>
                <w:position w:val="1"/>
              </w:rPr>
              <w:t>1m</w:t>
            </w:r>
          </w:p>
        </w:tc>
        <w:tc>
          <w:tcPr>
            <w:tcW w:w="848" w:type="dxa"/>
            <w:vAlign w:val="top"/>
          </w:tcPr>
          <w:p w14:paraId="661F8CCA">
            <w:pPr>
              <w:spacing w:before="181" w:line="192"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988" w:type="dxa"/>
            <w:vAlign w:val="top"/>
          </w:tcPr>
          <w:p w14:paraId="7EB8A6A4">
            <w:pPr>
              <w:spacing w:before="112"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1410" w:type="dxa"/>
            <w:vAlign w:val="top"/>
          </w:tcPr>
          <w:p w14:paraId="6F2F3B18">
            <w:pPr>
              <w:pStyle w:val="6"/>
              <w:spacing w:before="112" w:line="274" w:lineRule="exact"/>
              <w:ind w:left="523"/>
            </w:pPr>
            <w:r>
              <w:rPr>
                <w:rFonts w:ascii="Times New Roman" w:hAnsi="Times New Roman" w:eastAsia="Times New Roman" w:cs="Times New Roman"/>
                <w:position w:val="1"/>
              </w:rPr>
              <w:t>2</w:t>
            </w:r>
            <w:r>
              <w:rPr>
                <w:rFonts w:ascii="Times New Roman" w:hAnsi="Times New Roman" w:eastAsia="Times New Roman" w:cs="Times New Roman"/>
                <w:spacing w:val="12"/>
                <w:position w:val="1"/>
              </w:rPr>
              <w:t xml:space="preserve"> </w:t>
            </w:r>
            <w:r>
              <w:rPr>
                <w:position w:val="1"/>
              </w:rPr>
              <w:t>类</w:t>
            </w:r>
          </w:p>
        </w:tc>
        <w:tc>
          <w:tcPr>
            <w:tcW w:w="847" w:type="dxa"/>
            <w:vAlign w:val="top"/>
          </w:tcPr>
          <w:p w14:paraId="3B9D7AC1">
            <w:pPr>
              <w:spacing w:before="112" w:line="274"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00" w:type="dxa"/>
            <w:vAlign w:val="top"/>
          </w:tcPr>
          <w:p w14:paraId="1C215C12">
            <w:pPr>
              <w:spacing w:before="112" w:line="274" w:lineRule="exact"/>
              <w:ind w:left="3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2F420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165" w:type="dxa"/>
            <w:vMerge w:val="continue"/>
            <w:tcBorders>
              <w:top w:val="nil"/>
            </w:tcBorders>
            <w:vAlign w:val="top"/>
          </w:tcPr>
          <w:p w14:paraId="23BC429F">
            <w:pPr>
              <w:rPr>
                <w:rFonts w:ascii="Arial"/>
                <w:sz w:val="21"/>
              </w:rPr>
            </w:pPr>
          </w:p>
        </w:tc>
        <w:tc>
          <w:tcPr>
            <w:tcW w:w="1122" w:type="dxa"/>
            <w:vAlign w:val="top"/>
          </w:tcPr>
          <w:p w14:paraId="218F8E70">
            <w:pPr>
              <w:spacing w:before="113" w:line="274"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N4</w:t>
            </w:r>
          </w:p>
        </w:tc>
        <w:tc>
          <w:tcPr>
            <w:tcW w:w="1670" w:type="dxa"/>
            <w:vAlign w:val="top"/>
          </w:tcPr>
          <w:p w14:paraId="04CDD66A">
            <w:pPr>
              <w:pStyle w:val="6"/>
              <w:spacing w:before="113" w:line="274" w:lineRule="exact"/>
              <w:ind w:left="158"/>
              <w:rPr>
                <w:rFonts w:ascii="Times New Roman" w:hAnsi="Times New Roman" w:eastAsia="Times New Roman" w:cs="Times New Roman"/>
              </w:rPr>
            </w:pPr>
            <w:r>
              <w:rPr>
                <w:spacing w:val="3"/>
                <w:position w:val="1"/>
              </w:rPr>
              <w:t>项目北边界</w:t>
            </w:r>
            <w:r>
              <w:rPr>
                <w:spacing w:val="-20"/>
                <w:position w:val="1"/>
              </w:rPr>
              <w:t xml:space="preserve"> </w:t>
            </w:r>
            <w:r>
              <w:rPr>
                <w:rFonts w:ascii="Times New Roman" w:hAnsi="Times New Roman" w:eastAsia="Times New Roman" w:cs="Times New Roman"/>
                <w:spacing w:val="3"/>
                <w:position w:val="1"/>
              </w:rPr>
              <w:t>1m</w:t>
            </w:r>
          </w:p>
        </w:tc>
        <w:tc>
          <w:tcPr>
            <w:tcW w:w="848" w:type="dxa"/>
            <w:vAlign w:val="top"/>
          </w:tcPr>
          <w:p w14:paraId="7446672E">
            <w:pPr>
              <w:spacing w:before="113" w:line="274" w:lineRule="exact"/>
              <w:ind w:left="3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988" w:type="dxa"/>
            <w:vAlign w:val="top"/>
          </w:tcPr>
          <w:p w14:paraId="233E378B">
            <w:pPr>
              <w:spacing w:before="113"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1410" w:type="dxa"/>
            <w:vAlign w:val="top"/>
          </w:tcPr>
          <w:p w14:paraId="2F9DCF1B">
            <w:pPr>
              <w:pStyle w:val="6"/>
              <w:spacing w:before="113" w:line="274" w:lineRule="exact"/>
              <w:ind w:left="523"/>
            </w:pPr>
            <w:r>
              <w:rPr>
                <w:rFonts w:ascii="Times New Roman" w:hAnsi="Times New Roman" w:eastAsia="Times New Roman" w:cs="Times New Roman"/>
                <w:position w:val="1"/>
              </w:rPr>
              <w:t>2</w:t>
            </w:r>
            <w:r>
              <w:rPr>
                <w:rFonts w:ascii="Times New Roman" w:hAnsi="Times New Roman" w:eastAsia="Times New Roman" w:cs="Times New Roman"/>
                <w:spacing w:val="12"/>
                <w:position w:val="1"/>
              </w:rPr>
              <w:t xml:space="preserve"> </w:t>
            </w:r>
            <w:r>
              <w:rPr>
                <w:position w:val="1"/>
              </w:rPr>
              <w:t>类</w:t>
            </w:r>
          </w:p>
        </w:tc>
        <w:tc>
          <w:tcPr>
            <w:tcW w:w="847" w:type="dxa"/>
            <w:vAlign w:val="top"/>
          </w:tcPr>
          <w:p w14:paraId="1BEC0036">
            <w:pPr>
              <w:spacing w:before="113" w:line="274" w:lineRule="exact"/>
              <w:ind w:left="3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00" w:type="dxa"/>
            <w:vAlign w:val="top"/>
          </w:tcPr>
          <w:p w14:paraId="2ACF7C9F">
            <w:pPr>
              <w:spacing w:before="113" w:line="274" w:lineRule="exact"/>
              <w:ind w:left="3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bl>
    <w:p w14:paraId="10FED88C">
      <w:pPr>
        <w:pStyle w:val="2"/>
        <w:spacing w:line="253" w:lineRule="auto"/>
      </w:pPr>
    </w:p>
    <w:p w14:paraId="7FF6C71E">
      <w:pPr>
        <w:spacing w:before="65" w:line="228" w:lineRule="auto"/>
        <w:ind w:left="121"/>
        <w:outlineLvl w:val="2"/>
        <w:rPr>
          <w:rFonts w:ascii="宋体" w:hAnsi="宋体" w:eastAsia="宋体" w:cs="宋体"/>
          <w:sz w:val="20"/>
          <w:szCs w:val="20"/>
        </w:rPr>
      </w:pPr>
      <w:r>
        <w:rPr>
          <w:rFonts w:ascii="宋体" w:hAnsi="宋体" w:eastAsia="宋体" w:cs="宋体"/>
          <w:b/>
          <w:bCs/>
          <w:spacing w:val="8"/>
          <w:sz w:val="20"/>
          <w:szCs w:val="20"/>
        </w:rPr>
        <w:t>注：项目噪声监测期间昼间噪声源主要为虫鸣鸟叫的声音及其他动物、人类活动声音。</w:t>
      </w:r>
    </w:p>
    <w:p w14:paraId="32406747">
      <w:pPr>
        <w:pStyle w:val="2"/>
        <w:spacing w:line="360" w:lineRule="auto"/>
      </w:pPr>
    </w:p>
    <w:p w14:paraId="2F403BDA">
      <w:pPr>
        <w:spacing w:before="78"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4.4.2</w:t>
      </w:r>
      <w:r>
        <w:rPr>
          <w:rFonts w:ascii="宋体" w:hAnsi="宋体" w:eastAsia="宋体" w:cs="宋体"/>
          <w:b/>
          <w:bCs/>
          <w:spacing w:val="-2"/>
          <w:sz w:val="24"/>
          <w:szCs w:val="24"/>
        </w:rPr>
        <w:t>声环境质量现状评价</w:t>
      </w:r>
    </w:p>
    <w:p w14:paraId="447DDE43">
      <w:pPr>
        <w:pStyle w:val="2"/>
        <w:spacing w:line="246" w:lineRule="auto"/>
      </w:pPr>
    </w:p>
    <w:p w14:paraId="320BCD2F">
      <w:pPr>
        <w:spacing w:before="78" w:line="358"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）评价标准</w:t>
      </w:r>
    </w:p>
    <w:p w14:paraId="01797519">
      <w:pPr>
        <w:spacing w:before="128" w:line="374" w:lineRule="auto"/>
        <w:ind w:left="123" w:right="110" w:firstLine="482"/>
        <w:rPr>
          <w:rFonts w:ascii="宋体" w:hAnsi="宋体" w:eastAsia="宋体" w:cs="宋体"/>
          <w:sz w:val="24"/>
          <w:szCs w:val="24"/>
        </w:rPr>
      </w:pPr>
      <w:r>
        <w:rPr>
          <w:rFonts w:ascii="宋体" w:hAnsi="宋体" w:eastAsia="宋体" w:cs="宋体"/>
          <w:spacing w:val="-2"/>
          <w:sz w:val="24"/>
          <w:szCs w:val="24"/>
        </w:rPr>
        <w:t>项目所在区域为</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类区域，根据《声环境质量</w:t>
      </w:r>
      <w:r>
        <w:rPr>
          <w:rFonts w:ascii="宋体" w:hAnsi="宋体" w:eastAsia="宋体" w:cs="宋体"/>
          <w:spacing w:val="-3"/>
          <w:sz w:val="24"/>
          <w:szCs w:val="24"/>
        </w:rPr>
        <w:t>标准》（</w:t>
      </w:r>
      <w:r>
        <w:rPr>
          <w:rFonts w:ascii="Times New Roman" w:hAnsi="Times New Roman" w:eastAsia="Times New Roman" w:cs="Times New Roman"/>
          <w:spacing w:val="-3"/>
          <w:sz w:val="24"/>
          <w:szCs w:val="24"/>
        </w:rPr>
        <w:t>GB3096-2008</w:t>
      </w:r>
      <w:r>
        <w:rPr>
          <w:rFonts w:ascii="宋体" w:hAnsi="宋体" w:eastAsia="宋体" w:cs="宋体"/>
          <w:spacing w:val="-3"/>
          <w:sz w:val="24"/>
          <w:szCs w:val="24"/>
        </w:rPr>
        <w:t>）中的有关</w:t>
      </w:r>
      <w:r>
        <w:rPr>
          <w:rFonts w:ascii="宋体" w:hAnsi="宋体" w:eastAsia="宋体" w:cs="宋体"/>
          <w:sz w:val="24"/>
          <w:szCs w:val="24"/>
        </w:rPr>
        <w:t xml:space="preserve"> 规定，项目所在区域执行《声环境质量标准》（</w:t>
      </w:r>
      <w:r>
        <w:rPr>
          <w:rFonts w:ascii="Times New Roman" w:hAnsi="Times New Roman" w:eastAsia="Times New Roman" w:cs="Times New Roman"/>
          <w:sz w:val="24"/>
          <w:szCs w:val="24"/>
        </w:rPr>
        <w:t>GB3</w:t>
      </w:r>
      <w:r>
        <w:rPr>
          <w:rFonts w:ascii="Times New Roman" w:hAnsi="Times New Roman" w:eastAsia="Times New Roman" w:cs="Times New Roman"/>
          <w:spacing w:val="-1"/>
          <w:sz w:val="24"/>
          <w:szCs w:val="24"/>
        </w:rPr>
        <w:t>096-2008</w:t>
      </w:r>
      <w:r>
        <w:rPr>
          <w:rFonts w:ascii="宋体" w:hAnsi="宋体" w:eastAsia="宋体" w:cs="宋体"/>
          <w:spacing w:val="-1"/>
          <w:sz w:val="24"/>
          <w:szCs w:val="24"/>
        </w:rPr>
        <w:t>）中的</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w:t>
      </w:r>
    </w:p>
    <w:p w14:paraId="002060E3">
      <w:pPr>
        <w:spacing w:before="7"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）评价方法</w:t>
      </w:r>
    </w:p>
    <w:p w14:paraId="3EE4719D">
      <w:pPr>
        <w:spacing w:before="166" w:line="219" w:lineRule="auto"/>
        <w:ind w:left="602"/>
        <w:rPr>
          <w:rFonts w:ascii="宋体" w:hAnsi="宋体" w:eastAsia="宋体" w:cs="宋体"/>
          <w:sz w:val="24"/>
          <w:szCs w:val="24"/>
        </w:rPr>
      </w:pPr>
      <w:r>
        <w:rPr>
          <w:rFonts w:ascii="宋体" w:hAnsi="宋体" w:eastAsia="宋体" w:cs="宋体"/>
          <w:sz w:val="24"/>
          <w:szCs w:val="24"/>
        </w:rPr>
        <w:t>根据声环境实测数据，依据所执行的质量标准对项</w:t>
      </w:r>
      <w:r>
        <w:rPr>
          <w:rFonts w:ascii="宋体" w:hAnsi="宋体" w:eastAsia="宋体" w:cs="宋体"/>
          <w:spacing w:val="-1"/>
          <w:sz w:val="24"/>
          <w:szCs w:val="24"/>
        </w:rPr>
        <w:t>目声环境现在进行评价。</w:t>
      </w:r>
    </w:p>
    <w:p w14:paraId="37B95B8A">
      <w:pPr>
        <w:spacing w:before="167" w:line="359"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）评价结果</w:t>
      </w:r>
    </w:p>
    <w:p w14:paraId="61483D6F">
      <w:pPr>
        <w:spacing w:before="170" w:line="387" w:lineRule="auto"/>
        <w:ind w:left="134" w:right="7" w:firstLine="469"/>
        <w:rPr>
          <w:rFonts w:ascii="宋体" w:hAnsi="宋体" w:eastAsia="宋体" w:cs="宋体"/>
          <w:sz w:val="24"/>
          <w:szCs w:val="24"/>
        </w:rPr>
      </w:pPr>
      <w:r>
        <w:rPr>
          <w:rFonts w:ascii="宋体" w:hAnsi="宋体" w:eastAsia="宋体" w:cs="宋体"/>
          <w:spacing w:val="-2"/>
          <w:sz w:val="24"/>
          <w:szCs w:val="24"/>
        </w:rPr>
        <w:t>监测结果表明，本项目所在区域边界昼间和夜间噪声均达到《声环境质量标准》</w:t>
      </w:r>
      <w:r>
        <w:rPr>
          <w:rFonts w:ascii="宋体" w:hAnsi="宋体" w:eastAsia="宋体" w:cs="宋体"/>
          <w:spacing w:val="13"/>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GB3096-2008</w:t>
      </w:r>
      <w:r>
        <w:rPr>
          <w:rFonts w:ascii="宋体" w:hAnsi="宋体" w:eastAsia="宋体" w:cs="宋体"/>
          <w:spacing w:val="-1"/>
          <w:sz w:val="24"/>
          <w:szCs w:val="24"/>
        </w:rPr>
        <w:t>）中的</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类标准。因此项目周围声环境质量现状较好。</w:t>
      </w:r>
    </w:p>
    <w:p w14:paraId="3A079480">
      <w:pPr>
        <w:spacing w:before="273" w:line="224" w:lineRule="auto"/>
        <w:ind w:left="121"/>
        <w:outlineLvl w:val="1"/>
        <w:rPr>
          <w:rFonts w:ascii="宋体" w:hAnsi="宋体" w:eastAsia="宋体" w:cs="宋体"/>
          <w:sz w:val="31"/>
          <w:szCs w:val="31"/>
        </w:rPr>
      </w:pPr>
      <w:bookmarkStart w:id="31" w:name="bookmark28"/>
      <w:bookmarkEnd w:id="31"/>
      <w:r>
        <w:rPr>
          <w:rFonts w:ascii="Times New Roman" w:hAnsi="Times New Roman" w:eastAsia="Times New Roman" w:cs="Times New Roman"/>
          <w:b/>
          <w:bCs/>
          <w:spacing w:val="6"/>
          <w:sz w:val="31"/>
          <w:szCs w:val="31"/>
        </w:rPr>
        <w:t>4.5</w:t>
      </w:r>
      <w:r>
        <w:rPr>
          <w:rFonts w:ascii="宋体" w:hAnsi="宋体" w:eastAsia="宋体" w:cs="宋体"/>
          <w:b/>
          <w:bCs/>
          <w:spacing w:val="6"/>
          <w:sz w:val="31"/>
          <w:szCs w:val="31"/>
        </w:rPr>
        <w:t>土壤环境质量现状评价</w:t>
      </w:r>
    </w:p>
    <w:p w14:paraId="49E4FA8B">
      <w:pPr>
        <w:pStyle w:val="2"/>
        <w:spacing w:line="448" w:lineRule="auto"/>
      </w:pPr>
    </w:p>
    <w:p w14:paraId="54315483">
      <w:pPr>
        <w:spacing w:before="79" w:line="220"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4.5.1</w:t>
      </w:r>
      <w:r>
        <w:rPr>
          <w:rFonts w:ascii="宋体" w:hAnsi="宋体" w:eastAsia="宋体" w:cs="宋体"/>
          <w:b/>
          <w:bCs/>
          <w:spacing w:val="-2"/>
          <w:sz w:val="24"/>
          <w:szCs w:val="24"/>
        </w:rPr>
        <w:t>土壤环境质量现状监测</w:t>
      </w:r>
    </w:p>
    <w:p w14:paraId="705ADBD1">
      <w:pPr>
        <w:pStyle w:val="2"/>
        <w:spacing w:line="244" w:lineRule="auto"/>
      </w:pPr>
    </w:p>
    <w:p w14:paraId="3447C327">
      <w:pPr>
        <w:spacing w:before="79" w:line="359" w:lineRule="exact"/>
        <w:ind w:left="621"/>
        <w:rPr>
          <w:rFonts w:ascii="宋体" w:hAnsi="宋体" w:eastAsia="宋体" w:cs="宋体"/>
          <w:sz w:val="24"/>
          <w:szCs w:val="24"/>
        </w:rPr>
      </w:pPr>
      <w:r>
        <w:rPr>
          <w:rFonts w:ascii="Times New Roman" w:hAnsi="Times New Roman" w:eastAsia="Times New Roman" w:cs="Times New Roman"/>
          <w:spacing w:val="-5"/>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5"/>
          <w:position w:val="2"/>
          <w:sz w:val="24"/>
          <w:szCs w:val="24"/>
        </w:rPr>
        <w:t>、监测布点及监测内容</w:t>
      </w:r>
    </w:p>
    <w:p w14:paraId="2EA88A4B">
      <w:pPr>
        <w:spacing w:before="166" w:line="382" w:lineRule="auto"/>
        <w:ind w:left="123" w:right="113" w:firstLine="479"/>
        <w:rPr>
          <w:rFonts w:ascii="宋体" w:hAnsi="宋体" w:eastAsia="宋体" w:cs="宋体"/>
          <w:sz w:val="24"/>
          <w:szCs w:val="24"/>
        </w:rPr>
      </w:pPr>
      <w:r>
        <w:rPr>
          <w:rFonts w:ascii="宋体" w:hAnsi="宋体" w:eastAsia="宋体" w:cs="宋体"/>
          <w:spacing w:val="2"/>
          <w:sz w:val="24"/>
          <w:szCs w:val="24"/>
        </w:rPr>
        <w:t>根据醒目周围环境状况，本项目土壤环境质量现状现状监测委托广东惠利通检</w:t>
      </w:r>
      <w:r>
        <w:rPr>
          <w:rFonts w:ascii="宋体" w:hAnsi="宋体" w:eastAsia="宋体" w:cs="宋体"/>
          <w:spacing w:val="10"/>
          <w:sz w:val="24"/>
          <w:szCs w:val="24"/>
        </w:rPr>
        <w:t xml:space="preserve"> </w:t>
      </w:r>
      <w:r>
        <w:rPr>
          <w:rFonts w:ascii="宋体" w:hAnsi="宋体" w:eastAsia="宋体" w:cs="宋体"/>
          <w:spacing w:val="5"/>
          <w:sz w:val="24"/>
          <w:szCs w:val="24"/>
        </w:rPr>
        <w:t>测技术有限公司进行监测，监测点位布设情</w:t>
      </w:r>
      <w:r>
        <w:rPr>
          <w:rFonts w:ascii="宋体" w:hAnsi="宋体" w:eastAsia="宋体" w:cs="宋体"/>
          <w:spacing w:val="4"/>
          <w:sz w:val="24"/>
          <w:szCs w:val="24"/>
        </w:rPr>
        <w:t>况具体如表</w:t>
      </w:r>
      <w:r>
        <w:rPr>
          <w:rFonts w:ascii="Times New Roman" w:hAnsi="Times New Roman" w:eastAsia="Times New Roman" w:cs="Times New Roman"/>
          <w:spacing w:val="4"/>
          <w:sz w:val="24"/>
          <w:szCs w:val="24"/>
        </w:rPr>
        <w:t>4.5-1</w:t>
      </w:r>
      <w:r>
        <w:rPr>
          <w:rFonts w:ascii="宋体" w:hAnsi="宋体" w:eastAsia="宋体" w:cs="宋体"/>
          <w:spacing w:val="4"/>
          <w:sz w:val="24"/>
          <w:szCs w:val="24"/>
        </w:rPr>
        <w:t>和图</w:t>
      </w:r>
      <w:r>
        <w:rPr>
          <w:rFonts w:ascii="Times New Roman" w:hAnsi="Times New Roman" w:eastAsia="Times New Roman" w:cs="Times New Roman"/>
          <w:spacing w:val="4"/>
          <w:sz w:val="24"/>
          <w:szCs w:val="24"/>
        </w:rPr>
        <w:t>4.5-1</w:t>
      </w:r>
      <w:r>
        <w:rPr>
          <w:rFonts w:ascii="宋体" w:hAnsi="宋体" w:eastAsia="宋体" w:cs="宋体"/>
          <w:spacing w:val="4"/>
          <w:sz w:val="24"/>
          <w:szCs w:val="24"/>
        </w:rPr>
        <w:t>。</w:t>
      </w:r>
    </w:p>
    <w:p w14:paraId="2B9B9A34">
      <w:pPr>
        <w:spacing w:line="229" w:lineRule="auto"/>
        <w:ind w:left="284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2"/>
          <w:sz w:val="20"/>
          <w:szCs w:val="20"/>
        </w:rPr>
        <w:t xml:space="preserve"> </w:t>
      </w:r>
      <w:r>
        <w:rPr>
          <w:rFonts w:ascii="Times New Roman" w:hAnsi="Times New Roman" w:eastAsia="Times New Roman" w:cs="Times New Roman"/>
          <w:b/>
          <w:bCs/>
          <w:spacing w:val="6"/>
          <w:sz w:val="20"/>
          <w:szCs w:val="20"/>
        </w:rPr>
        <w:t xml:space="preserve">4.5-1 </w:t>
      </w:r>
      <w:r>
        <w:rPr>
          <w:rFonts w:ascii="宋体" w:hAnsi="宋体" w:eastAsia="宋体" w:cs="宋体"/>
          <w:b/>
          <w:bCs/>
          <w:spacing w:val="6"/>
          <w:sz w:val="20"/>
          <w:szCs w:val="20"/>
        </w:rPr>
        <w:t>土壤监测点位及监测项目一览表</w:t>
      </w:r>
    </w:p>
    <w:p w14:paraId="58428EB3">
      <w:pPr>
        <w:spacing w:line="101" w:lineRule="exact"/>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5"/>
        <w:gridCol w:w="1729"/>
        <w:gridCol w:w="1192"/>
        <w:gridCol w:w="2325"/>
        <w:gridCol w:w="2463"/>
      </w:tblGrid>
      <w:tr w14:paraId="12774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1015" w:type="dxa"/>
            <w:vAlign w:val="top"/>
          </w:tcPr>
          <w:p w14:paraId="300A1EC1">
            <w:pPr>
              <w:pStyle w:val="6"/>
              <w:spacing w:before="63" w:line="227" w:lineRule="auto"/>
              <w:ind w:left="199"/>
            </w:pPr>
            <w:r>
              <w:rPr>
                <w:b/>
                <w:bCs/>
                <w:spacing w:val="5"/>
              </w:rPr>
              <w:t>监测点</w:t>
            </w:r>
          </w:p>
          <w:p w14:paraId="625B956C">
            <w:pPr>
              <w:pStyle w:val="6"/>
              <w:spacing w:before="76" w:line="227" w:lineRule="auto"/>
              <w:ind w:left="198"/>
            </w:pPr>
            <w:r>
              <w:rPr>
                <w:b/>
                <w:bCs/>
                <w:spacing w:val="5"/>
              </w:rPr>
              <w:t>位序号</w:t>
            </w:r>
          </w:p>
        </w:tc>
        <w:tc>
          <w:tcPr>
            <w:tcW w:w="1729" w:type="dxa"/>
            <w:vAlign w:val="top"/>
          </w:tcPr>
          <w:p w14:paraId="1E44E9DD">
            <w:pPr>
              <w:pStyle w:val="6"/>
              <w:spacing w:before="224" w:line="227" w:lineRule="auto"/>
              <w:ind w:left="448"/>
            </w:pPr>
            <w:r>
              <w:rPr>
                <w:b/>
                <w:bCs/>
                <w:spacing w:val="6"/>
              </w:rPr>
              <w:t>监测点位</w:t>
            </w:r>
          </w:p>
        </w:tc>
        <w:tc>
          <w:tcPr>
            <w:tcW w:w="1192" w:type="dxa"/>
            <w:vAlign w:val="top"/>
          </w:tcPr>
          <w:p w14:paraId="565111BA">
            <w:pPr>
              <w:pStyle w:val="6"/>
              <w:spacing w:before="62" w:line="226" w:lineRule="auto"/>
              <w:ind w:left="181"/>
            </w:pPr>
            <w:r>
              <w:rPr>
                <w:b/>
                <w:bCs/>
                <w:spacing w:val="6"/>
              </w:rPr>
              <w:t>土壤样品</w:t>
            </w:r>
          </w:p>
          <w:p w14:paraId="0A445C65">
            <w:pPr>
              <w:pStyle w:val="6"/>
              <w:spacing w:before="77" w:line="227" w:lineRule="auto"/>
              <w:ind w:left="392"/>
            </w:pPr>
            <w:r>
              <w:rPr>
                <w:b/>
                <w:bCs/>
                <w:spacing w:val="3"/>
              </w:rPr>
              <w:t>要求</w:t>
            </w:r>
          </w:p>
        </w:tc>
        <w:tc>
          <w:tcPr>
            <w:tcW w:w="2325" w:type="dxa"/>
            <w:vAlign w:val="top"/>
          </w:tcPr>
          <w:p w14:paraId="095E28CC">
            <w:pPr>
              <w:pStyle w:val="6"/>
              <w:spacing w:before="223" w:line="227" w:lineRule="auto"/>
              <w:ind w:left="539"/>
            </w:pPr>
            <w:r>
              <w:rPr>
                <w:b/>
                <w:bCs/>
                <w:spacing w:val="6"/>
              </w:rPr>
              <w:t>土壤监测项目</w:t>
            </w:r>
          </w:p>
        </w:tc>
        <w:tc>
          <w:tcPr>
            <w:tcW w:w="2463" w:type="dxa"/>
            <w:vAlign w:val="top"/>
          </w:tcPr>
          <w:p w14:paraId="79CF64B8">
            <w:pPr>
              <w:pStyle w:val="6"/>
              <w:spacing w:before="224" w:line="226" w:lineRule="auto"/>
              <w:ind w:left="815"/>
            </w:pPr>
            <w:r>
              <w:rPr>
                <w:b/>
                <w:bCs/>
                <w:spacing w:val="6"/>
              </w:rPr>
              <w:t>执行标准</w:t>
            </w:r>
          </w:p>
        </w:tc>
      </w:tr>
      <w:tr w14:paraId="5D7FE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015" w:type="dxa"/>
            <w:vAlign w:val="top"/>
          </w:tcPr>
          <w:p w14:paraId="572D10B4">
            <w:pPr>
              <w:spacing w:before="30" w:line="271" w:lineRule="exact"/>
              <w:ind w:left="395"/>
              <w:rPr>
                <w:rFonts w:ascii="Times New Roman" w:hAnsi="Times New Roman" w:eastAsia="Times New Roman" w:cs="Times New Roman"/>
                <w:sz w:val="20"/>
                <w:szCs w:val="20"/>
              </w:rPr>
            </w:pPr>
            <w:r>
              <w:rPr>
                <w:rFonts w:ascii="Times New Roman" w:hAnsi="Times New Roman" w:eastAsia="Times New Roman" w:cs="Times New Roman"/>
                <w:spacing w:val="11"/>
                <w:position w:val="1"/>
                <w:sz w:val="20"/>
                <w:szCs w:val="20"/>
              </w:rPr>
              <w:t>T1</w:t>
            </w:r>
          </w:p>
        </w:tc>
        <w:tc>
          <w:tcPr>
            <w:tcW w:w="1729" w:type="dxa"/>
            <w:vAlign w:val="top"/>
          </w:tcPr>
          <w:p w14:paraId="2B126DB6">
            <w:pPr>
              <w:pStyle w:val="6"/>
              <w:spacing w:before="61" w:line="226" w:lineRule="auto"/>
              <w:ind w:left="448"/>
            </w:pPr>
            <w:r>
              <w:rPr>
                <w:spacing w:val="7"/>
              </w:rPr>
              <w:t>养殖区域</w:t>
            </w:r>
          </w:p>
        </w:tc>
        <w:tc>
          <w:tcPr>
            <w:tcW w:w="1192" w:type="dxa"/>
            <w:vAlign w:val="top"/>
          </w:tcPr>
          <w:p w14:paraId="2A3AB78E">
            <w:pPr>
              <w:pStyle w:val="6"/>
              <w:spacing w:before="61" w:line="226" w:lineRule="auto"/>
              <w:ind w:left="179"/>
            </w:pPr>
            <w:r>
              <w:rPr>
                <w:spacing w:val="7"/>
              </w:rPr>
              <w:t>表层样点</w:t>
            </w:r>
          </w:p>
        </w:tc>
        <w:tc>
          <w:tcPr>
            <w:tcW w:w="2325" w:type="dxa"/>
            <w:vMerge w:val="restart"/>
            <w:tcBorders>
              <w:bottom w:val="nil"/>
            </w:tcBorders>
            <w:vAlign w:val="top"/>
          </w:tcPr>
          <w:p w14:paraId="6878E1C4">
            <w:pPr>
              <w:pStyle w:val="6"/>
              <w:spacing w:before="41" w:line="292" w:lineRule="auto"/>
              <w:ind w:left="115" w:right="35" w:firstLine="54"/>
              <w:jc w:val="both"/>
            </w:pPr>
            <w:r>
              <w:rPr>
                <w:rFonts w:ascii="Times New Roman" w:hAnsi="Times New Roman" w:eastAsia="Times New Roman" w:cs="Times New Roman"/>
                <w:spacing w:val="9"/>
              </w:rPr>
              <w:t xml:space="preserve">45 </w:t>
            </w:r>
            <w:r>
              <w:rPr>
                <w:spacing w:val="9"/>
              </w:rPr>
              <w:t>项目基本因子、</w:t>
            </w:r>
            <w:r>
              <w:rPr>
                <w:rFonts w:ascii="Times New Roman" w:hAnsi="Times New Roman" w:eastAsia="Times New Roman" w:cs="Times New Roman"/>
              </w:rPr>
              <w:t xml:space="preserve">pH   </w:t>
            </w:r>
            <w:r>
              <w:rPr>
                <w:spacing w:val="9"/>
              </w:rPr>
              <w:t>值、阳离子交换量、氧</w:t>
            </w:r>
            <w:r>
              <w:rPr>
                <w:spacing w:val="2"/>
              </w:rPr>
              <w:t xml:space="preserve"> </w:t>
            </w:r>
            <w:r>
              <w:rPr>
                <w:spacing w:val="-3"/>
              </w:rPr>
              <w:t>化还原电位、土壤容重、</w:t>
            </w:r>
          </w:p>
        </w:tc>
        <w:tc>
          <w:tcPr>
            <w:tcW w:w="2463" w:type="dxa"/>
            <w:vMerge w:val="restart"/>
            <w:tcBorders>
              <w:bottom w:val="nil"/>
            </w:tcBorders>
            <w:vAlign w:val="top"/>
          </w:tcPr>
          <w:p w14:paraId="146988DF">
            <w:pPr>
              <w:pStyle w:val="6"/>
              <w:spacing w:before="70" w:line="227" w:lineRule="auto"/>
              <w:ind w:left="192"/>
            </w:pPr>
            <w:r>
              <w:rPr>
                <w:spacing w:val="8"/>
              </w:rPr>
              <w:t>《土壤环境质量建设用</w:t>
            </w:r>
          </w:p>
          <w:p w14:paraId="13BE4460">
            <w:pPr>
              <w:pStyle w:val="6"/>
              <w:spacing w:before="76" w:line="226" w:lineRule="auto"/>
              <w:ind w:left="186"/>
            </w:pPr>
            <w:r>
              <w:rPr>
                <w:spacing w:val="8"/>
              </w:rPr>
              <w:t>地土壤污染风险管控标</w:t>
            </w:r>
          </w:p>
          <w:p w14:paraId="24E17B5A">
            <w:pPr>
              <w:pStyle w:val="6"/>
              <w:spacing w:before="74" w:line="227" w:lineRule="auto"/>
              <w:ind w:left="608"/>
            </w:pPr>
            <w:r>
              <w:rPr>
                <w:spacing w:val="9"/>
              </w:rPr>
              <w:t>准（试行）》</w:t>
            </w:r>
          </w:p>
        </w:tc>
      </w:tr>
      <w:tr w14:paraId="5B112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015" w:type="dxa"/>
            <w:vAlign w:val="top"/>
          </w:tcPr>
          <w:p w14:paraId="0E5C745B">
            <w:pPr>
              <w:spacing w:before="31" w:line="271" w:lineRule="exact"/>
              <w:ind w:left="395"/>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T2</w:t>
            </w:r>
          </w:p>
        </w:tc>
        <w:tc>
          <w:tcPr>
            <w:tcW w:w="1729" w:type="dxa"/>
            <w:vAlign w:val="top"/>
          </w:tcPr>
          <w:p w14:paraId="0FEDC348">
            <w:pPr>
              <w:pStyle w:val="6"/>
              <w:spacing w:before="62" w:line="225" w:lineRule="auto"/>
              <w:ind w:left="134"/>
            </w:pPr>
            <w:r>
              <w:rPr>
                <w:spacing w:val="8"/>
              </w:rPr>
              <w:t>有机肥发酵车间</w:t>
            </w:r>
          </w:p>
        </w:tc>
        <w:tc>
          <w:tcPr>
            <w:tcW w:w="1192" w:type="dxa"/>
            <w:vAlign w:val="top"/>
          </w:tcPr>
          <w:p w14:paraId="56F5982B">
            <w:pPr>
              <w:pStyle w:val="6"/>
              <w:spacing w:before="61" w:line="226" w:lineRule="auto"/>
              <w:ind w:left="179"/>
            </w:pPr>
            <w:r>
              <w:rPr>
                <w:spacing w:val="7"/>
              </w:rPr>
              <w:t>表层样点</w:t>
            </w:r>
          </w:p>
        </w:tc>
        <w:tc>
          <w:tcPr>
            <w:tcW w:w="2325" w:type="dxa"/>
            <w:vMerge w:val="continue"/>
            <w:tcBorders>
              <w:top w:val="nil"/>
              <w:bottom w:val="nil"/>
            </w:tcBorders>
            <w:vAlign w:val="top"/>
          </w:tcPr>
          <w:p w14:paraId="6A235BE1">
            <w:pPr>
              <w:rPr>
                <w:rFonts w:ascii="Arial"/>
                <w:sz w:val="21"/>
              </w:rPr>
            </w:pPr>
          </w:p>
        </w:tc>
        <w:tc>
          <w:tcPr>
            <w:tcW w:w="2463" w:type="dxa"/>
            <w:vMerge w:val="continue"/>
            <w:tcBorders>
              <w:top w:val="nil"/>
              <w:bottom w:val="nil"/>
            </w:tcBorders>
            <w:vAlign w:val="top"/>
          </w:tcPr>
          <w:p w14:paraId="5B126676">
            <w:pPr>
              <w:rPr>
                <w:rFonts w:ascii="Arial"/>
                <w:sz w:val="21"/>
              </w:rPr>
            </w:pPr>
          </w:p>
        </w:tc>
      </w:tr>
      <w:tr w14:paraId="10C92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015" w:type="dxa"/>
            <w:vAlign w:val="top"/>
          </w:tcPr>
          <w:p w14:paraId="35891926">
            <w:pPr>
              <w:spacing w:before="32" w:line="271" w:lineRule="exact"/>
              <w:ind w:left="395"/>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T3</w:t>
            </w:r>
          </w:p>
        </w:tc>
        <w:tc>
          <w:tcPr>
            <w:tcW w:w="1729" w:type="dxa"/>
            <w:vAlign w:val="top"/>
          </w:tcPr>
          <w:p w14:paraId="691E0C9A">
            <w:pPr>
              <w:pStyle w:val="6"/>
              <w:spacing w:before="62" w:line="227" w:lineRule="auto"/>
              <w:ind w:left="137"/>
            </w:pPr>
            <w:r>
              <w:rPr>
                <w:spacing w:val="8"/>
              </w:rPr>
              <w:t>项目区域西南面</w:t>
            </w:r>
          </w:p>
        </w:tc>
        <w:tc>
          <w:tcPr>
            <w:tcW w:w="1192" w:type="dxa"/>
            <w:vAlign w:val="top"/>
          </w:tcPr>
          <w:p w14:paraId="24D6C0FD">
            <w:pPr>
              <w:pStyle w:val="6"/>
              <w:spacing w:before="62" w:line="226" w:lineRule="auto"/>
              <w:ind w:left="179"/>
            </w:pPr>
            <w:r>
              <w:rPr>
                <w:spacing w:val="7"/>
              </w:rPr>
              <w:t>表层样点</w:t>
            </w:r>
          </w:p>
        </w:tc>
        <w:tc>
          <w:tcPr>
            <w:tcW w:w="2325" w:type="dxa"/>
            <w:vMerge w:val="continue"/>
            <w:tcBorders>
              <w:top w:val="nil"/>
            </w:tcBorders>
            <w:vAlign w:val="top"/>
          </w:tcPr>
          <w:p w14:paraId="67AD02F7">
            <w:pPr>
              <w:rPr>
                <w:rFonts w:ascii="Arial"/>
                <w:sz w:val="21"/>
              </w:rPr>
            </w:pPr>
          </w:p>
        </w:tc>
        <w:tc>
          <w:tcPr>
            <w:tcW w:w="2463" w:type="dxa"/>
            <w:vMerge w:val="continue"/>
            <w:tcBorders>
              <w:top w:val="nil"/>
            </w:tcBorders>
            <w:vAlign w:val="top"/>
          </w:tcPr>
          <w:p w14:paraId="5DAAB4C2">
            <w:pPr>
              <w:rPr>
                <w:rFonts w:ascii="Arial"/>
                <w:sz w:val="21"/>
              </w:rPr>
            </w:pPr>
          </w:p>
        </w:tc>
      </w:tr>
    </w:tbl>
    <w:p w14:paraId="7A2509CF">
      <w:pPr>
        <w:pStyle w:val="2"/>
        <w:spacing w:line="14" w:lineRule="auto"/>
        <w:rPr>
          <w:sz w:val="2"/>
        </w:rPr>
      </w:pPr>
    </w:p>
    <w:p w14:paraId="568298D9">
      <w:pPr>
        <w:spacing w:line="14" w:lineRule="auto"/>
        <w:rPr>
          <w:sz w:val="2"/>
          <w:szCs w:val="2"/>
        </w:rPr>
        <w:sectPr>
          <w:footerReference r:id="rId105" w:type="default"/>
          <w:pgSz w:w="11906" w:h="16839"/>
          <w:pgMar w:top="400" w:right="1475" w:bottom="1485" w:left="1475" w:header="0" w:footer="1249" w:gutter="0"/>
          <w:cols w:space="720" w:num="1"/>
        </w:sectPr>
      </w:pPr>
    </w:p>
    <w:p w14:paraId="5B66E57A">
      <w:pPr>
        <w:spacing w:before="13"/>
      </w:pPr>
    </w:p>
    <w:p w14:paraId="4C00B59B">
      <w:pPr>
        <w:spacing w:before="13"/>
      </w:pPr>
    </w:p>
    <w:p w14:paraId="46308977">
      <w:pPr>
        <w:spacing w:before="13"/>
      </w:pPr>
    </w:p>
    <w:p w14:paraId="212B532B">
      <w:pPr>
        <w:spacing w:before="13"/>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5"/>
        <w:gridCol w:w="1729"/>
        <w:gridCol w:w="1192"/>
        <w:gridCol w:w="2325"/>
        <w:gridCol w:w="2463"/>
      </w:tblGrid>
      <w:tr w14:paraId="7E38B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015" w:type="dxa"/>
            <w:vAlign w:val="top"/>
          </w:tcPr>
          <w:p w14:paraId="48F9BDB4">
            <w:pPr>
              <w:rPr>
                <w:rFonts w:ascii="Arial"/>
                <w:sz w:val="21"/>
              </w:rPr>
            </w:pPr>
          </w:p>
        </w:tc>
        <w:tc>
          <w:tcPr>
            <w:tcW w:w="1729" w:type="dxa"/>
            <w:vAlign w:val="top"/>
          </w:tcPr>
          <w:p w14:paraId="07A70321">
            <w:pPr>
              <w:rPr>
                <w:rFonts w:ascii="Arial"/>
                <w:sz w:val="21"/>
              </w:rPr>
            </w:pPr>
          </w:p>
        </w:tc>
        <w:tc>
          <w:tcPr>
            <w:tcW w:w="1192" w:type="dxa"/>
            <w:vAlign w:val="top"/>
          </w:tcPr>
          <w:p w14:paraId="6E2F26C0">
            <w:pPr>
              <w:rPr>
                <w:rFonts w:ascii="Arial"/>
                <w:sz w:val="21"/>
              </w:rPr>
            </w:pPr>
          </w:p>
        </w:tc>
        <w:tc>
          <w:tcPr>
            <w:tcW w:w="2325" w:type="dxa"/>
            <w:vAlign w:val="top"/>
          </w:tcPr>
          <w:p w14:paraId="64ABC75B">
            <w:pPr>
              <w:pStyle w:val="6"/>
              <w:spacing w:before="64" w:line="228" w:lineRule="auto"/>
              <w:ind w:left="330"/>
            </w:pPr>
            <w:r>
              <w:rPr>
                <w:spacing w:val="8"/>
              </w:rPr>
              <w:t>总孔隙度、渗滤率</w:t>
            </w:r>
          </w:p>
        </w:tc>
        <w:tc>
          <w:tcPr>
            <w:tcW w:w="2463" w:type="dxa"/>
            <w:vAlign w:val="top"/>
          </w:tcPr>
          <w:p w14:paraId="6E508253">
            <w:pPr>
              <w:pStyle w:val="6"/>
              <w:spacing w:before="33" w:line="285" w:lineRule="auto"/>
              <w:ind w:left="504" w:right="157" w:hanging="331"/>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36600-2018</w:t>
            </w:r>
            <w:r>
              <w:rPr>
                <w:spacing w:val="5"/>
              </w:rPr>
              <w:t>）中第</w:t>
            </w:r>
            <w:r>
              <w:rPr>
                <w:spacing w:val="12"/>
              </w:rPr>
              <w:t xml:space="preserve"> </w:t>
            </w:r>
            <w:r>
              <w:rPr>
                <w:spacing w:val="8"/>
              </w:rPr>
              <w:t>二类用地筛选值</w:t>
            </w:r>
          </w:p>
        </w:tc>
      </w:tr>
    </w:tbl>
    <w:p w14:paraId="5B13EAA2">
      <w:pPr>
        <w:spacing w:before="139" w:line="228" w:lineRule="auto"/>
        <w:ind w:left="541"/>
        <w:rPr>
          <w:rFonts w:ascii="宋体" w:hAnsi="宋体" w:eastAsia="宋体" w:cs="宋体"/>
          <w:sz w:val="20"/>
          <w:szCs w:val="20"/>
        </w:rPr>
      </w:pPr>
      <w:r>
        <w:rPr>
          <w:rFonts w:ascii="宋体" w:hAnsi="宋体" w:eastAsia="宋体" w:cs="宋体"/>
          <w:b/>
          <w:bCs/>
          <w:spacing w:val="5"/>
          <w:sz w:val="20"/>
          <w:szCs w:val="20"/>
        </w:rPr>
        <w:t>注：表层样在</w:t>
      </w:r>
      <w:r>
        <w:rPr>
          <w:rFonts w:ascii="宋体" w:hAnsi="宋体" w:eastAsia="宋体" w:cs="宋体"/>
          <w:spacing w:val="-40"/>
          <w:sz w:val="20"/>
          <w:szCs w:val="20"/>
        </w:rPr>
        <w:t xml:space="preserve"> </w:t>
      </w:r>
      <w:r>
        <w:rPr>
          <w:rFonts w:ascii="Times New Roman" w:hAnsi="Times New Roman" w:eastAsia="Times New Roman" w:cs="Times New Roman"/>
          <w:b/>
          <w:bCs/>
          <w:spacing w:val="5"/>
          <w:sz w:val="20"/>
          <w:szCs w:val="20"/>
        </w:rPr>
        <w:t xml:space="preserve">0~0.02m </w:t>
      </w:r>
      <w:r>
        <w:rPr>
          <w:rFonts w:ascii="宋体" w:hAnsi="宋体" w:eastAsia="宋体" w:cs="宋体"/>
          <w:b/>
          <w:bCs/>
          <w:spacing w:val="5"/>
          <w:sz w:val="20"/>
          <w:szCs w:val="20"/>
        </w:rPr>
        <w:t>取样。</w:t>
      </w:r>
    </w:p>
    <w:p w14:paraId="19521233">
      <w:pPr>
        <w:spacing w:before="103" w:line="7820" w:lineRule="exact"/>
        <w:ind w:firstLine="142"/>
      </w:pPr>
      <w:r>
        <w:rPr>
          <w:position w:val="-156"/>
        </w:rPr>
        <w:drawing>
          <wp:inline distT="0" distB="0" distL="0" distR="0">
            <wp:extent cx="5544185" cy="496506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20"/>
                    <a:stretch>
                      <a:fillRect/>
                    </a:stretch>
                  </pic:blipFill>
                  <pic:spPr>
                    <a:xfrm>
                      <a:off x="0" y="0"/>
                      <a:ext cx="5544311" cy="4965192"/>
                    </a:xfrm>
                    <a:prstGeom prst="rect">
                      <a:avLst/>
                    </a:prstGeom>
                  </pic:spPr>
                </pic:pic>
              </a:graphicData>
            </a:graphic>
          </wp:inline>
        </w:drawing>
      </w:r>
    </w:p>
    <w:p w14:paraId="6DBD1E90">
      <w:pPr>
        <w:spacing w:before="128" w:line="219" w:lineRule="auto"/>
        <w:ind w:left="3480"/>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52"/>
          <w:sz w:val="24"/>
          <w:szCs w:val="24"/>
        </w:rPr>
        <w:t xml:space="preserve"> </w:t>
      </w:r>
      <w:r>
        <w:rPr>
          <w:rFonts w:ascii="Times New Roman" w:hAnsi="Times New Roman" w:eastAsia="Times New Roman" w:cs="Times New Roman"/>
          <w:b/>
          <w:bCs/>
          <w:spacing w:val="-4"/>
          <w:sz w:val="24"/>
          <w:szCs w:val="24"/>
        </w:rPr>
        <w:t xml:space="preserve">4.5-1 </w:t>
      </w:r>
      <w:r>
        <w:rPr>
          <w:rFonts w:ascii="宋体" w:hAnsi="宋体" w:eastAsia="宋体" w:cs="宋体"/>
          <w:b/>
          <w:bCs/>
          <w:spacing w:val="-4"/>
          <w:sz w:val="24"/>
          <w:szCs w:val="24"/>
        </w:rPr>
        <w:t>土壤采样布点图</w:t>
      </w:r>
    </w:p>
    <w:p w14:paraId="764E7B13">
      <w:pPr>
        <w:spacing w:before="166" w:line="361" w:lineRule="exact"/>
        <w:ind w:left="598"/>
        <w:rPr>
          <w:rFonts w:ascii="宋体" w:hAnsi="宋体" w:eastAsia="宋体" w:cs="宋体"/>
          <w:sz w:val="24"/>
          <w:szCs w:val="24"/>
        </w:rPr>
      </w:pP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4"/>
          <w:position w:val="2"/>
          <w:sz w:val="24"/>
          <w:szCs w:val="24"/>
        </w:rPr>
        <w:t>、监测时间和频次</w:t>
      </w:r>
    </w:p>
    <w:p w14:paraId="62963008">
      <w:pPr>
        <w:spacing w:before="167" w:line="220" w:lineRule="auto"/>
        <w:ind w:left="602"/>
        <w:rPr>
          <w:rFonts w:ascii="宋体" w:hAnsi="宋体" w:eastAsia="宋体" w:cs="宋体"/>
          <w:sz w:val="24"/>
          <w:szCs w:val="24"/>
        </w:rPr>
      </w:pPr>
      <w:r>
        <w:rPr>
          <w:rFonts w:ascii="宋体" w:hAnsi="宋体" w:eastAsia="宋体" w:cs="宋体"/>
          <w:spacing w:val="-1"/>
          <w:sz w:val="24"/>
          <w:szCs w:val="24"/>
        </w:rPr>
        <w:t>每个点位监测一天一次。</w:t>
      </w:r>
    </w:p>
    <w:p w14:paraId="518AB3D5">
      <w:pPr>
        <w:spacing w:before="165" w:line="361" w:lineRule="exact"/>
        <w:ind w:left="603"/>
        <w:rPr>
          <w:rFonts w:ascii="宋体" w:hAnsi="宋体" w:eastAsia="宋体" w:cs="宋体"/>
          <w:sz w:val="24"/>
          <w:szCs w:val="24"/>
        </w:rPr>
      </w:pPr>
      <w:r>
        <w:rPr>
          <w:rFonts w:ascii="Times New Roman" w:hAnsi="Times New Roman" w:eastAsia="Times New Roman" w:cs="Times New Roman"/>
          <w:spacing w:val="-3"/>
          <w:position w:val="2"/>
          <w:sz w:val="24"/>
          <w:szCs w:val="24"/>
        </w:rPr>
        <w:t>3</w:t>
      </w:r>
      <w:r>
        <w:rPr>
          <w:rFonts w:ascii="Times New Roman" w:hAnsi="Times New Roman" w:eastAsia="Times New Roman" w:cs="Times New Roman"/>
          <w:spacing w:val="-26"/>
          <w:position w:val="2"/>
          <w:sz w:val="24"/>
          <w:szCs w:val="24"/>
        </w:rPr>
        <w:t xml:space="preserve"> </w:t>
      </w:r>
      <w:r>
        <w:rPr>
          <w:rFonts w:ascii="宋体" w:hAnsi="宋体" w:eastAsia="宋体" w:cs="宋体"/>
          <w:spacing w:val="-3"/>
          <w:position w:val="2"/>
          <w:sz w:val="24"/>
          <w:szCs w:val="24"/>
        </w:rPr>
        <w:t>、检测方法、使用仪器及检出限</w:t>
      </w:r>
    </w:p>
    <w:p w14:paraId="3AA9411B">
      <w:pPr>
        <w:spacing w:before="179" w:line="228" w:lineRule="auto"/>
        <w:ind w:left="295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3"/>
          <w:sz w:val="20"/>
          <w:szCs w:val="20"/>
        </w:rPr>
        <w:t xml:space="preserve"> </w:t>
      </w:r>
      <w:r>
        <w:rPr>
          <w:rFonts w:ascii="Times New Roman" w:hAnsi="Times New Roman" w:eastAsia="Times New Roman" w:cs="Times New Roman"/>
          <w:b/>
          <w:bCs/>
          <w:spacing w:val="6"/>
          <w:sz w:val="20"/>
          <w:szCs w:val="20"/>
        </w:rPr>
        <w:t xml:space="preserve">4.5-2 </w:t>
      </w:r>
      <w:r>
        <w:rPr>
          <w:rFonts w:ascii="宋体" w:hAnsi="宋体" w:eastAsia="宋体" w:cs="宋体"/>
          <w:b/>
          <w:bCs/>
          <w:spacing w:val="6"/>
          <w:sz w:val="20"/>
          <w:szCs w:val="20"/>
        </w:rPr>
        <w:t>检测方法、使用仪器及检出限</w:t>
      </w:r>
    </w:p>
    <w:p w14:paraId="5F577BE1">
      <w:pPr>
        <w:spacing w:line="102" w:lineRule="exact"/>
      </w:pPr>
    </w:p>
    <w:tbl>
      <w:tblPr>
        <w:tblStyle w:val="5"/>
        <w:tblW w:w="8724"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3116"/>
        <w:gridCol w:w="2036"/>
        <w:gridCol w:w="1447"/>
      </w:tblGrid>
      <w:tr w14:paraId="04BB6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25" w:type="dxa"/>
            <w:vAlign w:val="top"/>
          </w:tcPr>
          <w:p w14:paraId="2592D856">
            <w:pPr>
              <w:pStyle w:val="6"/>
              <w:spacing w:before="70" w:line="228" w:lineRule="auto"/>
              <w:ind w:left="649"/>
            </w:pPr>
            <w:r>
              <w:rPr>
                <w:b/>
                <w:bCs/>
                <w:spacing w:val="6"/>
              </w:rPr>
              <w:t>检测项目</w:t>
            </w:r>
          </w:p>
        </w:tc>
        <w:tc>
          <w:tcPr>
            <w:tcW w:w="3116" w:type="dxa"/>
            <w:vAlign w:val="top"/>
          </w:tcPr>
          <w:p w14:paraId="7F8CD1A6">
            <w:pPr>
              <w:pStyle w:val="6"/>
              <w:spacing w:before="70" w:line="228" w:lineRule="auto"/>
              <w:ind w:left="1142"/>
            </w:pPr>
            <w:r>
              <w:rPr>
                <w:b/>
                <w:bCs/>
                <w:spacing w:val="6"/>
              </w:rPr>
              <w:t>检测方法</w:t>
            </w:r>
          </w:p>
        </w:tc>
        <w:tc>
          <w:tcPr>
            <w:tcW w:w="2036" w:type="dxa"/>
            <w:vAlign w:val="top"/>
          </w:tcPr>
          <w:p w14:paraId="39C73A64">
            <w:pPr>
              <w:pStyle w:val="6"/>
              <w:spacing w:before="70" w:line="228" w:lineRule="auto"/>
              <w:ind w:left="606"/>
            </w:pPr>
            <w:r>
              <w:rPr>
                <w:b/>
                <w:bCs/>
                <w:spacing w:val="5"/>
              </w:rPr>
              <w:t>分析仪器</w:t>
            </w:r>
          </w:p>
        </w:tc>
        <w:tc>
          <w:tcPr>
            <w:tcW w:w="1447" w:type="dxa"/>
            <w:vAlign w:val="top"/>
          </w:tcPr>
          <w:p w14:paraId="5DAC5D2C">
            <w:pPr>
              <w:pStyle w:val="6"/>
              <w:spacing w:before="70" w:line="228" w:lineRule="auto"/>
              <w:ind w:left="413"/>
            </w:pPr>
            <w:r>
              <w:rPr>
                <w:b/>
                <w:bCs/>
                <w:spacing w:val="5"/>
              </w:rPr>
              <w:t>检出限</w:t>
            </w:r>
          </w:p>
        </w:tc>
      </w:tr>
      <w:tr w14:paraId="0CC6D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2125" w:type="dxa"/>
            <w:vAlign w:val="top"/>
          </w:tcPr>
          <w:p w14:paraId="1515758D">
            <w:pPr>
              <w:pStyle w:val="6"/>
              <w:spacing w:before="270" w:line="221" w:lineRule="auto"/>
              <w:ind w:left="799"/>
            </w:pPr>
            <w:r>
              <w:rPr>
                <w:rFonts w:ascii="Times New Roman" w:hAnsi="Times New Roman" w:eastAsia="Times New Roman" w:cs="Times New Roman"/>
              </w:rPr>
              <w:t>pH</w:t>
            </w:r>
            <w:r>
              <w:rPr>
                <w:rFonts w:ascii="Times New Roman" w:hAnsi="Times New Roman" w:eastAsia="Times New Roman" w:cs="Times New Roman"/>
                <w:spacing w:val="11"/>
              </w:rPr>
              <w:t xml:space="preserve"> </w:t>
            </w:r>
            <w:r>
              <w:rPr>
                <w:spacing w:val="13"/>
              </w:rPr>
              <w:t>值</w:t>
            </w:r>
          </w:p>
        </w:tc>
        <w:tc>
          <w:tcPr>
            <w:tcW w:w="3116" w:type="dxa"/>
            <w:vAlign w:val="top"/>
          </w:tcPr>
          <w:p w14:paraId="61B7C926">
            <w:pPr>
              <w:pStyle w:val="6"/>
              <w:spacing w:before="76" w:line="298" w:lineRule="auto"/>
              <w:ind w:left="362" w:right="140" w:hanging="208"/>
              <w:rPr>
                <w:rFonts w:ascii="Times New Roman" w:hAnsi="Times New Roman" w:eastAsia="Times New Roman" w:cs="Times New Roman"/>
              </w:rPr>
            </w:pPr>
            <w:r>
              <w:rPr>
                <w:spacing w:val="8"/>
              </w:rPr>
              <w:t>《土壤检测第</w:t>
            </w:r>
            <w:r>
              <w:rPr>
                <w:spacing w:val="-36"/>
              </w:rPr>
              <w:t xml:space="preserve"> </w:t>
            </w:r>
            <w:r>
              <w:rPr>
                <w:rFonts w:ascii="Times New Roman" w:hAnsi="Times New Roman" w:eastAsia="Times New Roman" w:cs="Times New Roman"/>
                <w:spacing w:val="8"/>
              </w:rPr>
              <w:t xml:space="preserve">2 </w:t>
            </w:r>
            <w:r>
              <w:rPr>
                <w:spacing w:val="8"/>
              </w:rPr>
              <w:t>部分：土壤</w:t>
            </w:r>
            <w:r>
              <w:rPr>
                <w:spacing w:val="-48"/>
              </w:rPr>
              <w:t xml:space="preserve"> </w:t>
            </w:r>
            <w:r>
              <w:rPr>
                <w:rFonts w:ascii="Times New Roman" w:hAnsi="Times New Roman" w:eastAsia="Times New Roman" w:cs="Times New Roman"/>
              </w:rPr>
              <w:t xml:space="preserve">pH </w:t>
            </w:r>
            <w:r>
              <w:rPr>
                <w:spacing w:val="3"/>
              </w:rPr>
              <w:t>的测定》</w:t>
            </w:r>
            <w:r>
              <w:rPr>
                <w:rFonts w:ascii="Times New Roman" w:hAnsi="Times New Roman" w:eastAsia="Times New Roman" w:cs="Times New Roman"/>
              </w:rPr>
              <w:t>NY</w:t>
            </w:r>
            <w:r>
              <w:rPr>
                <w:rFonts w:ascii="Times New Roman" w:hAnsi="Times New Roman" w:eastAsia="Times New Roman" w:cs="Times New Roman"/>
                <w:spacing w:val="3"/>
              </w:rPr>
              <w:t>/T</w:t>
            </w:r>
            <w:r>
              <w:rPr>
                <w:rFonts w:ascii="Times New Roman" w:hAnsi="Times New Roman" w:eastAsia="Times New Roman" w:cs="Times New Roman"/>
                <w:spacing w:val="29"/>
              </w:rPr>
              <w:t xml:space="preserve"> </w:t>
            </w:r>
            <w:r>
              <w:rPr>
                <w:rFonts w:ascii="Times New Roman" w:hAnsi="Times New Roman" w:eastAsia="Times New Roman" w:cs="Times New Roman"/>
                <w:spacing w:val="3"/>
              </w:rPr>
              <w:t>1121.2-2006</w:t>
            </w:r>
          </w:p>
        </w:tc>
        <w:tc>
          <w:tcPr>
            <w:tcW w:w="2036" w:type="dxa"/>
            <w:vAlign w:val="top"/>
          </w:tcPr>
          <w:p w14:paraId="1A44E3EC">
            <w:pPr>
              <w:pStyle w:val="6"/>
              <w:spacing w:before="77" w:line="299" w:lineRule="auto"/>
              <w:ind w:left="564" w:right="371" w:hanging="183"/>
              <w:rPr>
                <w:rFonts w:ascii="Times New Roman" w:hAnsi="Times New Roman" w:eastAsia="Times New Roman" w:cs="Times New Roman"/>
              </w:rPr>
            </w:pPr>
            <w:r>
              <w:rPr>
                <w:rFonts w:ascii="Times New Roman" w:hAnsi="Times New Roman" w:eastAsia="Times New Roman" w:cs="Times New Roman"/>
              </w:rPr>
              <w:t>PH</w:t>
            </w:r>
            <w:r>
              <w:rPr>
                <w:rFonts w:ascii="Times New Roman" w:hAnsi="Times New Roman" w:eastAsia="Times New Roman" w:cs="Times New Roman"/>
                <w:spacing w:val="9"/>
              </w:rPr>
              <w:t xml:space="preserve"> </w:t>
            </w:r>
            <w:r>
              <w:rPr>
                <w:spacing w:val="9"/>
              </w:rPr>
              <w:t>计</w:t>
            </w:r>
            <w:r>
              <w:rPr>
                <w:spacing w:val="-41"/>
              </w:rPr>
              <w:t xml:space="preserve"> </w:t>
            </w:r>
            <w:r>
              <w:rPr>
                <w:rFonts w:ascii="Times New Roman" w:hAnsi="Times New Roman" w:eastAsia="Times New Roman" w:cs="Times New Roman"/>
              </w:rPr>
              <w:t>PHS</w:t>
            </w:r>
            <w:r>
              <w:rPr>
                <w:rFonts w:ascii="Times New Roman" w:hAnsi="Times New Roman" w:eastAsia="Times New Roman" w:cs="Times New Roman"/>
                <w:spacing w:val="9"/>
              </w:rPr>
              <w:t>-3C</w:t>
            </w:r>
            <w:r>
              <w:rPr>
                <w:rFonts w:ascii="Times New Roman" w:hAnsi="Times New Roman" w:eastAsia="Times New Roman" w:cs="Times New Roman"/>
              </w:rPr>
              <w:t xml:space="preserve"> YQ</w:t>
            </w:r>
            <w:r>
              <w:rPr>
                <w:rFonts w:ascii="Times New Roman" w:hAnsi="Times New Roman" w:eastAsia="Times New Roman" w:cs="Times New Roman"/>
                <w:spacing w:val="6"/>
              </w:rPr>
              <w:t>-A-010</w:t>
            </w:r>
          </w:p>
        </w:tc>
        <w:tc>
          <w:tcPr>
            <w:tcW w:w="1447" w:type="dxa"/>
            <w:vAlign w:val="top"/>
          </w:tcPr>
          <w:p w14:paraId="5F8D69BE">
            <w:pPr>
              <w:pStyle w:val="6"/>
              <w:spacing w:before="239" w:line="274" w:lineRule="exact"/>
              <w:ind w:left="166"/>
            </w:pPr>
            <w:r>
              <w:rPr>
                <w:rFonts w:ascii="Times New Roman" w:hAnsi="Times New Roman" w:eastAsia="Times New Roman" w:cs="Times New Roman"/>
                <w:spacing w:val="7"/>
                <w:position w:val="1"/>
              </w:rPr>
              <w:t>/</w:t>
            </w:r>
            <w:r>
              <w:rPr>
                <w:spacing w:val="7"/>
                <w:position w:val="1"/>
              </w:rPr>
              <w:t>（无量纲）</w:t>
            </w:r>
          </w:p>
        </w:tc>
      </w:tr>
      <w:tr w14:paraId="5AC37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125" w:type="dxa"/>
            <w:vAlign w:val="top"/>
          </w:tcPr>
          <w:p w14:paraId="58661F22">
            <w:pPr>
              <w:spacing w:line="320" w:lineRule="auto"/>
              <w:rPr>
                <w:rFonts w:ascii="Arial"/>
                <w:sz w:val="21"/>
              </w:rPr>
            </w:pPr>
          </w:p>
          <w:p w14:paraId="6A7DB6F3">
            <w:pPr>
              <w:pStyle w:val="6"/>
              <w:spacing w:before="65" w:line="229" w:lineRule="auto"/>
              <w:ind w:left="453"/>
            </w:pPr>
            <w:r>
              <w:rPr>
                <w:spacing w:val="5"/>
              </w:rPr>
              <w:t>阳离子交换量</w:t>
            </w:r>
          </w:p>
        </w:tc>
        <w:tc>
          <w:tcPr>
            <w:tcW w:w="3116" w:type="dxa"/>
            <w:vAlign w:val="top"/>
          </w:tcPr>
          <w:p w14:paraId="0B49D93D">
            <w:pPr>
              <w:pStyle w:val="6"/>
              <w:spacing w:before="60" w:line="229" w:lineRule="auto"/>
              <w:ind w:left="204"/>
            </w:pPr>
            <w:r>
              <w:rPr>
                <w:spacing w:val="8"/>
              </w:rPr>
              <w:t>《土壤阳离子交换量的测定三</w:t>
            </w:r>
          </w:p>
          <w:p w14:paraId="59A71BEE">
            <w:pPr>
              <w:pStyle w:val="6"/>
              <w:spacing w:before="78" w:line="228" w:lineRule="auto"/>
              <w:ind w:left="272"/>
            </w:pPr>
            <w:r>
              <w:rPr>
                <w:spacing w:val="8"/>
              </w:rPr>
              <w:t>氯化六氨合钴浸提</w:t>
            </w:r>
            <w:r>
              <w:rPr>
                <w:rFonts w:ascii="Times New Roman" w:hAnsi="Times New Roman" w:eastAsia="Times New Roman" w:cs="Times New Roman"/>
                <w:spacing w:val="8"/>
              </w:rPr>
              <w:t>-</w:t>
            </w:r>
            <w:r>
              <w:rPr>
                <w:spacing w:val="8"/>
              </w:rPr>
              <w:t>分光光度</w:t>
            </w:r>
          </w:p>
          <w:p w14:paraId="0AECA953">
            <w:pPr>
              <w:pStyle w:val="6"/>
              <w:spacing w:before="48" w:line="274" w:lineRule="exact"/>
              <w:ind w:left="809"/>
              <w:rPr>
                <w:rFonts w:ascii="Times New Roman" w:hAnsi="Times New Roman" w:eastAsia="Times New Roman" w:cs="Times New Roman"/>
              </w:rPr>
            </w:pPr>
            <w:r>
              <w:rPr>
                <w:spacing w:val="4"/>
                <w:position w:val="1"/>
              </w:rPr>
              <w:t>法》</w:t>
            </w:r>
            <w:r>
              <w:rPr>
                <w:rFonts w:ascii="Times New Roman" w:hAnsi="Times New Roman" w:eastAsia="Times New Roman" w:cs="Times New Roman"/>
                <w:position w:val="1"/>
              </w:rPr>
              <w:t>HJ</w:t>
            </w:r>
            <w:r>
              <w:rPr>
                <w:rFonts w:ascii="Times New Roman" w:hAnsi="Times New Roman" w:eastAsia="Times New Roman" w:cs="Times New Roman"/>
                <w:spacing w:val="22"/>
                <w:position w:val="1"/>
              </w:rPr>
              <w:t xml:space="preserve"> </w:t>
            </w:r>
            <w:r>
              <w:rPr>
                <w:rFonts w:ascii="Times New Roman" w:hAnsi="Times New Roman" w:eastAsia="Times New Roman" w:cs="Times New Roman"/>
                <w:spacing w:val="4"/>
                <w:position w:val="1"/>
              </w:rPr>
              <w:t>889-2017</w:t>
            </w:r>
          </w:p>
        </w:tc>
        <w:tc>
          <w:tcPr>
            <w:tcW w:w="2036" w:type="dxa"/>
            <w:vAlign w:val="top"/>
          </w:tcPr>
          <w:p w14:paraId="7AF0823D">
            <w:pPr>
              <w:pStyle w:val="6"/>
              <w:spacing w:before="60" w:line="287" w:lineRule="auto"/>
              <w:ind w:left="443" w:right="177" w:hanging="254"/>
              <w:rPr>
                <w:rFonts w:ascii="Times New Roman" w:hAnsi="Times New Roman" w:eastAsia="Times New Roman" w:cs="Times New Roman"/>
              </w:rPr>
            </w:pPr>
            <w:r>
              <w:rPr>
                <w:spacing w:val="8"/>
              </w:rPr>
              <w:t>紫外可见分光光度</w:t>
            </w:r>
            <w:r>
              <w:t xml:space="preserve"> </w:t>
            </w:r>
            <w:r>
              <w:rPr>
                <w:spacing w:val="6"/>
              </w:rPr>
              <w:t>计</w:t>
            </w:r>
            <w:r>
              <w:rPr>
                <w:spacing w:val="-47"/>
              </w:rPr>
              <w:t xml:space="preserve"> </w:t>
            </w:r>
            <w:r>
              <w:rPr>
                <w:rFonts w:ascii="Times New Roman" w:hAnsi="Times New Roman" w:eastAsia="Times New Roman" w:cs="Times New Roman"/>
              </w:rPr>
              <w:t>Ultra</w:t>
            </w:r>
            <w:r>
              <w:rPr>
                <w:rFonts w:ascii="Times New Roman" w:hAnsi="Times New Roman" w:eastAsia="Times New Roman" w:cs="Times New Roman"/>
                <w:spacing w:val="14"/>
                <w:w w:val="101"/>
              </w:rPr>
              <w:t xml:space="preserve"> </w:t>
            </w:r>
            <w:r>
              <w:rPr>
                <w:rFonts w:ascii="Times New Roman" w:hAnsi="Times New Roman" w:eastAsia="Times New Roman" w:cs="Times New Roman"/>
                <w:spacing w:val="6"/>
              </w:rPr>
              <w:t>3660</w:t>
            </w:r>
          </w:p>
          <w:p w14:paraId="474DBC8D">
            <w:pPr>
              <w:spacing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-A-005</w:t>
            </w:r>
          </w:p>
        </w:tc>
        <w:tc>
          <w:tcPr>
            <w:tcW w:w="1447" w:type="dxa"/>
            <w:vAlign w:val="top"/>
          </w:tcPr>
          <w:p w14:paraId="46FCFEA2">
            <w:pPr>
              <w:spacing w:before="193" w:line="274" w:lineRule="exact"/>
              <w:ind w:left="59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0.8</w:t>
            </w:r>
          </w:p>
          <w:p w14:paraId="21598A29">
            <w:pPr>
              <w:pStyle w:val="6"/>
              <w:spacing w:before="52" w:line="274" w:lineRule="exact"/>
              <w:ind w:left="126"/>
            </w:pPr>
            <w:r>
              <w:rPr>
                <w:spacing w:val="7"/>
                <w:position w:val="3"/>
              </w:rPr>
              <w:t>（</w:t>
            </w:r>
            <w:r>
              <w:rPr>
                <w:rFonts w:ascii="Times New Roman" w:hAnsi="Times New Roman" w:eastAsia="Times New Roman" w:cs="Times New Roman"/>
                <w:position w:val="3"/>
              </w:rPr>
              <w:t>cmol</w:t>
            </w:r>
            <w:r>
              <w:rPr>
                <w:rFonts w:ascii="Times New Roman" w:hAnsi="Times New Roman" w:eastAsia="Times New Roman" w:cs="Times New Roman"/>
                <w:spacing w:val="7"/>
                <w:position w:val="3"/>
              </w:rPr>
              <w:t>+/</w:t>
            </w:r>
            <w:r>
              <w:rPr>
                <w:rFonts w:ascii="Times New Roman" w:hAnsi="Times New Roman" w:eastAsia="Times New Roman" w:cs="Times New Roman"/>
                <w:position w:val="3"/>
              </w:rPr>
              <w:t>kg</w:t>
            </w:r>
            <w:r>
              <w:rPr>
                <w:spacing w:val="7"/>
                <w:position w:val="3"/>
              </w:rPr>
              <w:t>）</w:t>
            </w:r>
          </w:p>
        </w:tc>
      </w:tr>
      <w:tr w14:paraId="1A942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125" w:type="dxa"/>
            <w:vAlign w:val="top"/>
          </w:tcPr>
          <w:p w14:paraId="06560E2D">
            <w:pPr>
              <w:pStyle w:val="6"/>
              <w:spacing w:before="70" w:line="228" w:lineRule="auto"/>
              <w:ind w:left="438"/>
            </w:pPr>
            <w:r>
              <w:rPr>
                <w:spacing w:val="8"/>
              </w:rPr>
              <w:t>氧化还原电位</w:t>
            </w:r>
          </w:p>
        </w:tc>
        <w:tc>
          <w:tcPr>
            <w:tcW w:w="3116" w:type="dxa"/>
            <w:vAlign w:val="top"/>
          </w:tcPr>
          <w:p w14:paraId="75A715A7">
            <w:pPr>
              <w:pStyle w:val="6"/>
              <w:spacing w:before="70" w:line="228" w:lineRule="auto"/>
              <w:ind w:left="204"/>
            </w:pPr>
            <w:r>
              <w:rPr>
                <w:spacing w:val="8"/>
              </w:rPr>
              <w:t>《土壤氧化还原电位的测定电</w:t>
            </w:r>
          </w:p>
        </w:tc>
        <w:tc>
          <w:tcPr>
            <w:tcW w:w="2036" w:type="dxa"/>
            <w:vAlign w:val="top"/>
          </w:tcPr>
          <w:p w14:paraId="00A94488">
            <w:pPr>
              <w:pStyle w:val="6"/>
              <w:spacing w:before="39" w:line="275" w:lineRule="exact"/>
              <w:ind w:left="206"/>
              <w:rPr>
                <w:rFonts w:ascii="Times New Roman" w:hAnsi="Times New Roman" w:eastAsia="Times New Roman" w:cs="Times New Roman"/>
              </w:rPr>
            </w:pPr>
            <w:r>
              <w:rPr>
                <w:rFonts w:ascii="Times New Roman" w:hAnsi="Times New Roman" w:eastAsia="Times New Roman" w:cs="Times New Roman"/>
                <w:position w:val="1"/>
              </w:rPr>
              <w:t>PH</w:t>
            </w:r>
            <w:r>
              <w:rPr>
                <w:rFonts w:ascii="Times New Roman" w:hAnsi="Times New Roman" w:eastAsia="Times New Roman" w:cs="Times New Roman"/>
                <w:spacing w:val="9"/>
                <w:position w:val="1"/>
              </w:rPr>
              <w:t>/</w:t>
            </w:r>
            <w:r>
              <w:rPr>
                <w:rFonts w:ascii="Times New Roman" w:hAnsi="Times New Roman" w:eastAsia="Times New Roman" w:cs="Times New Roman"/>
                <w:position w:val="1"/>
              </w:rPr>
              <w:t>ORP</w:t>
            </w:r>
            <w:r>
              <w:rPr>
                <w:rFonts w:ascii="Times New Roman" w:hAnsi="Times New Roman" w:eastAsia="Times New Roman" w:cs="Times New Roman"/>
                <w:spacing w:val="9"/>
                <w:position w:val="1"/>
              </w:rPr>
              <w:t xml:space="preserve"> </w:t>
            </w:r>
            <w:r>
              <w:rPr>
                <w:spacing w:val="9"/>
                <w:position w:val="1"/>
              </w:rPr>
              <w:t>计</w:t>
            </w:r>
            <w:r>
              <w:rPr>
                <w:spacing w:val="-32"/>
                <w:position w:val="1"/>
              </w:rPr>
              <w:t xml:space="preserve"> </w:t>
            </w:r>
            <w:r>
              <w:rPr>
                <w:rFonts w:ascii="Times New Roman" w:hAnsi="Times New Roman" w:eastAsia="Times New Roman" w:cs="Times New Roman"/>
                <w:position w:val="1"/>
              </w:rPr>
              <w:t>SX</w:t>
            </w:r>
            <w:r>
              <w:rPr>
                <w:rFonts w:ascii="Times New Roman" w:hAnsi="Times New Roman" w:eastAsia="Times New Roman" w:cs="Times New Roman"/>
                <w:spacing w:val="9"/>
                <w:position w:val="1"/>
              </w:rPr>
              <w:t>721</w:t>
            </w:r>
          </w:p>
        </w:tc>
        <w:tc>
          <w:tcPr>
            <w:tcW w:w="1447" w:type="dxa"/>
            <w:vAlign w:val="top"/>
          </w:tcPr>
          <w:p w14:paraId="3DC00B39">
            <w:pPr>
              <w:pStyle w:val="6"/>
              <w:spacing w:before="39" w:line="275" w:lineRule="exact"/>
              <w:ind w:left="324"/>
            </w:pPr>
            <w:r>
              <w:rPr>
                <w:rFonts w:ascii="Times New Roman" w:hAnsi="Times New Roman" w:eastAsia="Times New Roman" w:cs="Times New Roman"/>
                <w:spacing w:val="8"/>
                <w:position w:val="1"/>
              </w:rPr>
              <w:t>/</w:t>
            </w:r>
            <w:r>
              <w:rPr>
                <w:spacing w:val="8"/>
                <w:position w:val="1"/>
              </w:rPr>
              <w:t>（</w:t>
            </w:r>
            <w:r>
              <w:rPr>
                <w:rFonts w:ascii="Times New Roman" w:hAnsi="Times New Roman" w:eastAsia="Times New Roman" w:cs="Times New Roman"/>
                <w:position w:val="1"/>
              </w:rPr>
              <w:t>mV</w:t>
            </w:r>
            <w:r>
              <w:rPr>
                <w:spacing w:val="8"/>
                <w:position w:val="1"/>
              </w:rPr>
              <w:t>）</w:t>
            </w:r>
          </w:p>
        </w:tc>
      </w:tr>
    </w:tbl>
    <w:p w14:paraId="3DF29803">
      <w:pPr>
        <w:pStyle w:val="2"/>
        <w:spacing w:line="40" w:lineRule="exact"/>
        <w:rPr>
          <w:sz w:val="3"/>
        </w:rPr>
      </w:pPr>
    </w:p>
    <w:p w14:paraId="70B924CF">
      <w:pPr>
        <w:spacing w:line="40" w:lineRule="exact"/>
        <w:rPr>
          <w:sz w:val="3"/>
          <w:szCs w:val="3"/>
        </w:rPr>
        <w:sectPr>
          <w:footerReference r:id="rId106" w:type="default"/>
          <w:pgSz w:w="11906" w:h="16839"/>
          <w:pgMar w:top="400" w:right="1557" w:bottom="1485" w:left="1475" w:header="0" w:footer="1249" w:gutter="0"/>
          <w:cols w:space="720" w:num="1"/>
        </w:sectPr>
      </w:pPr>
    </w:p>
    <w:p w14:paraId="4A44D1AE">
      <w:pPr>
        <w:spacing w:before="13"/>
      </w:pPr>
    </w:p>
    <w:p w14:paraId="57F88985">
      <w:pPr>
        <w:spacing w:before="13"/>
      </w:pPr>
    </w:p>
    <w:p w14:paraId="26A23196">
      <w:pPr>
        <w:spacing w:before="13"/>
      </w:pPr>
    </w:p>
    <w:p w14:paraId="4E59E264">
      <w:pPr>
        <w:spacing w:before="13"/>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3116"/>
        <w:gridCol w:w="2036"/>
        <w:gridCol w:w="1447"/>
      </w:tblGrid>
      <w:tr w14:paraId="02FAF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125" w:type="dxa"/>
            <w:vAlign w:val="top"/>
          </w:tcPr>
          <w:p w14:paraId="64A0E146">
            <w:pPr>
              <w:pStyle w:val="6"/>
              <w:spacing w:before="71" w:line="228" w:lineRule="auto"/>
              <w:ind w:left="649"/>
            </w:pPr>
            <w:r>
              <w:rPr>
                <w:b/>
                <w:bCs/>
                <w:spacing w:val="6"/>
              </w:rPr>
              <w:t>检测项目</w:t>
            </w:r>
          </w:p>
        </w:tc>
        <w:tc>
          <w:tcPr>
            <w:tcW w:w="3116" w:type="dxa"/>
            <w:vAlign w:val="top"/>
          </w:tcPr>
          <w:p w14:paraId="62DC517E">
            <w:pPr>
              <w:pStyle w:val="6"/>
              <w:spacing w:before="71" w:line="228" w:lineRule="auto"/>
              <w:ind w:left="1142"/>
            </w:pPr>
            <w:r>
              <w:rPr>
                <w:b/>
                <w:bCs/>
                <w:spacing w:val="6"/>
              </w:rPr>
              <w:t>检测方法</w:t>
            </w:r>
          </w:p>
        </w:tc>
        <w:tc>
          <w:tcPr>
            <w:tcW w:w="2036" w:type="dxa"/>
            <w:vAlign w:val="top"/>
          </w:tcPr>
          <w:p w14:paraId="34E39C57">
            <w:pPr>
              <w:pStyle w:val="6"/>
              <w:spacing w:before="71" w:line="228" w:lineRule="auto"/>
              <w:ind w:left="606"/>
            </w:pPr>
            <w:r>
              <w:rPr>
                <w:b/>
                <w:bCs/>
                <w:spacing w:val="5"/>
              </w:rPr>
              <w:t>分析仪器</w:t>
            </w:r>
          </w:p>
        </w:tc>
        <w:tc>
          <w:tcPr>
            <w:tcW w:w="1447" w:type="dxa"/>
            <w:vAlign w:val="top"/>
          </w:tcPr>
          <w:p w14:paraId="355E4001">
            <w:pPr>
              <w:pStyle w:val="6"/>
              <w:spacing w:before="71" w:line="228" w:lineRule="auto"/>
              <w:ind w:left="413"/>
            </w:pPr>
            <w:r>
              <w:rPr>
                <w:b/>
                <w:bCs/>
                <w:spacing w:val="5"/>
              </w:rPr>
              <w:t>检出限</w:t>
            </w:r>
          </w:p>
        </w:tc>
      </w:tr>
      <w:tr w14:paraId="7CD2B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2125" w:type="dxa"/>
            <w:vAlign w:val="top"/>
          </w:tcPr>
          <w:p w14:paraId="2A40CB63">
            <w:pPr>
              <w:rPr>
                <w:rFonts w:ascii="Arial"/>
                <w:sz w:val="21"/>
              </w:rPr>
            </w:pPr>
          </w:p>
        </w:tc>
        <w:tc>
          <w:tcPr>
            <w:tcW w:w="3116" w:type="dxa"/>
            <w:vAlign w:val="top"/>
          </w:tcPr>
          <w:p w14:paraId="1B45C1DB">
            <w:pPr>
              <w:pStyle w:val="6"/>
              <w:spacing w:before="59" w:line="230" w:lineRule="auto"/>
              <w:ind w:left="1248"/>
            </w:pPr>
            <w:r>
              <w:rPr>
                <w:spacing w:val="3"/>
              </w:rPr>
              <w:t>位法》</w:t>
            </w:r>
          </w:p>
          <w:p w14:paraId="24827922">
            <w:pPr>
              <w:spacing w:before="44" w:line="274" w:lineRule="exact"/>
              <w:ind w:left="101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HJ</w:t>
            </w:r>
            <w:r>
              <w:rPr>
                <w:rFonts w:ascii="Times New Roman" w:hAnsi="Times New Roman" w:eastAsia="Times New Roman" w:cs="Times New Roman"/>
                <w:spacing w:val="5"/>
                <w:position w:val="2"/>
                <w:sz w:val="20"/>
                <w:szCs w:val="20"/>
              </w:rPr>
              <w:t xml:space="preserve"> 746-2015</w:t>
            </w:r>
          </w:p>
        </w:tc>
        <w:tc>
          <w:tcPr>
            <w:tcW w:w="2036" w:type="dxa"/>
            <w:vAlign w:val="top"/>
          </w:tcPr>
          <w:p w14:paraId="123C5EAF">
            <w:pPr>
              <w:spacing w:before="28"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-A-178</w:t>
            </w:r>
          </w:p>
        </w:tc>
        <w:tc>
          <w:tcPr>
            <w:tcW w:w="1447" w:type="dxa"/>
            <w:vAlign w:val="top"/>
          </w:tcPr>
          <w:p w14:paraId="663F345C">
            <w:pPr>
              <w:rPr>
                <w:rFonts w:ascii="Arial"/>
                <w:sz w:val="21"/>
              </w:rPr>
            </w:pPr>
          </w:p>
        </w:tc>
      </w:tr>
      <w:tr w14:paraId="01BF9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2125" w:type="dxa"/>
            <w:vAlign w:val="top"/>
          </w:tcPr>
          <w:p w14:paraId="61A01484">
            <w:pPr>
              <w:pStyle w:val="6"/>
              <w:spacing w:before="220" w:line="229" w:lineRule="auto"/>
              <w:ind w:left="650"/>
            </w:pPr>
            <w:r>
              <w:rPr>
                <w:spacing w:val="7"/>
              </w:rPr>
              <w:t>土壤容重</w:t>
            </w:r>
          </w:p>
        </w:tc>
        <w:tc>
          <w:tcPr>
            <w:tcW w:w="3116" w:type="dxa"/>
            <w:vAlign w:val="top"/>
          </w:tcPr>
          <w:p w14:paraId="5CB5B2E0">
            <w:pPr>
              <w:pStyle w:val="6"/>
              <w:spacing w:before="27" w:line="286" w:lineRule="auto"/>
              <w:ind w:left="362" w:right="106" w:hanging="244"/>
              <w:rPr>
                <w:rFonts w:ascii="Times New Roman" w:hAnsi="Times New Roman" w:eastAsia="Times New Roman" w:cs="Times New Roman"/>
              </w:rPr>
            </w:pPr>
            <w:r>
              <w:rPr>
                <w:spacing w:val="5"/>
              </w:rPr>
              <w:t>《土壤检测第</w:t>
            </w:r>
            <w:r>
              <w:rPr>
                <w:spacing w:val="-41"/>
              </w:rPr>
              <w:t xml:space="preserve"> </w:t>
            </w:r>
            <w:r>
              <w:rPr>
                <w:rFonts w:ascii="Times New Roman" w:hAnsi="Times New Roman" w:eastAsia="Times New Roman" w:cs="Times New Roman"/>
                <w:spacing w:val="5"/>
              </w:rPr>
              <w:t xml:space="preserve">4 </w:t>
            </w:r>
            <w:r>
              <w:rPr>
                <w:spacing w:val="5"/>
              </w:rPr>
              <w:t>部分：土壤容重</w:t>
            </w:r>
            <w:r>
              <w:t xml:space="preserve"> </w:t>
            </w:r>
            <w:r>
              <w:rPr>
                <w:spacing w:val="3"/>
              </w:rPr>
              <w:t>的测定》</w:t>
            </w:r>
            <w:r>
              <w:rPr>
                <w:rFonts w:ascii="Times New Roman" w:hAnsi="Times New Roman" w:eastAsia="Times New Roman" w:cs="Times New Roman"/>
              </w:rPr>
              <w:t>NY</w:t>
            </w:r>
            <w:r>
              <w:rPr>
                <w:rFonts w:ascii="Times New Roman" w:hAnsi="Times New Roman" w:eastAsia="Times New Roman" w:cs="Times New Roman"/>
                <w:spacing w:val="3"/>
              </w:rPr>
              <w:t>/T</w:t>
            </w:r>
            <w:r>
              <w:rPr>
                <w:rFonts w:ascii="Times New Roman" w:hAnsi="Times New Roman" w:eastAsia="Times New Roman" w:cs="Times New Roman"/>
                <w:spacing w:val="29"/>
              </w:rPr>
              <w:t xml:space="preserve"> </w:t>
            </w:r>
            <w:r>
              <w:rPr>
                <w:rFonts w:ascii="Times New Roman" w:hAnsi="Times New Roman" w:eastAsia="Times New Roman" w:cs="Times New Roman"/>
                <w:spacing w:val="3"/>
              </w:rPr>
              <w:t>1121.4-2006</w:t>
            </w:r>
          </w:p>
        </w:tc>
        <w:tc>
          <w:tcPr>
            <w:tcW w:w="2036" w:type="dxa"/>
            <w:vAlign w:val="top"/>
          </w:tcPr>
          <w:p w14:paraId="032A6DC4">
            <w:pPr>
              <w:pStyle w:val="6"/>
              <w:spacing w:before="27" w:line="299" w:lineRule="auto"/>
              <w:ind w:left="564" w:right="240" w:hanging="308"/>
              <w:rPr>
                <w:rFonts w:ascii="Times New Roman" w:hAnsi="Times New Roman" w:eastAsia="Times New Roman" w:cs="Times New Roman"/>
              </w:rPr>
            </w:pPr>
            <w:r>
              <w:rPr>
                <w:spacing w:val="6"/>
              </w:rPr>
              <w:t>分析天平</w:t>
            </w:r>
            <w:r>
              <w:rPr>
                <w:spacing w:val="-38"/>
              </w:rPr>
              <w:t xml:space="preserve"> </w:t>
            </w:r>
            <w:r>
              <w:rPr>
                <w:rFonts w:ascii="Times New Roman" w:hAnsi="Times New Roman" w:eastAsia="Times New Roman" w:cs="Times New Roman"/>
              </w:rPr>
              <w:t>JY</w:t>
            </w:r>
            <w:r>
              <w:rPr>
                <w:rFonts w:ascii="Times New Roman" w:hAnsi="Times New Roman" w:eastAsia="Times New Roman" w:cs="Times New Roman"/>
                <w:spacing w:val="6"/>
              </w:rPr>
              <w:t>3003</w:t>
            </w:r>
            <w:r>
              <w:rPr>
                <w:rFonts w:ascii="Times New Roman" w:hAnsi="Times New Roman" w:eastAsia="Times New Roman" w:cs="Times New Roman"/>
              </w:rPr>
              <w:t xml:space="preserve"> YQ</w:t>
            </w:r>
            <w:r>
              <w:rPr>
                <w:rFonts w:ascii="Times New Roman" w:hAnsi="Times New Roman" w:eastAsia="Times New Roman" w:cs="Times New Roman"/>
                <w:spacing w:val="6"/>
              </w:rPr>
              <w:t>-A-017</w:t>
            </w:r>
          </w:p>
        </w:tc>
        <w:tc>
          <w:tcPr>
            <w:tcW w:w="1447" w:type="dxa"/>
            <w:vAlign w:val="top"/>
          </w:tcPr>
          <w:p w14:paraId="653BBF8E">
            <w:pPr>
              <w:spacing w:before="189" w:line="275" w:lineRule="exact"/>
              <w:ind w:left="379"/>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/(g/</w:t>
            </w:r>
            <w:r>
              <w:rPr>
                <w:rFonts w:ascii="Times New Roman" w:hAnsi="Times New Roman" w:eastAsia="Times New Roman" w:cs="Times New Roman"/>
                <w:position w:val="3"/>
                <w:sz w:val="20"/>
                <w:szCs w:val="20"/>
              </w:rPr>
              <w:t>cm</w:t>
            </w:r>
            <w:r>
              <w:rPr>
                <w:rFonts w:ascii="Times New Roman" w:hAnsi="Times New Roman" w:eastAsia="Times New Roman" w:cs="Times New Roman"/>
                <w:spacing w:val="5"/>
                <w:position w:val="9"/>
                <w:sz w:val="13"/>
                <w:szCs w:val="13"/>
              </w:rPr>
              <w:t>3</w:t>
            </w:r>
            <w:r>
              <w:rPr>
                <w:rFonts w:ascii="Times New Roman" w:hAnsi="Times New Roman" w:eastAsia="Times New Roman" w:cs="Times New Roman"/>
                <w:spacing w:val="5"/>
                <w:position w:val="3"/>
                <w:sz w:val="20"/>
                <w:szCs w:val="20"/>
              </w:rPr>
              <w:t>)</w:t>
            </w:r>
          </w:p>
        </w:tc>
      </w:tr>
      <w:tr w14:paraId="6756D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2125" w:type="dxa"/>
            <w:vAlign w:val="top"/>
          </w:tcPr>
          <w:p w14:paraId="69F05F6B">
            <w:pPr>
              <w:pStyle w:val="6"/>
              <w:spacing w:before="221" w:line="229" w:lineRule="auto"/>
              <w:ind w:left="651"/>
            </w:pPr>
            <w:r>
              <w:rPr>
                <w:spacing w:val="6"/>
              </w:rPr>
              <w:t>总孔隙度</w:t>
            </w:r>
          </w:p>
        </w:tc>
        <w:tc>
          <w:tcPr>
            <w:tcW w:w="3116" w:type="dxa"/>
            <w:vAlign w:val="top"/>
          </w:tcPr>
          <w:p w14:paraId="70E9448C">
            <w:pPr>
              <w:pStyle w:val="6"/>
              <w:spacing w:before="57" w:line="272" w:lineRule="auto"/>
              <w:ind w:left="657" w:right="159" w:hanging="489"/>
              <w:rPr>
                <w:rFonts w:ascii="Times New Roman" w:hAnsi="Times New Roman" w:eastAsia="Times New Roman" w:cs="Times New Roman"/>
              </w:rPr>
            </w:pPr>
            <w:r>
              <w:rPr>
                <w:spacing w:val="8"/>
              </w:rPr>
              <w:t>《森林土壤水分</w:t>
            </w:r>
            <w:r>
              <w:rPr>
                <w:rFonts w:ascii="Times New Roman" w:hAnsi="Times New Roman" w:eastAsia="Times New Roman" w:cs="Times New Roman"/>
                <w:spacing w:val="8"/>
              </w:rPr>
              <w:t>-</w:t>
            </w:r>
            <w:r>
              <w:rPr>
                <w:spacing w:val="8"/>
              </w:rPr>
              <w:t>物理性质的测</w:t>
            </w:r>
            <w:r>
              <w:rPr>
                <w:spacing w:val="3"/>
              </w:rPr>
              <w:t xml:space="preserve"> </w:t>
            </w:r>
            <w:r>
              <w:rPr>
                <w:spacing w:val="1"/>
              </w:rPr>
              <w:t>定》</w:t>
            </w:r>
            <w:r>
              <w:rPr>
                <w:rFonts w:ascii="Times New Roman" w:hAnsi="Times New Roman" w:eastAsia="Times New Roman" w:cs="Times New Roman"/>
              </w:rPr>
              <w:t>LY</w:t>
            </w:r>
            <w:r>
              <w:rPr>
                <w:rFonts w:ascii="Times New Roman" w:hAnsi="Times New Roman" w:eastAsia="Times New Roman" w:cs="Times New Roman"/>
                <w:spacing w:val="1"/>
              </w:rPr>
              <w:t>/T</w:t>
            </w:r>
            <w:r>
              <w:rPr>
                <w:rFonts w:ascii="Times New Roman" w:hAnsi="Times New Roman" w:eastAsia="Times New Roman" w:cs="Times New Roman"/>
                <w:spacing w:val="34"/>
                <w:w w:val="101"/>
              </w:rPr>
              <w:t xml:space="preserve"> </w:t>
            </w:r>
            <w:r>
              <w:rPr>
                <w:rFonts w:ascii="Times New Roman" w:hAnsi="Times New Roman" w:eastAsia="Times New Roman" w:cs="Times New Roman"/>
                <w:spacing w:val="1"/>
              </w:rPr>
              <w:t>1215-1999</w:t>
            </w:r>
          </w:p>
        </w:tc>
        <w:tc>
          <w:tcPr>
            <w:tcW w:w="2036" w:type="dxa"/>
            <w:vAlign w:val="top"/>
          </w:tcPr>
          <w:p w14:paraId="40D9D46E">
            <w:pPr>
              <w:pStyle w:val="6"/>
              <w:spacing w:before="27" w:line="299" w:lineRule="auto"/>
              <w:ind w:left="564" w:right="240" w:hanging="308"/>
              <w:rPr>
                <w:rFonts w:ascii="Times New Roman" w:hAnsi="Times New Roman" w:eastAsia="Times New Roman" w:cs="Times New Roman"/>
              </w:rPr>
            </w:pPr>
            <w:r>
              <w:rPr>
                <w:spacing w:val="6"/>
              </w:rPr>
              <w:t>分析天平</w:t>
            </w:r>
            <w:r>
              <w:rPr>
                <w:spacing w:val="-38"/>
              </w:rPr>
              <w:t xml:space="preserve"> </w:t>
            </w:r>
            <w:r>
              <w:rPr>
                <w:rFonts w:ascii="Times New Roman" w:hAnsi="Times New Roman" w:eastAsia="Times New Roman" w:cs="Times New Roman"/>
              </w:rPr>
              <w:t>JY</w:t>
            </w:r>
            <w:r>
              <w:rPr>
                <w:rFonts w:ascii="Times New Roman" w:hAnsi="Times New Roman" w:eastAsia="Times New Roman" w:cs="Times New Roman"/>
                <w:spacing w:val="6"/>
              </w:rPr>
              <w:t>3003</w:t>
            </w:r>
            <w:r>
              <w:rPr>
                <w:rFonts w:ascii="Times New Roman" w:hAnsi="Times New Roman" w:eastAsia="Times New Roman" w:cs="Times New Roman"/>
              </w:rPr>
              <w:t xml:space="preserve"> YQ</w:t>
            </w:r>
            <w:r>
              <w:rPr>
                <w:rFonts w:ascii="Times New Roman" w:hAnsi="Times New Roman" w:eastAsia="Times New Roman" w:cs="Times New Roman"/>
                <w:spacing w:val="6"/>
              </w:rPr>
              <w:t>-A-017</w:t>
            </w:r>
          </w:p>
        </w:tc>
        <w:tc>
          <w:tcPr>
            <w:tcW w:w="1447" w:type="dxa"/>
            <w:vAlign w:val="top"/>
          </w:tcPr>
          <w:p w14:paraId="3FF6799F">
            <w:pPr>
              <w:spacing w:before="190" w:line="274" w:lineRule="exact"/>
              <w:ind w:left="535"/>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w:t>
            </w:r>
          </w:p>
        </w:tc>
      </w:tr>
      <w:tr w14:paraId="06F46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2125" w:type="dxa"/>
            <w:vAlign w:val="top"/>
          </w:tcPr>
          <w:p w14:paraId="2CF0AD24">
            <w:pPr>
              <w:rPr>
                <w:rFonts w:ascii="Arial"/>
                <w:sz w:val="21"/>
              </w:rPr>
            </w:pPr>
          </w:p>
          <w:p w14:paraId="53FF91B7">
            <w:pPr>
              <w:rPr>
                <w:rFonts w:ascii="Arial"/>
                <w:sz w:val="21"/>
              </w:rPr>
            </w:pPr>
          </w:p>
          <w:p w14:paraId="23E96932">
            <w:pPr>
              <w:pStyle w:val="6"/>
              <w:spacing w:before="65" w:line="229" w:lineRule="auto"/>
              <w:ind w:left="962"/>
            </w:pPr>
            <w:r>
              <w:rPr>
                <w:spacing w:val="1"/>
              </w:rPr>
              <w:t>砷</w:t>
            </w:r>
          </w:p>
        </w:tc>
        <w:tc>
          <w:tcPr>
            <w:tcW w:w="3116" w:type="dxa"/>
            <w:vAlign w:val="top"/>
          </w:tcPr>
          <w:p w14:paraId="1FA647C6">
            <w:pPr>
              <w:pStyle w:val="6"/>
              <w:spacing w:before="58" w:line="229" w:lineRule="auto"/>
              <w:ind w:left="118"/>
            </w:pPr>
            <w:r>
              <w:rPr>
                <w:spacing w:val="6"/>
              </w:rPr>
              <w:t>《土壤质量总汞、总砷、总铅的</w:t>
            </w:r>
          </w:p>
          <w:p w14:paraId="032051D4">
            <w:pPr>
              <w:pStyle w:val="6"/>
              <w:spacing w:before="47" w:line="274" w:lineRule="exact"/>
              <w:ind w:left="113"/>
            </w:pPr>
            <w:r>
              <w:rPr>
                <w:spacing w:val="5"/>
                <w:position w:val="1"/>
              </w:rPr>
              <w:t>测定原子荧光法第</w:t>
            </w:r>
            <w:r>
              <w:rPr>
                <w:spacing w:val="-36"/>
                <w:position w:val="1"/>
              </w:rPr>
              <w:t xml:space="preserve"> </w:t>
            </w:r>
            <w:r>
              <w:rPr>
                <w:rFonts w:ascii="Times New Roman" w:hAnsi="Times New Roman" w:eastAsia="Times New Roman" w:cs="Times New Roman"/>
                <w:spacing w:val="5"/>
                <w:position w:val="1"/>
              </w:rPr>
              <w:t xml:space="preserve">2 </w:t>
            </w:r>
            <w:r>
              <w:rPr>
                <w:spacing w:val="5"/>
                <w:position w:val="1"/>
              </w:rPr>
              <w:t>部分：土壤</w:t>
            </w:r>
          </w:p>
          <w:p w14:paraId="385B6E17">
            <w:pPr>
              <w:pStyle w:val="6"/>
              <w:spacing w:before="52" w:line="274" w:lineRule="exact"/>
              <w:ind w:left="610"/>
              <w:rPr>
                <w:rFonts w:ascii="Times New Roman" w:hAnsi="Times New Roman" w:eastAsia="Times New Roman" w:cs="Times New Roman"/>
              </w:rPr>
            </w:pPr>
            <w:r>
              <w:rPr>
                <w:spacing w:val="7"/>
                <w:position w:val="1"/>
              </w:rPr>
              <w:t>中总砷的测定》</w:t>
            </w:r>
            <w:r>
              <w:rPr>
                <w:rFonts w:ascii="Times New Roman" w:hAnsi="Times New Roman" w:eastAsia="Times New Roman" w:cs="Times New Roman"/>
                <w:position w:val="1"/>
              </w:rPr>
              <w:t>GB</w:t>
            </w:r>
            <w:r>
              <w:rPr>
                <w:rFonts w:ascii="Times New Roman" w:hAnsi="Times New Roman" w:eastAsia="Times New Roman" w:cs="Times New Roman"/>
                <w:spacing w:val="7"/>
                <w:position w:val="1"/>
              </w:rPr>
              <w:t>/T</w:t>
            </w:r>
          </w:p>
          <w:p w14:paraId="560B980B">
            <w:pPr>
              <w:spacing w:before="52" w:line="274" w:lineRule="exact"/>
              <w:ind w:left="97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22105.2-2008</w:t>
            </w:r>
          </w:p>
        </w:tc>
        <w:tc>
          <w:tcPr>
            <w:tcW w:w="2036" w:type="dxa"/>
            <w:vAlign w:val="top"/>
          </w:tcPr>
          <w:p w14:paraId="105C778B">
            <w:pPr>
              <w:pStyle w:val="6"/>
              <w:spacing w:before="221" w:line="229" w:lineRule="auto"/>
              <w:ind w:left="184"/>
            </w:pPr>
            <w:r>
              <w:rPr>
                <w:spacing w:val="8"/>
              </w:rPr>
              <w:t>双道全自动原子荧</w:t>
            </w:r>
          </w:p>
          <w:p w14:paraId="256BA566">
            <w:pPr>
              <w:pStyle w:val="6"/>
              <w:spacing w:before="47" w:line="274" w:lineRule="exact"/>
              <w:ind w:left="133"/>
              <w:rPr>
                <w:rFonts w:ascii="Times New Roman" w:hAnsi="Times New Roman" w:eastAsia="Times New Roman" w:cs="Times New Roman"/>
              </w:rPr>
            </w:pPr>
            <w:r>
              <w:rPr>
                <w:spacing w:val="7"/>
                <w:position w:val="1"/>
              </w:rPr>
              <w:t>光光度计</w:t>
            </w:r>
            <w:r>
              <w:rPr>
                <w:spacing w:val="-39"/>
                <w:position w:val="1"/>
              </w:rPr>
              <w:t xml:space="preserve"> </w:t>
            </w:r>
            <w:r>
              <w:rPr>
                <w:rFonts w:ascii="Times New Roman" w:hAnsi="Times New Roman" w:eastAsia="Times New Roman" w:cs="Times New Roman"/>
                <w:position w:val="1"/>
              </w:rPr>
              <w:t>AFS</w:t>
            </w:r>
            <w:r>
              <w:rPr>
                <w:rFonts w:ascii="Times New Roman" w:hAnsi="Times New Roman" w:eastAsia="Times New Roman" w:cs="Times New Roman"/>
                <w:spacing w:val="7"/>
                <w:position w:val="1"/>
              </w:rPr>
              <w:t>-230E</w:t>
            </w:r>
          </w:p>
          <w:p w14:paraId="21223862">
            <w:pPr>
              <w:spacing w:before="52"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-A-004</w:t>
            </w:r>
          </w:p>
        </w:tc>
        <w:tc>
          <w:tcPr>
            <w:tcW w:w="1447" w:type="dxa"/>
            <w:vAlign w:val="top"/>
          </w:tcPr>
          <w:p w14:paraId="1384741D">
            <w:pPr>
              <w:spacing w:line="456" w:lineRule="auto"/>
              <w:rPr>
                <w:rFonts w:ascii="Arial"/>
                <w:sz w:val="21"/>
              </w:rPr>
            </w:pPr>
          </w:p>
          <w:p w14:paraId="70EA2260">
            <w:pPr>
              <w:spacing w:before="58"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455F6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2125" w:type="dxa"/>
            <w:vAlign w:val="top"/>
          </w:tcPr>
          <w:p w14:paraId="6A3D9DA1">
            <w:pPr>
              <w:spacing w:line="317" w:lineRule="auto"/>
              <w:rPr>
                <w:rFonts w:ascii="Arial"/>
                <w:sz w:val="21"/>
              </w:rPr>
            </w:pPr>
          </w:p>
          <w:p w14:paraId="447B0FC2">
            <w:pPr>
              <w:pStyle w:val="6"/>
              <w:spacing w:before="65" w:line="231" w:lineRule="auto"/>
              <w:ind w:left="962"/>
            </w:pPr>
            <w:r>
              <w:rPr>
                <w:spacing w:val="2"/>
              </w:rPr>
              <w:t>镉</w:t>
            </w:r>
          </w:p>
        </w:tc>
        <w:tc>
          <w:tcPr>
            <w:tcW w:w="3116" w:type="dxa"/>
            <w:vAlign w:val="top"/>
          </w:tcPr>
          <w:p w14:paraId="28F8E4B7">
            <w:pPr>
              <w:pStyle w:val="6"/>
              <w:spacing w:before="60" w:line="229" w:lineRule="auto"/>
              <w:ind w:left="118"/>
            </w:pPr>
            <w:r>
              <w:rPr>
                <w:spacing w:val="6"/>
              </w:rPr>
              <w:t>《土壤质量铅、镉的测定石墨炉</w:t>
            </w:r>
          </w:p>
          <w:p w14:paraId="754BA7A7">
            <w:pPr>
              <w:pStyle w:val="6"/>
              <w:spacing w:before="45" w:line="274" w:lineRule="exact"/>
              <w:ind w:left="281"/>
              <w:rPr>
                <w:rFonts w:ascii="Times New Roman" w:hAnsi="Times New Roman" w:eastAsia="Times New Roman" w:cs="Times New Roman"/>
              </w:rPr>
            </w:pPr>
            <w:r>
              <w:rPr>
                <w:spacing w:val="8"/>
                <w:position w:val="1"/>
              </w:rPr>
              <w:t>原子吸收分光光度法》</w:t>
            </w:r>
            <w:r>
              <w:rPr>
                <w:rFonts w:ascii="Times New Roman" w:hAnsi="Times New Roman" w:eastAsia="Times New Roman" w:cs="Times New Roman"/>
                <w:position w:val="1"/>
              </w:rPr>
              <w:t>GB</w:t>
            </w:r>
            <w:r>
              <w:rPr>
                <w:rFonts w:ascii="Times New Roman" w:hAnsi="Times New Roman" w:eastAsia="Times New Roman" w:cs="Times New Roman"/>
                <w:spacing w:val="8"/>
                <w:position w:val="1"/>
              </w:rPr>
              <w:t>/T</w:t>
            </w:r>
          </w:p>
          <w:p w14:paraId="1B59C59F">
            <w:pPr>
              <w:spacing w:before="52" w:line="274" w:lineRule="exact"/>
              <w:ind w:left="10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17141-1997</w:t>
            </w:r>
          </w:p>
        </w:tc>
        <w:tc>
          <w:tcPr>
            <w:tcW w:w="2036" w:type="dxa"/>
            <w:vAlign w:val="top"/>
          </w:tcPr>
          <w:p w14:paraId="2C73D5F7">
            <w:pPr>
              <w:pStyle w:val="6"/>
              <w:spacing w:before="60" w:line="228" w:lineRule="auto"/>
              <w:ind w:left="185"/>
            </w:pPr>
            <w:r>
              <w:rPr>
                <w:spacing w:val="8"/>
              </w:rPr>
              <w:t>石墨炉原子吸收分</w:t>
            </w:r>
          </w:p>
          <w:p w14:paraId="65E85CE1">
            <w:pPr>
              <w:pStyle w:val="6"/>
              <w:spacing w:before="45" w:line="275" w:lineRule="exact"/>
              <w:ind w:left="332"/>
              <w:rPr>
                <w:rFonts w:ascii="Times New Roman" w:hAnsi="Times New Roman" w:eastAsia="Times New Roman" w:cs="Times New Roman"/>
              </w:rPr>
            </w:pPr>
            <w:r>
              <w:rPr>
                <w:spacing w:val="6"/>
                <w:position w:val="1"/>
              </w:rPr>
              <w:t xml:space="preserve">光光度计 </w:t>
            </w:r>
            <w:r>
              <w:rPr>
                <w:rFonts w:ascii="Times New Roman" w:hAnsi="Times New Roman" w:eastAsia="Times New Roman" w:cs="Times New Roman"/>
                <w:spacing w:val="6"/>
                <w:position w:val="1"/>
              </w:rPr>
              <w:t>240Z</w:t>
            </w:r>
          </w:p>
          <w:p w14:paraId="261A6421">
            <w:pPr>
              <w:spacing w:before="52"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-A-210</w:t>
            </w:r>
          </w:p>
        </w:tc>
        <w:tc>
          <w:tcPr>
            <w:tcW w:w="1447" w:type="dxa"/>
            <w:vAlign w:val="top"/>
          </w:tcPr>
          <w:p w14:paraId="0E552379">
            <w:pPr>
              <w:spacing w:line="294" w:lineRule="auto"/>
              <w:rPr>
                <w:rFonts w:ascii="Arial"/>
                <w:sz w:val="21"/>
              </w:rPr>
            </w:pPr>
          </w:p>
          <w:p w14:paraId="11B1A7CE">
            <w:pPr>
              <w:spacing w:before="57" w:line="275"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1A52F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2125" w:type="dxa"/>
            <w:vAlign w:val="top"/>
          </w:tcPr>
          <w:p w14:paraId="603095D1">
            <w:pPr>
              <w:spacing w:line="319" w:lineRule="auto"/>
              <w:rPr>
                <w:rFonts w:ascii="Arial"/>
                <w:sz w:val="21"/>
              </w:rPr>
            </w:pPr>
          </w:p>
          <w:p w14:paraId="0ED6F4E3">
            <w:pPr>
              <w:pStyle w:val="6"/>
              <w:spacing w:before="65" w:line="230" w:lineRule="auto"/>
              <w:ind w:left="963"/>
            </w:pPr>
            <w:r>
              <w:t>铜</w:t>
            </w:r>
          </w:p>
        </w:tc>
        <w:tc>
          <w:tcPr>
            <w:tcW w:w="3116" w:type="dxa"/>
            <w:vAlign w:val="top"/>
          </w:tcPr>
          <w:p w14:paraId="33807C71">
            <w:pPr>
              <w:pStyle w:val="6"/>
              <w:spacing w:before="59" w:line="229" w:lineRule="auto"/>
              <w:ind w:right="9"/>
              <w:jc w:val="right"/>
            </w:pPr>
            <w:r>
              <w:rPr>
                <w:spacing w:val="-2"/>
              </w:rPr>
              <w:t>《土壤和沉积物铜、锌、铅、镍、</w:t>
            </w:r>
          </w:p>
          <w:p w14:paraId="43A0AD0F">
            <w:pPr>
              <w:pStyle w:val="6"/>
              <w:spacing w:before="78" w:line="228" w:lineRule="auto"/>
              <w:ind w:left="198"/>
            </w:pPr>
            <w:r>
              <w:rPr>
                <w:spacing w:val="9"/>
              </w:rPr>
              <w:t>铬的测定火焰原子吸收分光光</w:t>
            </w:r>
          </w:p>
          <w:p w14:paraId="58D75DEF">
            <w:pPr>
              <w:pStyle w:val="6"/>
              <w:spacing w:before="48" w:line="274" w:lineRule="exact"/>
              <w:ind w:left="676"/>
              <w:rPr>
                <w:rFonts w:ascii="Times New Roman" w:hAnsi="Times New Roman" w:eastAsia="Times New Roman" w:cs="Times New Roman"/>
              </w:rPr>
            </w:pPr>
            <w:r>
              <w:rPr>
                <w:spacing w:val="5"/>
                <w:position w:val="1"/>
              </w:rPr>
              <w:t>度法》</w:t>
            </w:r>
            <w:r>
              <w:rPr>
                <w:spacing w:val="22"/>
                <w:position w:val="1"/>
              </w:rPr>
              <w:t xml:space="preserve"> </w:t>
            </w:r>
            <w:r>
              <w:rPr>
                <w:rFonts w:ascii="Times New Roman" w:hAnsi="Times New Roman" w:eastAsia="Times New Roman" w:cs="Times New Roman"/>
                <w:position w:val="1"/>
              </w:rPr>
              <w:t>HJ</w:t>
            </w:r>
            <w:r>
              <w:rPr>
                <w:rFonts w:ascii="Times New Roman" w:hAnsi="Times New Roman" w:eastAsia="Times New Roman" w:cs="Times New Roman"/>
                <w:spacing w:val="5"/>
                <w:position w:val="1"/>
              </w:rPr>
              <w:t>491-2019</w:t>
            </w:r>
          </w:p>
        </w:tc>
        <w:tc>
          <w:tcPr>
            <w:tcW w:w="2036" w:type="dxa"/>
            <w:vAlign w:val="top"/>
          </w:tcPr>
          <w:p w14:paraId="7D42553C">
            <w:pPr>
              <w:pStyle w:val="6"/>
              <w:spacing w:before="60" w:line="228" w:lineRule="auto"/>
              <w:ind w:left="186"/>
            </w:pPr>
            <w:r>
              <w:rPr>
                <w:spacing w:val="8"/>
              </w:rPr>
              <w:t>火焰原子吸收分光</w:t>
            </w:r>
          </w:p>
          <w:p w14:paraId="5663DB62">
            <w:pPr>
              <w:pStyle w:val="6"/>
              <w:spacing w:before="48" w:line="274" w:lineRule="exact"/>
              <w:ind w:left="267"/>
              <w:rPr>
                <w:rFonts w:ascii="Times New Roman" w:hAnsi="Times New Roman" w:eastAsia="Times New Roman" w:cs="Times New Roman"/>
              </w:rPr>
            </w:pPr>
            <w:r>
              <w:rPr>
                <w:spacing w:val="7"/>
                <w:position w:val="1"/>
              </w:rPr>
              <w:t>光度计</w:t>
            </w:r>
            <w:r>
              <w:rPr>
                <w:spacing w:val="-40"/>
                <w:position w:val="1"/>
              </w:rPr>
              <w:t xml:space="preserve"> </w:t>
            </w:r>
            <w:r>
              <w:rPr>
                <w:rFonts w:ascii="Times New Roman" w:hAnsi="Times New Roman" w:eastAsia="Times New Roman" w:cs="Times New Roman"/>
                <w:position w:val="1"/>
              </w:rPr>
              <w:t>GGX</w:t>
            </w:r>
            <w:r>
              <w:rPr>
                <w:rFonts w:ascii="Times New Roman" w:hAnsi="Times New Roman" w:eastAsia="Times New Roman" w:cs="Times New Roman"/>
                <w:spacing w:val="7"/>
                <w:position w:val="1"/>
              </w:rPr>
              <w:t>-600</w:t>
            </w:r>
          </w:p>
          <w:p w14:paraId="3ADEA644">
            <w:pPr>
              <w:spacing w:before="52"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-A-003</w:t>
            </w:r>
          </w:p>
        </w:tc>
        <w:tc>
          <w:tcPr>
            <w:tcW w:w="1447" w:type="dxa"/>
            <w:vAlign w:val="top"/>
          </w:tcPr>
          <w:p w14:paraId="18B9CC56">
            <w:pPr>
              <w:spacing w:line="296" w:lineRule="auto"/>
              <w:rPr>
                <w:rFonts w:ascii="Arial"/>
                <w:sz w:val="21"/>
              </w:rPr>
            </w:pPr>
          </w:p>
          <w:p w14:paraId="419C4350">
            <w:pPr>
              <w:spacing w:before="57" w:line="274" w:lineRule="exact"/>
              <w:ind w:left="425"/>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w:t>
            </w:r>
            <w:r>
              <w:rPr>
                <w:rFonts w:ascii="Times New Roman" w:hAnsi="Times New Roman" w:eastAsia="Times New Roman" w:cs="Times New Roman"/>
                <w:position w:val="3"/>
                <w:sz w:val="20"/>
                <w:szCs w:val="20"/>
              </w:rPr>
              <w:t>kg</w:t>
            </w:r>
          </w:p>
        </w:tc>
      </w:tr>
      <w:tr w14:paraId="573A6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2125" w:type="dxa"/>
            <w:vAlign w:val="top"/>
          </w:tcPr>
          <w:p w14:paraId="242AE19D">
            <w:pPr>
              <w:spacing w:line="320" w:lineRule="auto"/>
              <w:rPr>
                <w:rFonts w:ascii="Arial"/>
                <w:sz w:val="21"/>
              </w:rPr>
            </w:pPr>
          </w:p>
          <w:p w14:paraId="30ABCC04">
            <w:pPr>
              <w:pStyle w:val="6"/>
              <w:spacing w:before="65" w:line="233" w:lineRule="auto"/>
              <w:ind w:left="963"/>
            </w:pPr>
            <w:r>
              <w:t>铅</w:t>
            </w:r>
          </w:p>
        </w:tc>
        <w:tc>
          <w:tcPr>
            <w:tcW w:w="3116" w:type="dxa"/>
            <w:vAlign w:val="top"/>
          </w:tcPr>
          <w:p w14:paraId="125BA665">
            <w:pPr>
              <w:pStyle w:val="6"/>
              <w:spacing w:before="61" w:line="229" w:lineRule="auto"/>
              <w:ind w:right="9"/>
              <w:jc w:val="right"/>
            </w:pPr>
            <w:r>
              <w:rPr>
                <w:spacing w:val="-2"/>
              </w:rPr>
              <w:t>《土壤和沉积物铜、锌、铅、镍、</w:t>
            </w:r>
          </w:p>
          <w:p w14:paraId="7C785E8B">
            <w:pPr>
              <w:pStyle w:val="6"/>
              <w:spacing w:before="78" w:line="228" w:lineRule="auto"/>
              <w:ind w:left="198"/>
            </w:pPr>
            <w:r>
              <w:rPr>
                <w:spacing w:val="9"/>
              </w:rPr>
              <w:t>铬的测定火焰原子吸收分光光</w:t>
            </w:r>
          </w:p>
          <w:p w14:paraId="5EC6F8A9">
            <w:pPr>
              <w:pStyle w:val="6"/>
              <w:spacing w:before="48" w:line="274" w:lineRule="exact"/>
              <w:ind w:left="676"/>
              <w:rPr>
                <w:rFonts w:ascii="Times New Roman" w:hAnsi="Times New Roman" w:eastAsia="Times New Roman" w:cs="Times New Roman"/>
              </w:rPr>
            </w:pPr>
            <w:r>
              <w:rPr>
                <w:spacing w:val="5"/>
                <w:position w:val="1"/>
              </w:rPr>
              <w:t>度法》</w:t>
            </w:r>
            <w:r>
              <w:rPr>
                <w:spacing w:val="22"/>
                <w:position w:val="1"/>
              </w:rPr>
              <w:t xml:space="preserve"> </w:t>
            </w:r>
            <w:r>
              <w:rPr>
                <w:rFonts w:ascii="Times New Roman" w:hAnsi="Times New Roman" w:eastAsia="Times New Roman" w:cs="Times New Roman"/>
                <w:position w:val="1"/>
              </w:rPr>
              <w:t>HJ</w:t>
            </w:r>
            <w:r>
              <w:rPr>
                <w:rFonts w:ascii="Times New Roman" w:hAnsi="Times New Roman" w:eastAsia="Times New Roman" w:cs="Times New Roman"/>
                <w:spacing w:val="5"/>
                <w:position w:val="1"/>
              </w:rPr>
              <w:t>491-2019</w:t>
            </w:r>
          </w:p>
        </w:tc>
        <w:tc>
          <w:tcPr>
            <w:tcW w:w="2036" w:type="dxa"/>
            <w:vAlign w:val="top"/>
          </w:tcPr>
          <w:p w14:paraId="79F072D7">
            <w:pPr>
              <w:pStyle w:val="6"/>
              <w:spacing w:before="62" w:line="228" w:lineRule="auto"/>
              <w:ind w:left="186"/>
            </w:pPr>
            <w:r>
              <w:rPr>
                <w:spacing w:val="8"/>
              </w:rPr>
              <w:t>火焰原子吸收分光</w:t>
            </w:r>
          </w:p>
          <w:p w14:paraId="7A048B9E">
            <w:pPr>
              <w:pStyle w:val="6"/>
              <w:spacing w:before="48" w:line="274" w:lineRule="exact"/>
              <w:ind w:left="267"/>
              <w:rPr>
                <w:rFonts w:ascii="Times New Roman" w:hAnsi="Times New Roman" w:eastAsia="Times New Roman" w:cs="Times New Roman"/>
              </w:rPr>
            </w:pPr>
            <w:r>
              <w:rPr>
                <w:spacing w:val="7"/>
                <w:position w:val="1"/>
              </w:rPr>
              <w:t>光度计</w:t>
            </w:r>
            <w:r>
              <w:rPr>
                <w:spacing w:val="-40"/>
                <w:position w:val="1"/>
              </w:rPr>
              <w:t xml:space="preserve"> </w:t>
            </w:r>
            <w:r>
              <w:rPr>
                <w:rFonts w:ascii="Times New Roman" w:hAnsi="Times New Roman" w:eastAsia="Times New Roman" w:cs="Times New Roman"/>
                <w:position w:val="1"/>
              </w:rPr>
              <w:t>GGX</w:t>
            </w:r>
            <w:r>
              <w:rPr>
                <w:rFonts w:ascii="Times New Roman" w:hAnsi="Times New Roman" w:eastAsia="Times New Roman" w:cs="Times New Roman"/>
                <w:spacing w:val="7"/>
                <w:position w:val="1"/>
              </w:rPr>
              <w:t>-600</w:t>
            </w:r>
          </w:p>
          <w:p w14:paraId="432DACA8">
            <w:pPr>
              <w:spacing w:before="52"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-A-003</w:t>
            </w:r>
          </w:p>
        </w:tc>
        <w:tc>
          <w:tcPr>
            <w:tcW w:w="1447" w:type="dxa"/>
            <w:vAlign w:val="top"/>
          </w:tcPr>
          <w:p w14:paraId="48C76E7F">
            <w:pPr>
              <w:spacing w:line="298" w:lineRule="auto"/>
              <w:rPr>
                <w:rFonts w:ascii="Arial"/>
                <w:sz w:val="21"/>
              </w:rPr>
            </w:pPr>
          </w:p>
          <w:p w14:paraId="085D41DD">
            <w:pPr>
              <w:spacing w:before="57" w:line="274" w:lineRule="exact"/>
              <w:ind w:left="372"/>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w:t>
            </w:r>
            <w:r>
              <w:rPr>
                <w:rFonts w:ascii="Times New Roman" w:hAnsi="Times New Roman" w:eastAsia="Times New Roman" w:cs="Times New Roman"/>
                <w:position w:val="3"/>
                <w:sz w:val="20"/>
                <w:szCs w:val="20"/>
              </w:rPr>
              <w:t>kg</w:t>
            </w:r>
          </w:p>
        </w:tc>
      </w:tr>
      <w:tr w14:paraId="07870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2125" w:type="dxa"/>
            <w:vAlign w:val="top"/>
          </w:tcPr>
          <w:p w14:paraId="777E96E6">
            <w:pPr>
              <w:spacing w:line="241" w:lineRule="auto"/>
              <w:rPr>
                <w:rFonts w:ascii="Arial"/>
                <w:sz w:val="21"/>
              </w:rPr>
            </w:pPr>
          </w:p>
          <w:p w14:paraId="37962D48">
            <w:pPr>
              <w:spacing w:line="241" w:lineRule="auto"/>
              <w:rPr>
                <w:rFonts w:ascii="Arial"/>
                <w:sz w:val="21"/>
              </w:rPr>
            </w:pPr>
          </w:p>
          <w:p w14:paraId="63BAF15C">
            <w:pPr>
              <w:pStyle w:val="6"/>
              <w:spacing w:before="65" w:line="229" w:lineRule="auto"/>
              <w:ind w:left="964"/>
            </w:pPr>
            <w:r>
              <w:t>汞</w:t>
            </w:r>
          </w:p>
        </w:tc>
        <w:tc>
          <w:tcPr>
            <w:tcW w:w="3116" w:type="dxa"/>
            <w:vAlign w:val="top"/>
          </w:tcPr>
          <w:p w14:paraId="492E02B9">
            <w:pPr>
              <w:pStyle w:val="6"/>
              <w:spacing w:before="63" w:line="229" w:lineRule="auto"/>
              <w:ind w:left="118"/>
            </w:pPr>
            <w:r>
              <w:rPr>
                <w:spacing w:val="6"/>
              </w:rPr>
              <w:t>《土壤质量总汞、总砷、总铅的</w:t>
            </w:r>
          </w:p>
          <w:p w14:paraId="75A95F6C">
            <w:pPr>
              <w:pStyle w:val="6"/>
              <w:spacing w:before="45" w:line="274" w:lineRule="exact"/>
              <w:ind w:left="113"/>
            </w:pPr>
            <w:r>
              <w:rPr>
                <w:spacing w:val="4"/>
                <w:position w:val="1"/>
              </w:rPr>
              <w:t>测定原子荧光法第</w:t>
            </w:r>
            <w:r>
              <w:rPr>
                <w:spacing w:val="-21"/>
                <w:position w:val="1"/>
              </w:rPr>
              <w:t xml:space="preserve"> </w:t>
            </w:r>
            <w:r>
              <w:rPr>
                <w:rFonts w:ascii="Times New Roman" w:hAnsi="Times New Roman" w:eastAsia="Times New Roman" w:cs="Times New Roman"/>
                <w:spacing w:val="4"/>
                <w:position w:val="1"/>
              </w:rPr>
              <w:t xml:space="preserve">1 </w:t>
            </w:r>
            <w:r>
              <w:rPr>
                <w:spacing w:val="4"/>
                <w:position w:val="1"/>
              </w:rPr>
              <w:t>部分：土壤</w:t>
            </w:r>
          </w:p>
          <w:p w14:paraId="485B590F">
            <w:pPr>
              <w:pStyle w:val="6"/>
              <w:spacing w:before="83" w:line="229" w:lineRule="auto"/>
              <w:ind w:left="847"/>
            </w:pPr>
            <w:r>
              <w:rPr>
                <w:spacing w:val="4"/>
              </w:rPr>
              <w:t>中总汞的测定》</w:t>
            </w:r>
          </w:p>
          <w:p w14:paraId="60C09057">
            <w:pPr>
              <w:spacing w:before="47" w:line="274" w:lineRule="exact"/>
              <w:ind w:left="73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GB</w:t>
            </w:r>
            <w:r>
              <w:rPr>
                <w:rFonts w:ascii="Times New Roman" w:hAnsi="Times New Roman" w:eastAsia="Times New Roman" w:cs="Times New Roman"/>
                <w:spacing w:val="5"/>
                <w:position w:val="1"/>
                <w:sz w:val="20"/>
                <w:szCs w:val="20"/>
              </w:rPr>
              <w:t>/T22105.1-2008</w:t>
            </w:r>
          </w:p>
        </w:tc>
        <w:tc>
          <w:tcPr>
            <w:tcW w:w="2036" w:type="dxa"/>
            <w:vAlign w:val="top"/>
          </w:tcPr>
          <w:p w14:paraId="6441EE57">
            <w:pPr>
              <w:pStyle w:val="6"/>
              <w:spacing w:before="224" w:line="229" w:lineRule="auto"/>
              <w:ind w:left="184"/>
            </w:pPr>
            <w:r>
              <w:rPr>
                <w:spacing w:val="8"/>
              </w:rPr>
              <w:t>双道全自动原子荧</w:t>
            </w:r>
          </w:p>
          <w:p w14:paraId="39CEC752">
            <w:pPr>
              <w:pStyle w:val="6"/>
              <w:spacing w:before="47" w:line="274" w:lineRule="exact"/>
              <w:ind w:left="133"/>
              <w:rPr>
                <w:rFonts w:ascii="Times New Roman" w:hAnsi="Times New Roman" w:eastAsia="Times New Roman" w:cs="Times New Roman"/>
              </w:rPr>
            </w:pPr>
            <w:r>
              <w:rPr>
                <w:spacing w:val="7"/>
                <w:position w:val="1"/>
              </w:rPr>
              <w:t>光光度计</w:t>
            </w:r>
            <w:r>
              <w:rPr>
                <w:spacing w:val="-39"/>
                <w:position w:val="1"/>
              </w:rPr>
              <w:t xml:space="preserve"> </w:t>
            </w:r>
            <w:r>
              <w:rPr>
                <w:rFonts w:ascii="Times New Roman" w:hAnsi="Times New Roman" w:eastAsia="Times New Roman" w:cs="Times New Roman"/>
                <w:position w:val="1"/>
              </w:rPr>
              <w:t>AFS</w:t>
            </w:r>
            <w:r>
              <w:rPr>
                <w:rFonts w:ascii="Times New Roman" w:hAnsi="Times New Roman" w:eastAsia="Times New Roman" w:cs="Times New Roman"/>
                <w:spacing w:val="7"/>
                <w:position w:val="1"/>
              </w:rPr>
              <w:t>-230E</w:t>
            </w:r>
          </w:p>
          <w:p w14:paraId="400244E4">
            <w:pPr>
              <w:spacing w:before="52"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-A-004</w:t>
            </w:r>
          </w:p>
        </w:tc>
        <w:tc>
          <w:tcPr>
            <w:tcW w:w="1447" w:type="dxa"/>
            <w:vAlign w:val="top"/>
          </w:tcPr>
          <w:p w14:paraId="432E9F4A">
            <w:pPr>
              <w:spacing w:line="459" w:lineRule="auto"/>
              <w:rPr>
                <w:rFonts w:ascii="Arial"/>
                <w:sz w:val="21"/>
              </w:rPr>
            </w:pPr>
          </w:p>
          <w:p w14:paraId="7C203330">
            <w:pPr>
              <w:spacing w:before="58" w:line="274" w:lineRule="exact"/>
              <w:ind w:left="22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797A1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2125" w:type="dxa"/>
            <w:vAlign w:val="top"/>
          </w:tcPr>
          <w:p w14:paraId="3EEF8FA5">
            <w:pPr>
              <w:spacing w:line="322" w:lineRule="auto"/>
              <w:rPr>
                <w:rFonts w:ascii="Arial"/>
                <w:sz w:val="21"/>
              </w:rPr>
            </w:pPr>
          </w:p>
          <w:p w14:paraId="10BF3B56">
            <w:pPr>
              <w:pStyle w:val="6"/>
              <w:spacing w:before="65" w:line="229" w:lineRule="auto"/>
              <w:ind w:left="962"/>
            </w:pPr>
            <w:r>
              <w:rPr>
                <w:spacing w:val="1"/>
              </w:rPr>
              <w:t>镍</w:t>
            </w:r>
          </w:p>
        </w:tc>
        <w:tc>
          <w:tcPr>
            <w:tcW w:w="3116" w:type="dxa"/>
            <w:vAlign w:val="top"/>
          </w:tcPr>
          <w:p w14:paraId="1EA43BA4">
            <w:pPr>
              <w:pStyle w:val="6"/>
              <w:spacing w:before="63" w:line="229" w:lineRule="auto"/>
              <w:ind w:right="9"/>
              <w:jc w:val="right"/>
            </w:pPr>
            <w:r>
              <w:rPr>
                <w:spacing w:val="-2"/>
              </w:rPr>
              <w:t>《土壤和沉积物铜、锌、铅、镍、</w:t>
            </w:r>
          </w:p>
          <w:p w14:paraId="39D9EB2C">
            <w:pPr>
              <w:pStyle w:val="6"/>
              <w:spacing w:before="78" w:line="228" w:lineRule="auto"/>
              <w:ind w:left="198"/>
            </w:pPr>
            <w:r>
              <w:rPr>
                <w:spacing w:val="9"/>
              </w:rPr>
              <w:t>铬的测定火焰原子吸收分光光</w:t>
            </w:r>
          </w:p>
          <w:p w14:paraId="0CDCDCA3">
            <w:pPr>
              <w:pStyle w:val="6"/>
              <w:spacing w:before="48" w:line="274" w:lineRule="exact"/>
              <w:ind w:left="676"/>
              <w:rPr>
                <w:rFonts w:ascii="Times New Roman" w:hAnsi="Times New Roman" w:eastAsia="Times New Roman" w:cs="Times New Roman"/>
              </w:rPr>
            </w:pPr>
            <w:r>
              <w:rPr>
                <w:spacing w:val="5"/>
                <w:position w:val="1"/>
              </w:rPr>
              <w:t>度法》</w:t>
            </w:r>
            <w:r>
              <w:rPr>
                <w:spacing w:val="22"/>
                <w:position w:val="1"/>
              </w:rPr>
              <w:t xml:space="preserve"> </w:t>
            </w:r>
            <w:r>
              <w:rPr>
                <w:rFonts w:ascii="Times New Roman" w:hAnsi="Times New Roman" w:eastAsia="Times New Roman" w:cs="Times New Roman"/>
                <w:position w:val="1"/>
              </w:rPr>
              <w:t>HJ</w:t>
            </w:r>
            <w:r>
              <w:rPr>
                <w:rFonts w:ascii="Times New Roman" w:hAnsi="Times New Roman" w:eastAsia="Times New Roman" w:cs="Times New Roman"/>
                <w:spacing w:val="5"/>
                <w:position w:val="1"/>
              </w:rPr>
              <w:t>491-2019</w:t>
            </w:r>
          </w:p>
        </w:tc>
        <w:tc>
          <w:tcPr>
            <w:tcW w:w="2036" w:type="dxa"/>
            <w:vAlign w:val="top"/>
          </w:tcPr>
          <w:p w14:paraId="0C437EDD">
            <w:pPr>
              <w:pStyle w:val="6"/>
              <w:spacing w:before="63" w:line="228" w:lineRule="auto"/>
              <w:ind w:left="186"/>
            </w:pPr>
            <w:r>
              <w:rPr>
                <w:spacing w:val="8"/>
              </w:rPr>
              <w:t>火焰原子吸收分光</w:t>
            </w:r>
          </w:p>
          <w:p w14:paraId="44DA7998">
            <w:pPr>
              <w:pStyle w:val="6"/>
              <w:spacing w:before="48" w:line="274" w:lineRule="exact"/>
              <w:ind w:left="267"/>
              <w:rPr>
                <w:rFonts w:ascii="Times New Roman" w:hAnsi="Times New Roman" w:eastAsia="Times New Roman" w:cs="Times New Roman"/>
              </w:rPr>
            </w:pPr>
            <w:r>
              <w:rPr>
                <w:spacing w:val="7"/>
                <w:position w:val="1"/>
              </w:rPr>
              <w:t>光度计</w:t>
            </w:r>
            <w:r>
              <w:rPr>
                <w:spacing w:val="-40"/>
                <w:position w:val="1"/>
              </w:rPr>
              <w:t xml:space="preserve"> </w:t>
            </w:r>
            <w:r>
              <w:rPr>
                <w:rFonts w:ascii="Times New Roman" w:hAnsi="Times New Roman" w:eastAsia="Times New Roman" w:cs="Times New Roman"/>
                <w:position w:val="1"/>
              </w:rPr>
              <w:t>GGX</w:t>
            </w:r>
            <w:r>
              <w:rPr>
                <w:rFonts w:ascii="Times New Roman" w:hAnsi="Times New Roman" w:eastAsia="Times New Roman" w:cs="Times New Roman"/>
                <w:spacing w:val="7"/>
                <w:position w:val="1"/>
              </w:rPr>
              <w:t>-600</w:t>
            </w:r>
          </w:p>
          <w:p w14:paraId="3C2D2AB6">
            <w:pPr>
              <w:spacing w:before="52"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-A-003</w:t>
            </w:r>
          </w:p>
        </w:tc>
        <w:tc>
          <w:tcPr>
            <w:tcW w:w="1447" w:type="dxa"/>
            <w:vAlign w:val="top"/>
          </w:tcPr>
          <w:p w14:paraId="174D5F5F">
            <w:pPr>
              <w:spacing w:line="299" w:lineRule="auto"/>
              <w:rPr>
                <w:rFonts w:ascii="Arial"/>
                <w:sz w:val="21"/>
              </w:rPr>
            </w:pPr>
          </w:p>
          <w:p w14:paraId="10FC8FCB">
            <w:pPr>
              <w:spacing w:before="58" w:line="274" w:lineRule="exact"/>
              <w:ind w:left="409"/>
              <w:rPr>
                <w:rFonts w:ascii="Times New Roman" w:hAnsi="Times New Roman" w:eastAsia="Times New Roman" w:cs="Times New Roman"/>
                <w:sz w:val="20"/>
                <w:szCs w:val="20"/>
              </w:rPr>
            </w:pPr>
            <w:r>
              <w:rPr>
                <w:rFonts w:ascii="Times New Roman" w:hAnsi="Times New Roman" w:eastAsia="Times New Roman" w:cs="Times New Roman"/>
                <w:spacing w:val="9"/>
                <w:position w:val="3"/>
                <w:sz w:val="20"/>
                <w:szCs w:val="20"/>
              </w:rPr>
              <w:t>3</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9"/>
                <w:position w:val="3"/>
                <w:sz w:val="20"/>
                <w:szCs w:val="20"/>
              </w:rPr>
              <w:t>/</w:t>
            </w:r>
            <w:r>
              <w:rPr>
                <w:rFonts w:ascii="Times New Roman" w:hAnsi="Times New Roman" w:eastAsia="Times New Roman" w:cs="Times New Roman"/>
                <w:position w:val="3"/>
                <w:sz w:val="20"/>
                <w:szCs w:val="20"/>
              </w:rPr>
              <w:t>kg</w:t>
            </w:r>
          </w:p>
        </w:tc>
      </w:tr>
      <w:tr w14:paraId="1EDE1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1CBF6935">
            <w:pPr>
              <w:pStyle w:val="6"/>
              <w:spacing w:before="72" w:line="229" w:lineRule="auto"/>
              <w:ind w:left="668"/>
            </w:pPr>
            <w:r>
              <w:rPr>
                <w:spacing w:val="2"/>
              </w:rPr>
              <w:t>四氯化碳</w:t>
            </w:r>
          </w:p>
        </w:tc>
        <w:tc>
          <w:tcPr>
            <w:tcW w:w="3116" w:type="dxa"/>
            <w:vMerge w:val="restart"/>
            <w:tcBorders>
              <w:bottom w:val="nil"/>
            </w:tcBorders>
            <w:vAlign w:val="top"/>
          </w:tcPr>
          <w:p w14:paraId="1755FCA6">
            <w:pPr>
              <w:spacing w:line="275" w:lineRule="auto"/>
              <w:rPr>
                <w:rFonts w:ascii="Arial"/>
                <w:sz w:val="21"/>
              </w:rPr>
            </w:pPr>
          </w:p>
          <w:p w14:paraId="61E23D54">
            <w:pPr>
              <w:spacing w:line="275" w:lineRule="auto"/>
              <w:rPr>
                <w:rFonts w:ascii="Arial"/>
                <w:sz w:val="21"/>
              </w:rPr>
            </w:pPr>
          </w:p>
          <w:p w14:paraId="4D5F75A3">
            <w:pPr>
              <w:pStyle w:val="6"/>
              <w:spacing w:before="65" w:line="228" w:lineRule="auto"/>
              <w:ind w:left="204"/>
            </w:pPr>
            <w:r>
              <w:rPr>
                <w:spacing w:val="8"/>
              </w:rPr>
              <w:t>《土壤和沉积物挥发性有机物</w:t>
            </w:r>
          </w:p>
          <w:p w14:paraId="29946848">
            <w:pPr>
              <w:pStyle w:val="6"/>
              <w:spacing w:before="48" w:line="275" w:lineRule="exact"/>
              <w:ind w:left="151"/>
            </w:pPr>
            <w:r>
              <w:rPr>
                <w:spacing w:val="7"/>
                <w:position w:val="1"/>
              </w:rPr>
              <w:t>的测定吹扫捕集</w:t>
            </w:r>
            <w:r>
              <w:rPr>
                <w:rFonts w:ascii="Times New Roman" w:hAnsi="Times New Roman" w:eastAsia="Times New Roman" w:cs="Times New Roman"/>
                <w:spacing w:val="7"/>
                <w:position w:val="1"/>
              </w:rPr>
              <w:t>/</w:t>
            </w:r>
            <w:r>
              <w:rPr>
                <w:spacing w:val="7"/>
                <w:position w:val="1"/>
              </w:rPr>
              <w:t>气相色谱</w:t>
            </w:r>
            <w:r>
              <w:rPr>
                <w:rFonts w:ascii="Times New Roman" w:hAnsi="Times New Roman" w:eastAsia="Times New Roman" w:cs="Times New Roman"/>
                <w:spacing w:val="7"/>
                <w:position w:val="1"/>
              </w:rPr>
              <w:t>-</w:t>
            </w:r>
            <w:r>
              <w:rPr>
                <w:spacing w:val="7"/>
                <w:position w:val="1"/>
              </w:rPr>
              <w:t>质谱</w:t>
            </w:r>
          </w:p>
          <w:p w14:paraId="40885F9B">
            <w:pPr>
              <w:pStyle w:val="6"/>
              <w:spacing w:before="52" w:line="274" w:lineRule="exact"/>
              <w:ind w:left="814"/>
              <w:rPr>
                <w:rFonts w:ascii="Times New Roman" w:hAnsi="Times New Roman" w:eastAsia="Times New Roman" w:cs="Times New Roman"/>
              </w:rPr>
            </w:pPr>
            <w:r>
              <w:rPr>
                <w:spacing w:val="5"/>
                <w:position w:val="1"/>
              </w:rPr>
              <w:t>法》</w:t>
            </w:r>
            <w:r>
              <w:rPr>
                <w:rFonts w:ascii="Times New Roman" w:hAnsi="Times New Roman" w:eastAsia="Times New Roman" w:cs="Times New Roman"/>
                <w:position w:val="1"/>
              </w:rPr>
              <w:t>HJ</w:t>
            </w:r>
            <w:r>
              <w:rPr>
                <w:rFonts w:ascii="Times New Roman" w:hAnsi="Times New Roman" w:eastAsia="Times New Roman" w:cs="Times New Roman"/>
                <w:spacing w:val="5"/>
                <w:position w:val="1"/>
              </w:rPr>
              <w:t xml:space="preserve"> 605-2011</w:t>
            </w:r>
          </w:p>
        </w:tc>
        <w:tc>
          <w:tcPr>
            <w:tcW w:w="2036" w:type="dxa"/>
            <w:vMerge w:val="restart"/>
            <w:tcBorders>
              <w:bottom w:val="nil"/>
            </w:tcBorders>
            <w:vAlign w:val="top"/>
          </w:tcPr>
          <w:p w14:paraId="2E8F6949">
            <w:pPr>
              <w:spacing w:line="275" w:lineRule="auto"/>
              <w:rPr>
                <w:rFonts w:ascii="Arial"/>
                <w:sz w:val="21"/>
              </w:rPr>
            </w:pPr>
          </w:p>
          <w:p w14:paraId="54D110F3">
            <w:pPr>
              <w:spacing w:line="275" w:lineRule="auto"/>
              <w:rPr>
                <w:rFonts w:ascii="Arial"/>
                <w:sz w:val="21"/>
              </w:rPr>
            </w:pPr>
          </w:p>
          <w:p w14:paraId="5FC1A992">
            <w:pPr>
              <w:pStyle w:val="6"/>
              <w:spacing w:before="65" w:line="305" w:lineRule="auto"/>
              <w:ind w:left="659" w:right="280" w:hanging="369"/>
              <w:rPr>
                <w:rFonts w:ascii="Times New Roman" w:hAnsi="Times New Roman" w:eastAsia="Times New Roman" w:cs="Times New Roman"/>
              </w:rPr>
            </w:pPr>
            <w:r>
              <w:rPr>
                <w:spacing w:val="8"/>
              </w:rPr>
              <w:t>气相质谱联用仪</w:t>
            </w:r>
            <w:r>
              <w:rPr>
                <w:spacing w:val="2"/>
              </w:rPr>
              <w:t xml:space="preserve"> </w:t>
            </w:r>
            <w:r>
              <w:rPr>
                <w:rFonts w:ascii="Times New Roman" w:hAnsi="Times New Roman" w:eastAsia="Times New Roman" w:cs="Times New Roman"/>
                <w:spacing w:val="7"/>
              </w:rPr>
              <w:t>2020</w:t>
            </w:r>
            <w:r>
              <w:rPr>
                <w:rFonts w:ascii="Times New Roman" w:hAnsi="Times New Roman" w:eastAsia="Times New Roman" w:cs="Times New Roman"/>
              </w:rPr>
              <w:t>NX</w:t>
            </w:r>
          </w:p>
          <w:p w14:paraId="615E9541">
            <w:pPr>
              <w:spacing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-A-203</w:t>
            </w:r>
          </w:p>
        </w:tc>
        <w:tc>
          <w:tcPr>
            <w:tcW w:w="1447" w:type="dxa"/>
            <w:vAlign w:val="top"/>
          </w:tcPr>
          <w:p w14:paraId="62480F0F">
            <w:pPr>
              <w:spacing w:before="4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0.0011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kg</w:t>
            </w:r>
          </w:p>
        </w:tc>
      </w:tr>
      <w:tr w14:paraId="0E9E7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2F3C6056">
            <w:pPr>
              <w:pStyle w:val="6"/>
              <w:spacing w:before="70" w:line="229" w:lineRule="auto"/>
              <w:ind w:left="758"/>
            </w:pPr>
            <w:r>
              <w:rPr>
                <w:spacing w:val="5"/>
              </w:rPr>
              <w:t>氯甲烷</w:t>
            </w:r>
          </w:p>
        </w:tc>
        <w:tc>
          <w:tcPr>
            <w:tcW w:w="3116" w:type="dxa"/>
            <w:vMerge w:val="continue"/>
            <w:tcBorders>
              <w:top w:val="nil"/>
              <w:bottom w:val="nil"/>
            </w:tcBorders>
            <w:vAlign w:val="top"/>
          </w:tcPr>
          <w:p w14:paraId="2BD3F2F5">
            <w:pPr>
              <w:rPr>
                <w:rFonts w:ascii="Arial"/>
                <w:sz w:val="21"/>
              </w:rPr>
            </w:pPr>
          </w:p>
        </w:tc>
        <w:tc>
          <w:tcPr>
            <w:tcW w:w="2036" w:type="dxa"/>
            <w:vMerge w:val="continue"/>
            <w:tcBorders>
              <w:top w:val="nil"/>
              <w:bottom w:val="nil"/>
            </w:tcBorders>
            <w:vAlign w:val="top"/>
          </w:tcPr>
          <w:p w14:paraId="3C19E22A">
            <w:pPr>
              <w:rPr>
                <w:rFonts w:ascii="Arial"/>
                <w:sz w:val="21"/>
              </w:rPr>
            </w:pPr>
          </w:p>
        </w:tc>
        <w:tc>
          <w:tcPr>
            <w:tcW w:w="1447" w:type="dxa"/>
            <w:vAlign w:val="top"/>
          </w:tcPr>
          <w:p w14:paraId="2B8AC630">
            <w:pPr>
              <w:spacing w:before="39"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0.0004</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0D54B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45DF9A4">
            <w:pPr>
              <w:pStyle w:val="6"/>
              <w:spacing w:before="39" w:line="275" w:lineRule="exact"/>
              <w:ind w:left="500"/>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二氯乙烷</w:t>
            </w:r>
          </w:p>
        </w:tc>
        <w:tc>
          <w:tcPr>
            <w:tcW w:w="3116" w:type="dxa"/>
            <w:vMerge w:val="continue"/>
            <w:tcBorders>
              <w:top w:val="nil"/>
              <w:bottom w:val="nil"/>
            </w:tcBorders>
            <w:vAlign w:val="top"/>
          </w:tcPr>
          <w:p w14:paraId="46122B5F">
            <w:pPr>
              <w:rPr>
                <w:rFonts w:ascii="Arial"/>
                <w:sz w:val="21"/>
              </w:rPr>
            </w:pPr>
          </w:p>
        </w:tc>
        <w:tc>
          <w:tcPr>
            <w:tcW w:w="2036" w:type="dxa"/>
            <w:vMerge w:val="continue"/>
            <w:tcBorders>
              <w:top w:val="nil"/>
              <w:bottom w:val="nil"/>
            </w:tcBorders>
            <w:vAlign w:val="top"/>
          </w:tcPr>
          <w:p w14:paraId="3845FAF9">
            <w:pPr>
              <w:rPr>
                <w:rFonts w:ascii="Arial"/>
                <w:sz w:val="21"/>
              </w:rPr>
            </w:pPr>
          </w:p>
        </w:tc>
        <w:tc>
          <w:tcPr>
            <w:tcW w:w="1447" w:type="dxa"/>
            <w:vAlign w:val="top"/>
          </w:tcPr>
          <w:p w14:paraId="286C6407">
            <w:pPr>
              <w:spacing w:before="39" w:line="275"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0.0011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kg</w:t>
            </w:r>
          </w:p>
        </w:tc>
      </w:tr>
      <w:tr w14:paraId="76413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510F62C9">
            <w:pPr>
              <w:pStyle w:val="6"/>
              <w:spacing w:before="71" w:line="229" w:lineRule="auto"/>
              <w:ind w:left="861"/>
            </w:pPr>
            <w:r>
              <w:rPr>
                <w:spacing w:val="3"/>
              </w:rPr>
              <w:t>氯仿</w:t>
            </w:r>
          </w:p>
        </w:tc>
        <w:tc>
          <w:tcPr>
            <w:tcW w:w="3116" w:type="dxa"/>
            <w:vMerge w:val="continue"/>
            <w:tcBorders>
              <w:top w:val="nil"/>
              <w:bottom w:val="nil"/>
            </w:tcBorders>
            <w:vAlign w:val="top"/>
          </w:tcPr>
          <w:p w14:paraId="6F3CAA68">
            <w:pPr>
              <w:rPr>
                <w:rFonts w:ascii="Arial"/>
                <w:sz w:val="21"/>
              </w:rPr>
            </w:pPr>
          </w:p>
        </w:tc>
        <w:tc>
          <w:tcPr>
            <w:tcW w:w="2036" w:type="dxa"/>
            <w:vMerge w:val="continue"/>
            <w:tcBorders>
              <w:top w:val="nil"/>
              <w:bottom w:val="nil"/>
            </w:tcBorders>
            <w:vAlign w:val="top"/>
          </w:tcPr>
          <w:p w14:paraId="077A2EC9">
            <w:pPr>
              <w:rPr>
                <w:rFonts w:ascii="Arial"/>
                <w:sz w:val="21"/>
              </w:rPr>
            </w:pPr>
          </w:p>
        </w:tc>
        <w:tc>
          <w:tcPr>
            <w:tcW w:w="1447" w:type="dxa"/>
            <w:vAlign w:val="top"/>
          </w:tcPr>
          <w:p w14:paraId="453AEC79">
            <w:pPr>
              <w:spacing w:before="40"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46407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15EE24C">
            <w:pPr>
              <w:pStyle w:val="6"/>
              <w:spacing w:before="40" w:line="274" w:lineRule="exact"/>
              <w:ind w:left="500"/>
            </w:pPr>
            <w:r>
              <w:rPr>
                <w:rFonts w:ascii="Times New Roman" w:hAnsi="Times New Roman" w:eastAsia="Times New Roman" w:cs="Times New Roman"/>
                <w:spacing w:val="3"/>
                <w:position w:val="2"/>
              </w:rPr>
              <w:t>1,2-</w:t>
            </w:r>
            <w:r>
              <w:rPr>
                <w:spacing w:val="3"/>
                <w:position w:val="2"/>
              </w:rPr>
              <w:t>二氯乙烷</w:t>
            </w:r>
          </w:p>
        </w:tc>
        <w:tc>
          <w:tcPr>
            <w:tcW w:w="3116" w:type="dxa"/>
            <w:vMerge w:val="continue"/>
            <w:tcBorders>
              <w:top w:val="nil"/>
              <w:bottom w:val="nil"/>
            </w:tcBorders>
            <w:vAlign w:val="top"/>
          </w:tcPr>
          <w:p w14:paraId="53564E2C">
            <w:pPr>
              <w:rPr>
                <w:rFonts w:ascii="Arial"/>
                <w:sz w:val="21"/>
              </w:rPr>
            </w:pPr>
          </w:p>
        </w:tc>
        <w:tc>
          <w:tcPr>
            <w:tcW w:w="2036" w:type="dxa"/>
            <w:vMerge w:val="continue"/>
            <w:tcBorders>
              <w:top w:val="nil"/>
              <w:bottom w:val="nil"/>
            </w:tcBorders>
            <w:vAlign w:val="top"/>
          </w:tcPr>
          <w:p w14:paraId="479AE1B9">
            <w:pPr>
              <w:rPr>
                <w:rFonts w:ascii="Arial"/>
                <w:sz w:val="21"/>
              </w:rPr>
            </w:pPr>
          </w:p>
        </w:tc>
        <w:tc>
          <w:tcPr>
            <w:tcW w:w="1447" w:type="dxa"/>
            <w:vAlign w:val="top"/>
          </w:tcPr>
          <w:p w14:paraId="2A94CEDB">
            <w:pPr>
              <w:spacing w:before="40"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2834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F197305">
            <w:pPr>
              <w:pStyle w:val="6"/>
              <w:spacing w:before="41" w:line="274" w:lineRule="exact"/>
              <w:ind w:left="500"/>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二氯乙烯</w:t>
            </w:r>
          </w:p>
        </w:tc>
        <w:tc>
          <w:tcPr>
            <w:tcW w:w="3116" w:type="dxa"/>
            <w:vMerge w:val="continue"/>
            <w:tcBorders>
              <w:top w:val="nil"/>
            </w:tcBorders>
            <w:vAlign w:val="top"/>
          </w:tcPr>
          <w:p w14:paraId="7A8CA394">
            <w:pPr>
              <w:rPr>
                <w:rFonts w:ascii="Arial"/>
                <w:sz w:val="21"/>
              </w:rPr>
            </w:pPr>
          </w:p>
        </w:tc>
        <w:tc>
          <w:tcPr>
            <w:tcW w:w="2036" w:type="dxa"/>
            <w:vMerge w:val="continue"/>
            <w:tcBorders>
              <w:top w:val="nil"/>
            </w:tcBorders>
            <w:vAlign w:val="top"/>
          </w:tcPr>
          <w:p w14:paraId="796C611F">
            <w:pPr>
              <w:rPr>
                <w:rFonts w:ascii="Arial"/>
                <w:sz w:val="21"/>
              </w:rPr>
            </w:pPr>
          </w:p>
        </w:tc>
        <w:tc>
          <w:tcPr>
            <w:tcW w:w="1447" w:type="dxa"/>
            <w:vAlign w:val="top"/>
          </w:tcPr>
          <w:p w14:paraId="2CC397D9">
            <w:pPr>
              <w:spacing w:before="41"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C943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7B28AD4">
            <w:pPr>
              <w:pStyle w:val="6"/>
              <w:spacing w:before="34" w:line="274" w:lineRule="exact"/>
              <w:ind w:left="239"/>
            </w:pPr>
            <w:r>
              <w:rPr>
                <w:spacing w:val="6"/>
                <w:position w:val="2"/>
              </w:rPr>
              <w:t>顺式</w:t>
            </w:r>
            <w:r>
              <w:rPr>
                <w:rFonts w:ascii="Times New Roman" w:hAnsi="Times New Roman" w:eastAsia="Times New Roman" w:cs="Times New Roman"/>
                <w:spacing w:val="6"/>
                <w:position w:val="2"/>
              </w:rPr>
              <w:t>-1,2-</w:t>
            </w:r>
            <w:r>
              <w:rPr>
                <w:spacing w:val="6"/>
                <w:position w:val="2"/>
              </w:rPr>
              <w:t>二氯乙烯</w:t>
            </w:r>
          </w:p>
        </w:tc>
        <w:tc>
          <w:tcPr>
            <w:tcW w:w="3116" w:type="dxa"/>
            <w:vMerge w:val="restart"/>
            <w:tcBorders>
              <w:bottom w:val="nil"/>
            </w:tcBorders>
            <w:vAlign w:val="top"/>
          </w:tcPr>
          <w:p w14:paraId="32239FC3">
            <w:pPr>
              <w:pStyle w:val="6"/>
              <w:spacing w:before="64" w:line="228" w:lineRule="auto"/>
              <w:ind w:left="204"/>
            </w:pPr>
            <w:r>
              <w:rPr>
                <w:spacing w:val="8"/>
              </w:rPr>
              <w:t>《土壤和沉积物挥发性有机物</w:t>
            </w:r>
          </w:p>
          <w:p w14:paraId="41459F59">
            <w:pPr>
              <w:pStyle w:val="6"/>
              <w:spacing w:before="49" w:line="274" w:lineRule="exact"/>
              <w:ind w:left="151"/>
            </w:pPr>
            <w:r>
              <w:rPr>
                <w:spacing w:val="7"/>
                <w:position w:val="1"/>
              </w:rPr>
              <w:t>的测定吹扫捕集</w:t>
            </w:r>
            <w:r>
              <w:rPr>
                <w:rFonts w:ascii="Times New Roman" w:hAnsi="Times New Roman" w:eastAsia="Times New Roman" w:cs="Times New Roman"/>
                <w:spacing w:val="7"/>
                <w:position w:val="1"/>
              </w:rPr>
              <w:t>/</w:t>
            </w:r>
            <w:r>
              <w:rPr>
                <w:spacing w:val="7"/>
                <w:position w:val="1"/>
              </w:rPr>
              <w:t>气相色谱</w:t>
            </w:r>
            <w:r>
              <w:rPr>
                <w:rFonts w:ascii="Times New Roman" w:hAnsi="Times New Roman" w:eastAsia="Times New Roman" w:cs="Times New Roman"/>
                <w:spacing w:val="7"/>
                <w:position w:val="1"/>
              </w:rPr>
              <w:t>-</w:t>
            </w:r>
            <w:r>
              <w:rPr>
                <w:spacing w:val="7"/>
                <w:position w:val="1"/>
              </w:rPr>
              <w:t>质谱</w:t>
            </w:r>
          </w:p>
          <w:p w14:paraId="13D83F0E">
            <w:pPr>
              <w:pStyle w:val="6"/>
              <w:spacing w:before="49" w:line="274" w:lineRule="exact"/>
              <w:ind w:left="814"/>
              <w:rPr>
                <w:rFonts w:ascii="Times New Roman" w:hAnsi="Times New Roman" w:eastAsia="Times New Roman" w:cs="Times New Roman"/>
              </w:rPr>
            </w:pPr>
            <w:r>
              <w:rPr>
                <w:spacing w:val="5"/>
                <w:position w:val="1"/>
              </w:rPr>
              <w:t>法》</w:t>
            </w:r>
            <w:r>
              <w:rPr>
                <w:rFonts w:ascii="Times New Roman" w:hAnsi="Times New Roman" w:eastAsia="Times New Roman" w:cs="Times New Roman"/>
                <w:position w:val="1"/>
              </w:rPr>
              <w:t>HJ</w:t>
            </w:r>
            <w:r>
              <w:rPr>
                <w:rFonts w:ascii="Times New Roman" w:hAnsi="Times New Roman" w:eastAsia="Times New Roman" w:cs="Times New Roman"/>
                <w:spacing w:val="5"/>
                <w:position w:val="1"/>
              </w:rPr>
              <w:t xml:space="preserve"> 605-2011</w:t>
            </w:r>
          </w:p>
        </w:tc>
        <w:tc>
          <w:tcPr>
            <w:tcW w:w="2036" w:type="dxa"/>
            <w:vMerge w:val="restart"/>
            <w:tcBorders>
              <w:bottom w:val="nil"/>
            </w:tcBorders>
            <w:vAlign w:val="top"/>
          </w:tcPr>
          <w:p w14:paraId="204053A9">
            <w:pPr>
              <w:pStyle w:val="6"/>
              <w:spacing w:before="64" w:line="304" w:lineRule="auto"/>
              <w:ind w:left="659" w:right="280" w:hanging="369"/>
              <w:rPr>
                <w:rFonts w:ascii="Times New Roman" w:hAnsi="Times New Roman" w:eastAsia="Times New Roman" w:cs="Times New Roman"/>
              </w:rPr>
            </w:pPr>
            <w:r>
              <w:rPr>
                <w:spacing w:val="8"/>
              </w:rPr>
              <w:t>气相质谱联用仪</w:t>
            </w:r>
            <w:r>
              <w:rPr>
                <w:spacing w:val="2"/>
              </w:rPr>
              <w:t xml:space="preserve"> </w:t>
            </w:r>
            <w:r>
              <w:rPr>
                <w:rFonts w:ascii="Times New Roman" w:hAnsi="Times New Roman" w:eastAsia="Times New Roman" w:cs="Times New Roman"/>
                <w:spacing w:val="7"/>
              </w:rPr>
              <w:t>2020</w:t>
            </w:r>
            <w:r>
              <w:rPr>
                <w:rFonts w:ascii="Times New Roman" w:hAnsi="Times New Roman" w:eastAsia="Times New Roman" w:cs="Times New Roman"/>
              </w:rPr>
              <w:t>NX</w:t>
            </w:r>
          </w:p>
          <w:p w14:paraId="5DC384B1">
            <w:pPr>
              <w:spacing w:line="274" w:lineRule="exact"/>
              <w:ind w:left="56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YQ</w:t>
            </w:r>
            <w:r>
              <w:rPr>
                <w:rFonts w:ascii="Times New Roman" w:hAnsi="Times New Roman" w:eastAsia="Times New Roman" w:cs="Times New Roman"/>
                <w:spacing w:val="6"/>
                <w:position w:val="3"/>
                <w:sz w:val="20"/>
                <w:szCs w:val="20"/>
              </w:rPr>
              <w:t>-A-203</w:t>
            </w:r>
          </w:p>
        </w:tc>
        <w:tc>
          <w:tcPr>
            <w:tcW w:w="1447" w:type="dxa"/>
            <w:vAlign w:val="top"/>
          </w:tcPr>
          <w:p w14:paraId="67E4B0C9">
            <w:pPr>
              <w:spacing w:before="34"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0E513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15543961">
            <w:pPr>
              <w:pStyle w:val="6"/>
              <w:spacing w:before="34" w:line="274" w:lineRule="exact"/>
              <w:ind w:left="239"/>
            </w:pPr>
            <w:r>
              <w:rPr>
                <w:spacing w:val="6"/>
                <w:position w:val="2"/>
              </w:rPr>
              <w:t>反式</w:t>
            </w:r>
            <w:r>
              <w:rPr>
                <w:rFonts w:ascii="Times New Roman" w:hAnsi="Times New Roman" w:eastAsia="Times New Roman" w:cs="Times New Roman"/>
                <w:spacing w:val="6"/>
                <w:position w:val="2"/>
              </w:rPr>
              <w:t>-1,2-</w:t>
            </w:r>
            <w:r>
              <w:rPr>
                <w:spacing w:val="6"/>
                <w:position w:val="2"/>
              </w:rPr>
              <w:t>二氯乙烯</w:t>
            </w:r>
          </w:p>
        </w:tc>
        <w:tc>
          <w:tcPr>
            <w:tcW w:w="3116" w:type="dxa"/>
            <w:vMerge w:val="continue"/>
            <w:tcBorders>
              <w:top w:val="nil"/>
              <w:bottom w:val="nil"/>
            </w:tcBorders>
            <w:vAlign w:val="top"/>
          </w:tcPr>
          <w:p w14:paraId="4FFC83D9">
            <w:pPr>
              <w:rPr>
                <w:rFonts w:ascii="Arial"/>
                <w:sz w:val="21"/>
              </w:rPr>
            </w:pPr>
          </w:p>
        </w:tc>
        <w:tc>
          <w:tcPr>
            <w:tcW w:w="2036" w:type="dxa"/>
            <w:vMerge w:val="continue"/>
            <w:tcBorders>
              <w:top w:val="nil"/>
              <w:bottom w:val="nil"/>
            </w:tcBorders>
            <w:vAlign w:val="top"/>
          </w:tcPr>
          <w:p w14:paraId="753318A3">
            <w:pPr>
              <w:rPr>
                <w:rFonts w:ascii="Arial"/>
                <w:sz w:val="21"/>
              </w:rPr>
            </w:pPr>
          </w:p>
        </w:tc>
        <w:tc>
          <w:tcPr>
            <w:tcW w:w="1447" w:type="dxa"/>
            <w:vAlign w:val="top"/>
          </w:tcPr>
          <w:p w14:paraId="027BE464">
            <w:pPr>
              <w:spacing w:before="34"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5B91F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E25EC55">
            <w:pPr>
              <w:pStyle w:val="6"/>
              <w:spacing w:before="63" w:line="229" w:lineRule="auto"/>
              <w:ind w:left="652"/>
            </w:pPr>
            <w:r>
              <w:rPr>
                <w:spacing w:val="6"/>
              </w:rPr>
              <w:t>二氯甲烷</w:t>
            </w:r>
          </w:p>
        </w:tc>
        <w:tc>
          <w:tcPr>
            <w:tcW w:w="3116" w:type="dxa"/>
            <w:vMerge w:val="continue"/>
            <w:tcBorders>
              <w:top w:val="nil"/>
              <w:bottom w:val="nil"/>
            </w:tcBorders>
            <w:vAlign w:val="top"/>
          </w:tcPr>
          <w:p w14:paraId="65B857BE">
            <w:pPr>
              <w:rPr>
                <w:rFonts w:ascii="Arial"/>
                <w:sz w:val="21"/>
              </w:rPr>
            </w:pPr>
          </w:p>
        </w:tc>
        <w:tc>
          <w:tcPr>
            <w:tcW w:w="2036" w:type="dxa"/>
            <w:vMerge w:val="continue"/>
            <w:tcBorders>
              <w:top w:val="nil"/>
              <w:bottom w:val="nil"/>
            </w:tcBorders>
            <w:vAlign w:val="top"/>
          </w:tcPr>
          <w:p w14:paraId="798CD930">
            <w:pPr>
              <w:rPr>
                <w:rFonts w:ascii="Arial"/>
                <w:sz w:val="21"/>
              </w:rPr>
            </w:pPr>
          </w:p>
        </w:tc>
        <w:tc>
          <w:tcPr>
            <w:tcW w:w="1447" w:type="dxa"/>
            <w:vAlign w:val="top"/>
          </w:tcPr>
          <w:p w14:paraId="2EFE5F9E">
            <w:pPr>
              <w:spacing w:before="32"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49DBB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251B52AF">
            <w:pPr>
              <w:pStyle w:val="6"/>
              <w:spacing w:before="33" w:line="274" w:lineRule="exact"/>
              <w:ind w:left="420"/>
            </w:pPr>
            <w:r>
              <w:rPr>
                <w:rFonts w:ascii="Times New Roman" w:hAnsi="Times New Roman" w:eastAsia="Times New Roman" w:cs="Times New Roman"/>
                <w:spacing w:val="-2"/>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2"/>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2"/>
                <w:position w:val="2"/>
              </w:rPr>
              <w:t>1-</w:t>
            </w:r>
            <w:r>
              <w:rPr>
                <w:spacing w:val="-2"/>
                <w:position w:val="2"/>
              </w:rPr>
              <w:t>三氯乙烷</w:t>
            </w:r>
          </w:p>
        </w:tc>
        <w:tc>
          <w:tcPr>
            <w:tcW w:w="3116" w:type="dxa"/>
            <w:vMerge w:val="continue"/>
            <w:tcBorders>
              <w:top w:val="nil"/>
              <w:bottom w:val="nil"/>
            </w:tcBorders>
            <w:vAlign w:val="top"/>
          </w:tcPr>
          <w:p w14:paraId="5B5318C4">
            <w:pPr>
              <w:rPr>
                <w:rFonts w:ascii="Arial"/>
                <w:sz w:val="21"/>
              </w:rPr>
            </w:pPr>
          </w:p>
        </w:tc>
        <w:tc>
          <w:tcPr>
            <w:tcW w:w="2036" w:type="dxa"/>
            <w:vMerge w:val="continue"/>
            <w:tcBorders>
              <w:top w:val="nil"/>
              <w:bottom w:val="nil"/>
            </w:tcBorders>
            <w:vAlign w:val="top"/>
          </w:tcPr>
          <w:p w14:paraId="0A7F7795">
            <w:pPr>
              <w:rPr>
                <w:rFonts w:ascii="Arial"/>
                <w:sz w:val="21"/>
              </w:rPr>
            </w:pPr>
          </w:p>
        </w:tc>
        <w:tc>
          <w:tcPr>
            <w:tcW w:w="1447" w:type="dxa"/>
            <w:vAlign w:val="top"/>
          </w:tcPr>
          <w:p w14:paraId="2430C2F7">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0.0013</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C946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318FA33F">
            <w:pPr>
              <w:pStyle w:val="6"/>
              <w:spacing w:before="33" w:line="274" w:lineRule="exact"/>
              <w:ind w:left="500"/>
            </w:pPr>
            <w:r>
              <w:rPr>
                <w:rFonts w:ascii="Times New Roman" w:hAnsi="Times New Roman" w:eastAsia="Times New Roman" w:cs="Times New Roman"/>
                <w:spacing w:val="3"/>
                <w:position w:val="2"/>
              </w:rPr>
              <w:t>1,2-</w:t>
            </w:r>
            <w:r>
              <w:rPr>
                <w:spacing w:val="3"/>
                <w:position w:val="2"/>
              </w:rPr>
              <w:t>二氯丙烷</w:t>
            </w:r>
          </w:p>
        </w:tc>
        <w:tc>
          <w:tcPr>
            <w:tcW w:w="3116" w:type="dxa"/>
            <w:vMerge w:val="continue"/>
            <w:tcBorders>
              <w:top w:val="nil"/>
              <w:bottom w:val="nil"/>
            </w:tcBorders>
            <w:vAlign w:val="top"/>
          </w:tcPr>
          <w:p w14:paraId="704DC68B">
            <w:pPr>
              <w:rPr>
                <w:rFonts w:ascii="Arial"/>
                <w:sz w:val="21"/>
              </w:rPr>
            </w:pPr>
          </w:p>
        </w:tc>
        <w:tc>
          <w:tcPr>
            <w:tcW w:w="2036" w:type="dxa"/>
            <w:vMerge w:val="continue"/>
            <w:tcBorders>
              <w:top w:val="nil"/>
              <w:bottom w:val="nil"/>
            </w:tcBorders>
            <w:vAlign w:val="top"/>
          </w:tcPr>
          <w:p w14:paraId="1BE6CBCB">
            <w:pPr>
              <w:rPr>
                <w:rFonts w:ascii="Arial"/>
                <w:sz w:val="21"/>
              </w:rPr>
            </w:pPr>
          </w:p>
        </w:tc>
        <w:tc>
          <w:tcPr>
            <w:tcW w:w="1447" w:type="dxa"/>
            <w:vAlign w:val="top"/>
          </w:tcPr>
          <w:p w14:paraId="5FCE2D76">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0.0008</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25D74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71D9813">
            <w:pPr>
              <w:pStyle w:val="6"/>
              <w:spacing w:before="33" w:line="275" w:lineRule="exact"/>
              <w:ind w:left="341"/>
            </w:pPr>
            <w:r>
              <w:rPr>
                <w:rFonts w:ascii="Times New Roman" w:hAnsi="Times New Roman" w:eastAsia="Times New Roman" w:cs="Times New Roman"/>
                <w:spacing w:val="-1"/>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1"/>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1"/>
                <w:position w:val="2"/>
              </w:rPr>
              <w:t>1,2-</w:t>
            </w:r>
            <w:r>
              <w:rPr>
                <w:spacing w:val="-1"/>
                <w:position w:val="2"/>
              </w:rPr>
              <w:t>四氯乙烷</w:t>
            </w:r>
          </w:p>
        </w:tc>
        <w:tc>
          <w:tcPr>
            <w:tcW w:w="3116" w:type="dxa"/>
            <w:vMerge w:val="continue"/>
            <w:tcBorders>
              <w:top w:val="nil"/>
              <w:bottom w:val="nil"/>
            </w:tcBorders>
            <w:vAlign w:val="top"/>
          </w:tcPr>
          <w:p w14:paraId="5FB04B40">
            <w:pPr>
              <w:rPr>
                <w:rFonts w:ascii="Arial"/>
                <w:sz w:val="21"/>
              </w:rPr>
            </w:pPr>
          </w:p>
        </w:tc>
        <w:tc>
          <w:tcPr>
            <w:tcW w:w="2036" w:type="dxa"/>
            <w:vMerge w:val="continue"/>
            <w:tcBorders>
              <w:top w:val="nil"/>
              <w:bottom w:val="nil"/>
            </w:tcBorders>
            <w:vAlign w:val="top"/>
          </w:tcPr>
          <w:p w14:paraId="6EC9004D">
            <w:pPr>
              <w:rPr>
                <w:rFonts w:ascii="Arial"/>
                <w:sz w:val="21"/>
              </w:rPr>
            </w:pPr>
          </w:p>
        </w:tc>
        <w:tc>
          <w:tcPr>
            <w:tcW w:w="1447" w:type="dxa"/>
            <w:vAlign w:val="top"/>
          </w:tcPr>
          <w:p w14:paraId="2CA84088">
            <w:pPr>
              <w:spacing w:before="33" w:line="27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0.0009</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275DB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C8ED048">
            <w:pPr>
              <w:pStyle w:val="6"/>
              <w:spacing w:before="34" w:line="274" w:lineRule="exact"/>
              <w:ind w:left="341"/>
            </w:pPr>
            <w:r>
              <w:rPr>
                <w:rFonts w:ascii="Times New Roman" w:hAnsi="Times New Roman" w:eastAsia="Times New Roman" w:cs="Times New Roman"/>
                <w:spacing w:val="1"/>
                <w:position w:val="2"/>
              </w:rPr>
              <w:t>1,</w:t>
            </w:r>
            <w:r>
              <w:rPr>
                <w:rFonts w:ascii="Times New Roman" w:hAnsi="Times New Roman" w:eastAsia="Times New Roman" w:cs="Times New Roman"/>
                <w:spacing w:val="-19"/>
                <w:position w:val="2"/>
              </w:rPr>
              <w:t xml:space="preserve"> </w:t>
            </w:r>
            <w:r>
              <w:rPr>
                <w:rFonts w:ascii="Times New Roman" w:hAnsi="Times New Roman" w:eastAsia="Times New Roman" w:cs="Times New Roman"/>
                <w:spacing w:val="1"/>
                <w:position w:val="2"/>
              </w:rPr>
              <w:t>1,2,2-</w:t>
            </w:r>
            <w:r>
              <w:rPr>
                <w:spacing w:val="1"/>
                <w:position w:val="2"/>
              </w:rPr>
              <w:t>四氯乙烷</w:t>
            </w:r>
          </w:p>
        </w:tc>
        <w:tc>
          <w:tcPr>
            <w:tcW w:w="3116" w:type="dxa"/>
            <w:vMerge w:val="continue"/>
            <w:tcBorders>
              <w:top w:val="nil"/>
              <w:bottom w:val="nil"/>
            </w:tcBorders>
            <w:vAlign w:val="top"/>
          </w:tcPr>
          <w:p w14:paraId="42017B7D">
            <w:pPr>
              <w:rPr>
                <w:rFonts w:ascii="Arial"/>
                <w:sz w:val="21"/>
              </w:rPr>
            </w:pPr>
          </w:p>
        </w:tc>
        <w:tc>
          <w:tcPr>
            <w:tcW w:w="2036" w:type="dxa"/>
            <w:vMerge w:val="continue"/>
            <w:tcBorders>
              <w:top w:val="nil"/>
              <w:bottom w:val="nil"/>
            </w:tcBorders>
            <w:vAlign w:val="top"/>
          </w:tcPr>
          <w:p w14:paraId="4F9F579F">
            <w:pPr>
              <w:rPr>
                <w:rFonts w:ascii="Arial"/>
                <w:sz w:val="21"/>
              </w:rPr>
            </w:pPr>
          </w:p>
        </w:tc>
        <w:tc>
          <w:tcPr>
            <w:tcW w:w="1447" w:type="dxa"/>
            <w:vAlign w:val="top"/>
          </w:tcPr>
          <w:p w14:paraId="7575CFD7">
            <w:pPr>
              <w:spacing w:before="34"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0.0011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kg</w:t>
            </w:r>
          </w:p>
        </w:tc>
      </w:tr>
      <w:tr w14:paraId="4A364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125" w:type="dxa"/>
            <w:vAlign w:val="top"/>
          </w:tcPr>
          <w:p w14:paraId="67610436">
            <w:pPr>
              <w:pStyle w:val="6"/>
              <w:spacing w:before="65" w:line="228" w:lineRule="auto"/>
              <w:ind w:left="668"/>
            </w:pPr>
            <w:r>
              <w:rPr>
                <w:spacing w:val="2"/>
              </w:rPr>
              <w:t>四氯乙烯</w:t>
            </w:r>
          </w:p>
        </w:tc>
        <w:tc>
          <w:tcPr>
            <w:tcW w:w="3116" w:type="dxa"/>
            <w:vMerge w:val="continue"/>
            <w:tcBorders>
              <w:top w:val="nil"/>
            </w:tcBorders>
            <w:vAlign w:val="top"/>
          </w:tcPr>
          <w:p w14:paraId="22907D71">
            <w:pPr>
              <w:rPr>
                <w:rFonts w:ascii="Arial"/>
                <w:sz w:val="21"/>
              </w:rPr>
            </w:pPr>
          </w:p>
        </w:tc>
        <w:tc>
          <w:tcPr>
            <w:tcW w:w="2036" w:type="dxa"/>
            <w:vMerge w:val="continue"/>
            <w:tcBorders>
              <w:top w:val="nil"/>
            </w:tcBorders>
            <w:vAlign w:val="top"/>
          </w:tcPr>
          <w:p w14:paraId="1138CF45">
            <w:pPr>
              <w:rPr>
                <w:rFonts w:ascii="Arial"/>
                <w:sz w:val="21"/>
              </w:rPr>
            </w:pPr>
          </w:p>
        </w:tc>
        <w:tc>
          <w:tcPr>
            <w:tcW w:w="1447" w:type="dxa"/>
            <w:vAlign w:val="top"/>
          </w:tcPr>
          <w:p w14:paraId="266EA9CB">
            <w:pPr>
              <w:spacing w:before="34"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bl>
    <w:p w14:paraId="10E6318D">
      <w:pPr>
        <w:pStyle w:val="2"/>
        <w:spacing w:line="101" w:lineRule="exact"/>
        <w:rPr>
          <w:sz w:val="8"/>
        </w:rPr>
      </w:pPr>
    </w:p>
    <w:p w14:paraId="049DB133">
      <w:pPr>
        <w:spacing w:line="101" w:lineRule="exact"/>
        <w:rPr>
          <w:sz w:val="8"/>
          <w:szCs w:val="8"/>
        </w:rPr>
        <w:sectPr>
          <w:footerReference r:id="rId107" w:type="default"/>
          <w:pgSz w:w="11906" w:h="16839"/>
          <w:pgMar w:top="400" w:right="1588" w:bottom="1485" w:left="1588" w:header="0" w:footer="1249" w:gutter="0"/>
          <w:cols w:space="720" w:num="1"/>
        </w:sectPr>
      </w:pPr>
    </w:p>
    <w:p w14:paraId="39CBBD86">
      <w:pPr>
        <w:spacing w:before="13"/>
      </w:pPr>
    </w:p>
    <w:p w14:paraId="34FE7EE1">
      <w:pPr>
        <w:spacing w:before="13"/>
      </w:pPr>
    </w:p>
    <w:p w14:paraId="34045BC0">
      <w:pPr>
        <w:spacing w:before="13"/>
      </w:pPr>
    </w:p>
    <w:p w14:paraId="51927726">
      <w:pPr>
        <w:spacing w:before="13"/>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3116"/>
        <w:gridCol w:w="2036"/>
        <w:gridCol w:w="1447"/>
      </w:tblGrid>
      <w:tr w14:paraId="15A06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25" w:type="dxa"/>
            <w:vAlign w:val="top"/>
          </w:tcPr>
          <w:p w14:paraId="0E7D1755">
            <w:pPr>
              <w:pStyle w:val="6"/>
              <w:spacing w:before="71" w:line="228" w:lineRule="auto"/>
              <w:ind w:left="649"/>
            </w:pPr>
            <w:r>
              <w:rPr>
                <w:b/>
                <w:bCs/>
                <w:spacing w:val="6"/>
              </w:rPr>
              <w:t>检测项目</w:t>
            </w:r>
          </w:p>
        </w:tc>
        <w:tc>
          <w:tcPr>
            <w:tcW w:w="3116" w:type="dxa"/>
            <w:vAlign w:val="top"/>
          </w:tcPr>
          <w:p w14:paraId="64BC181C">
            <w:pPr>
              <w:pStyle w:val="6"/>
              <w:spacing w:before="71" w:line="228" w:lineRule="auto"/>
              <w:ind w:left="1142"/>
            </w:pPr>
            <w:r>
              <w:rPr>
                <w:b/>
                <w:bCs/>
                <w:spacing w:val="6"/>
              </w:rPr>
              <w:t>检测方法</w:t>
            </w:r>
          </w:p>
        </w:tc>
        <w:tc>
          <w:tcPr>
            <w:tcW w:w="2036" w:type="dxa"/>
            <w:vAlign w:val="top"/>
          </w:tcPr>
          <w:p w14:paraId="525882FA">
            <w:pPr>
              <w:pStyle w:val="6"/>
              <w:spacing w:before="71" w:line="228" w:lineRule="auto"/>
              <w:ind w:left="606"/>
            </w:pPr>
            <w:r>
              <w:rPr>
                <w:b/>
                <w:bCs/>
                <w:spacing w:val="5"/>
              </w:rPr>
              <w:t>分析仪器</w:t>
            </w:r>
          </w:p>
        </w:tc>
        <w:tc>
          <w:tcPr>
            <w:tcW w:w="1447" w:type="dxa"/>
            <w:vAlign w:val="top"/>
          </w:tcPr>
          <w:p w14:paraId="5736F1D0">
            <w:pPr>
              <w:pStyle w:val="6"/>
              <w:spacing w:before="71" w:line="228" w:lineRule="auto"/>
              <w:ind w:left="413"/>
            </w:pPr>
            <w:r>
              <w:rPr>
                <w:b/>
                <w:bCs/>
                <w:spacing w:val="5"/>
              </w:rPr>
              <w:t>检出限</w:t>
            </w:r>
          </w:p>
        </w:tc>
      </w:tr>
      <w:tr w14:paraId="44C39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25" w:type="dxa"/>
            <w:vAlign w:val="top"/>
          </w:tcPr>
          <w:p w14:paraId="3A9BC13A">
            <w:pPr>
              <w:pStyle w:val="6"/>
              <w:spacing w:before="29" w:line="274" w:lineRule="exact"/>
              <w:ind w:left="420"/>
            </w:pPr>
            <w:r>
              <w:rPr>
                <w:rFonts w:ascii="Times New Roman" w:hAnsi="Times New Roman" w:eastAsia="Times New Roman" w:cs="Times New Roman"/>
                <w:spacing w:val="1"/>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1"/>
                <w:position w:val="2"/>
              </w:rPr>
              <w:t>1,2-</w:t>
            </w:r>
            <w:r>
              <w:rPr>
                <w:spacing w:val="1"/>
                <w:position w:val="2"/>
              </w:rPr>
              <w:t>三氯乙烷</w:t>
            </w:r>
          </w:p>
        </w:tc>
        <w:tc>
          <w:tcPr>
            <w:tcW w:w="3116" w:type="dxa"/>
            <w:vMerge w:val="restart"/>
            <w:tcBorders>
              <w:bottom w:val="nil"/>
            </w:tcBorders>
            <w:vAlign w:val="top"/>
          </w:tcPr>
          <w:p w14:paraId="55B237AA">
            <w:pPr>
              <w:rPr>
                <w:rFonts w:ascii="Arial"/>
                <w:sz w:val="21"/>
              </w:rPr>
            </w:pPr>
          </w:p>
        </w:tc>
        <w:tc>
          <w:tcPr>
            <w:tcW w:w="2036" w:type="dxa"/>
            <w:vMerge w:val="restart"/>
            <w:tcBorders>
              <w:bottom w:val="nil"/>
            </w:tcBorders>
            <w:vAlign w:val="top"/>
          </w:tcPr>
          <w:p w14:paraId="20C55392">
            <w:pPr>
              <w:rPr>
                <w:rFonts w:ascii="Arial"/>
                <w:sz w:val="21"/>
              </w:rPr>
            </w:pPr>
          </w:p>
        </w:tc>
        <w:tc>
          <w:tcPr>
            <w:tcW w:w="1447" w:type="dxa"/>
            <w:vAlign w:val="top"/>
          </w:tcPr>
          <w:p w14:paraId="4A691C65">
            <w:pPr>
              <w:spacing w:before="29"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0.0014</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521C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25" w:type="dxa"/>
            <w:vAlign w:val="top"/>
          </w:tcPr>
          <w:p w14:paraId="17562C62">
            <w:pPr>
              <w:pStyle w:val="6"/>
              <w:spacing w:before="59" w:line="228" w:lineRule="auto"/>
              <w:ind w:left="649"/>
            </w:pPr>
            <w:r>
              <w:rPr>
                <w:spacing w:val="7"/>
              </w:rPr>
              <w:t>三氯乙烯</w:t>
            </w:r>
          </w:p>
        </w:tc>
        <w:tc>
          <w:tcPr>
            <w:tcW w:w="3116" w:type="dxa"/>
            <w:vMerge w:val="continue"/>
            <w:tcBorders>
              <w:top w:val="nil"/>
              <w:bottom w:val="nil"/>
            </w:tcBorders>
            <w:vAlign w:val="top"/>
          </w:tcPr>
          <w:p w14:paraId="6D4C95E4">
            <w:pPr>
              <w:rPr>
                <w:rFonts w:ascii="Arial"/>
                <w:sz w:val="21"/>
              </w:rPr>
            </w:pPr>
          </w:p>
        </w:tc>
        <w:tc>
          <w:tcPr>
            <w:tcW w:w="2036" w:type="dxa"/>
            <w:vMerge w:val="continue"/>
            <w:tcBorders>
              <w:top w:val="nil"/>
              <w:bottom w:val="nil"/>
            </w:tcBorders>
            <w:vAlign w:val="top"/>
          </w:tcPr>
          <w:p w14:paraId="35F450E2">
            <w:pPr>
              <w:rPr>
                <w:rFonts w:ascii="Arial"/>
                <w:sz w:val="21"/>
              </w:rPr>
            </w:pPr>
          </w:p>
        </w:tc>
        <w:tc>
          <w:tcPr>
            <w:tcW w:w="1447" w:type="dxa"/>
            <w:vAlign w:val="top"/>
          </w:tcPr>
          <w:p w14:paraId="1DBECA83">
            <w:pPr>
              <w:spacing w:before="28"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0.0011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kg</w:t>
            </w:r>
          </w:p>
        </w:tc>
      </w:tr>
      <w:tr w14:paraId="1E628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36D1BAB8">
            <w:pPr>
              <w:pStyle w:val="6"/>
              <w:spacing w:before="30" w:line="274" w:lineRule="exact"/>
              <w:ind w:left="420"/>
            </w:pPr>
            <w:r>
              <w:rPr>
                <w:rFonts w:ascii="Times New Roman" w:hAnsi="Times New Roman" w:eastAsia="Times New Roman" w:cs="Times New Roman"/>
                <w:spacing w:val="3"/>
                <w:position w:val="2"/>
              </w:rPr>
              <w:t>1,2,3-</w:t>
            </w:r>
            <w:r>
              <w:rPr>
                <w:spacing w:val="3"/>
                <w:position w:val="2"/>
              </w:rPr>
              <w:t>三氯丙烷</w:t>
            </w:r>
          </w:p>
        </w:tc>
        <w:tc>
          <w:tcPr>
            <w:tcW w:w="3116" w:type="dxa"/>
            <w:vMerge w:val="continue"/>
            <w:tcBorders>
              <w:top w:val="nil"/>
              <w:bottom w:val="nil"/>
            </w:tcBorders>
            <w:vAlign w:val="top"/>
          </w:tcPr>
          <w:p w14:paraId="17978C15">
            <w:pPr>
              <w:rPr>
                <w:rFonts w:ascii="Arial"/>
                <w:sz w:val="21"/>
              </w:rPr>
            </w:pPr>
          </w:p>
        </w:tc>
        <w:tc>
          <w:tcPr>
            <w:tcW w:w="2036" w:type="dxa"/>
            <w:vMerge w:val="continue"/>
            <w:tcBorders>
              <w:top w:val="nil"/>
              <w:bottom w:val="nil"/>
            </w:tcBorders>
            <w:vAlign w:val="top"/>
          </w:tcPr>
          <w:p w14:paraId="7D2812DA">
            <w:pPr>
              <w:rPr>
                <w:rFonts w:ascii="Arial"/>
                <w:sz w:val="21"/>
              </w:rPr>
            </w:pPr>
          </w:p>
        </w:tc>
        <w:tc>
          <w:tcPr>
            <w:tcW w:w="1447" w:type="dxa"/>
            <w:vAlign w:val="top"/>
          </w:tcPr>
          <w:p w14:paraId="7F4B5908">
            <w:pPr>
              <w:spacing w:before="30"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17039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5C2FDFF2">
            <w:pPr>
              <w:pStyle w:val="6"/>
              <w:spacing w:before="61" w:line="228" w:lineRule="auto"/>
              <w:ind w:left="758"/>
            </w:pPr>
            <w:r>
              <w:rPr>
                <w:spacing w:val="5"/>
              </w:rPr>
              <w:t>氯乙烯</w:t>
            </w:r>
          </w:p>
        </w:tc>
        <w:tc>
          <w:tcPr>
            <w:tcW w:w="3116" w:type="dxa"/>
            <w:vMerge w:val="continue"/>
            <w:tcBorders>
              <w:top w:val="nil"/>
              <w:bottom w:val="nil"/>
            </w:tcBorders>
            <w:vAlign w:val="top"/>
          </w:tcPr>
          <w:p w14:paraId="4108E292">
            <w:pPr>
              <w:rPr>
                <w:rFonts w:ascii="Arial"/>
                <w:sz w:val="21"/>
              </w:rPr>
            </w:pPr>
          </w:p>
        </w:tc>
        <w:tc>
          <w:tcPr>
            <w:tcW w:w="2036" w:type="dxa"/>
            <w:vMerge w:val="continue"/>
            <w:tcBorders>
              <w:top w:val="nil"/>
              <w:bottom w:val="nil"/>
            </w:tcBorders>
            <w:vAlign w:val="top"/>
          </w:tcPr>
          <w:p w14:paraId="6832FFF6">
            <w:pPr>
              <w:rPr>
                <w:rFonts w:ascii="Arial"/>
                <w:sz w:val="21"/>
              </w:rPr>
            </w:pPr>
          </w:p>
        </w:tc>
        <w:tc>
          <w:tcPr>
            <w:tcW w:w="1447" w:type="dxa"/>
            <w:vAlign w:val="top"/>
          </w:tcPr>
          <w:p w14:paraId="295593AB">
            <w:pPr>
              <w:spacing w:before="30"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0.0009</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1D728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2E28ECC5">
            <w:pPr>
              <w:pStyle w:val="6"/>
              <w:spacing w:before="61" w:line="228" w:lineRule="auto"/>
              <w:ind w:left="966"/>
            </w:pPr>
            <w:r>
              <w:t>苯</w:t>
            </w:r>
          </w:p>
        </w:tc>
        <w:tc>
          <w:tcPr>
            <w:tcW w:w="3116" w:type="dxa"/>
            <w:vMerge w:val="continue"/>
            <w:tcBorders>
              <w:top w:val="nil"/>
              <w:bottom w:val="nil"/>
            </w:tcBorders>
            <w:vAlign w:val="top"/>
          </w:tcPr>
          <w:p w14:paraId="7D35AF8A">
            <w:pPr>
              <w:rPr>
                <w:rFonts w:ascii="Arial"/>
                <w:sz w:val="21"/>
              </w:rPr>
            </w:pPr>
          </w:p>
        </w:tc>
        <w:tc>
          <w:tcPr>
            <w:tcW w:w="2036" w:type="dxa"/>
            <w:vMerge w:val="continue"/>
            <w:tcBorders>
              <w:top w:val="nil"/>
              <w:bottom w:val="nil"/>
            </w:tcBorders>
            <w:vAlign w:val="top"/>
          </w:tcPr>
          <w:p w14:paraId="714980B0">
            <w:pPr>
              <w:rPr>
                <w:rFonts w:ascii="Arial"/>
                <w:sz w:val="21"/>
              </w:rPr>
            </w:pPr>
          </w:p>
        </w:tc>
        <w:tc>
          <w:tcPr>
            <w:tcW w:w="1447" w:type="dxa"/>
            <w:vAlign w:val="top"/>
          </w:tcPr>
          <w:p w14:paraId="2B7414FF">
            <w:pPr>
              <w:spacing w:before="30" w:line="27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7BAD1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296C6BF1">
            <w:pPr>
              <w:pStyle w:val="6"/>
              <w:spacing w:before="61" w:line="228" w:lineRule="auto"/>
              <w:ind w:left="861"/>
            </w:pPr>
            <w:r>
              <w:rPr>
                <w:spacing w:val="3"/>
              </w:rPr>
              <w:t>氯苯</w:t>
            </w:r>
          </w:p>
        </w:tc>
        <w:tc>
          <w:tcPr>
            <w:tcW w:w="3116" w:type="dxa"/>
            <w:vMerge w:val="continue"/>
            <w:tcBorders>
              <w:top w:val="nil"/>
              <w:bottom w:val="nil"/>
            </w:tcBorders>
            <w:vAlign w:val="top"/>
          </w:tcPr>
          <w:p w14:paraId="506F8C41">
            <w:pPr>
              <w:rPr>
                <w:rFonts w:ascii="Arial"/>
                <w:sz w:val="21"/>
              </w:rPr>
            </w:pPr>
          </w:p>
        </w:tc>
        <w:tc>
          <w:tcPr>
            <w:tcW w:w="2036" w:type="dxa"/>
            <w:vMerge w:val="continue"/>
            <w:tcBorders>
              <w:top w:val="nil"/>
              <w:bottom w:val="nil"/>
            </w:tcBorders>
            <w:vAlign w:val="top"/>
          </w:tcPr>
          <w:p w14:paraId="3EDE80AD">
            <w:pPr>
              <w:rPr>
                <w:rFonts w:ascii="Arial"/>
                <w:sz w:val="21"/>
              </w:rPr>
            </w:pPr>
          </w:p>
        </w:tc>
        <w:tc>
          <w:tcPr>
            <w:tcW w:w="1447" w:type="dxa"/>
            <w:vAlign w:val="top"/>
          </w:tcPr>
          <w:p w14:paraId="367AFC7E">
            <w:pPr>
              <w:spacing w:before="31"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07997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3F886A8B">
            <w:pPr>
              <w:pStyle w:val="6"/>
              <w:spacing w:before="31" w:line="274" w:lineRule="exact"/>
              <w:ind w:left="603"/>
            </w:pPr>
            <w:r>
              <w:rPr>
                <w:rFonts w:ascii="Times New Roman" w:hAnsi="Times New Roman" w:eastAsia="Times New Roman" w:cs="Times New Roman"/>
                <w:spacing w:val="3"/>
                <w:position w:val="2"/>
              </w:rPr>
              <w:t>1,2-</w:t>
            </w:r>
            <w:r>
              <w:rPr>
                <w:spacing w:val="3"/>
                <w:position w:val="2"/>
              </w:rPr>
              <w:t>二氯苯</w:t>
            </w:r>
          </w:p>
        </w:tc>
        <w:tc>
          <w:tcPr>
            <w:tcW w:w="3116" w:type="dxa"/>
            <w:vMerge w:val="continue"/>
            <w:tcBorders>
              <w:top w:val="nil"/>
              <w:bottom w:val="nil"/>
            </w:tcBorders>
            <w:vAlign w:val="top"/>
          </w:tcPr>
          <w:p w14:paraId="504BCC60">
            <w:pPr>
              <w:rPr>
                <w:rFonts w:ascii="Arial"/>
                <w:sz w:val="21"/>
              </w:rPr>
            </w:pPr>
          </w:p>
        </w:tc>
        <w:tc>
          <w:tcPr>
            <w:tcW w:w="2036" w:type="dxa"/>
            <w:vMerge w:val="continue"/>
            <w:tcBorders>
              <w:top w:val="nil"/>
              <w:bottom w:val="nil"/>
            </w:tcBorders>
            <w:vAlign w:val="top"/>
          </w:tcPr>
          <w:p w14:paraId="4C8E7603">
            <w:pPr>
              <w:rPr>
                <w:rFonts w:ascii="Arial"/>
                <w:sz w:val="21"/>
              </w:rPr>
            </w:pPr>
          </w:p>
        </w:tc>
        <w:tc>
          <w:tcPr>
            <w:tcW w:w="1447" w:type="dxa"/>
            <w:vAlign w:val="top"/>
          </w:tcPr>
          <w:p w14:paraId="1FFC38F3">
            <w:pPr>
              <w:spacing w:before="31"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0.0008</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37BEE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125" w:type="dxa"/>
            <w:vAlign w:val="top"/>
          </w:tcPr>
          <w:p w14:paraId="631CBC39">
            <w:pPr>
              <w:pStyle w:val="6"/>
              <w:spacing w:before="29" w:line="274" w:lineRule="exact"/>
              <w:ind w:left="603"/>
            </w:pPr>
            <w:r>
              <w:rPr>
                <w:rFonts w:ascii="Times New Roman" w:hAnsi="Times New Roman" w:eastAsia="Times New Roman" w:cs="Times New Roman"/>
                <w:spacing w:val="3"/>
                <w:position w:val="2"/>
              </w:rPr>
              <w:t>1,4-</w:t>
            </w:r>
            <w:r>
              <w:rPr>
                <w:spacing w:val="3"/>
                <w:position w:val="2"/>
              </w:rPr>
              <w:t>二氯苯</w:t>
            </w:r>
          </w:p>
        </w:tc>
        <w:tc>
          <w:tcPr>
            <w:tcW w:w="3116" w:type="dxa"/>
            <w:vMerge w:val="continue"/>
            <w:tcBorders>
              <w:top w:val="nil"/>
              <w:bottom w:val="nil"/>
            </w:tcBorders>
            <w:vAlign w:val="top"/>
          </w:tcPr>
          <w:p w14:paraId="5E7F7F7C">
            <w:pPr>
              <w:rPr>
                <w:rFonts w:ascii="Arial"/>
                <w:sz w:val="21"/>
              </w:rPr>
            </w:pPr>
          </w:p>
        </w:tc>
        <w:tc>
          <w:tcPr>
            <w:tcW w:w="2036" w:type="dxa"/>
            <w:vMerge w:val="continue"/>
            <w:tcBorders>
              <w:top w:val="nil"/>
              <w:bottom w:val="nil"/>
            </w:tcBorders>
            <w:vAlign w:val="top"/>
          </w:tcPr>
          <w:p w14:paraId="33702976">
            <w:pPr>
              <w:rPr>
                <w:rFonts w:ascii="Arial"/>
                <w:sz w:val="21"/>
              </w:rPr>
            </w:pPr>
          </w:p>
        </w:tc>
        <w:tc>
          <w:tcPr>
            <w:tcW w:w="1447" w:type="dxa"/>
            <w:vAlign w:val="top"/>
          </w:tcPr>
          <w:p w14:paraId="133391B1">
            <w:pPr>
              <w:spacing w:before="29"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0.0006</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7049E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32528E0F">
            <w:pPr>
              <w:pStyle w:val="6"/>
              <w:spacing w:before="60" w:line="228" w:lineRule="auto"/>
              <w:ind w:left="875"/>
            </w:pPr>
            <w:r>
              <w:rPr>
                <w:spacing w:val="-4"/>
              </w:rPr>
              <w:t>乙苯</w:t>
            </w:r>
          </w:p>
        </w:tc>
        <w:tc>
          <w:tcPr>
            <w:tcW w:w="3116" w:type="dxa"/>
            <w:vMerge w:val="continue"/>
            <w:tcBorders>
              <w:top w:val="nil"/>
              <w:bottom w:val="nil"/>
            </w:tcBorders>
            <w:vAlign w:val="top"/>
          </w:tcPr>
          <w:p w14:paraId="65B0D31A">
            <w:pPr>
              <w:rPr>
                <w:rFonts w:ascii="Arial"/>
                <w:sz w:val="21"/>
              </w:rPr>
            </w:pPr>
          </w:p>
        </w:tc>
        <w:tc>
          <w:tcPr>
            <w:tcW w:w="2036" w:type="dxa"/>
            <w:vMerge w:val="continue"/>
            <w:tcBorders>
              <w:top w:val="nil"/>
              <w:bottom w:val="nil"/>
            </w:tcBorders>
            <w:vAlign w:val="top"/>
          </w:tcPr>
          <w:p w14:paraId="0BEA23DB">
            <w:pPr>
              <w:rPr>
                <w:rFonts w:ascii="Arial"/>
                <w:sz w:val="21"/>
              </w:rPr>
            </w:pPr>
          </w:p>
        </w:tc>
        <w:tc>
          <w:tcPr>
            <w:tcW w:w="1447" w:type="dxa"/>
            <w:vAlign w:val="top"/>
          </w:tcPr>
          <w:p w14:paraId="09C2D562">
            <w:pPr>
              <w:spacing w:before="30"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0.0007</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944C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15F2FB0F">
            <w:pPr>
              <w:pStyle w:val="6"/>
              <w:spacing w:before="61" w:line="228" w:lineRule="auto"/>
              <w:ind w:left="757"/>
            </w:pPr>
            <w:r>
              <w:rPr>
                <w:spacing w:val="6"/>
              </w:rPr>
              <w:t>苯乙烯</w:t>
            </w:r>
          </w:p>
        </w:tc>
        <w:tc>
          <w:tcPr>
            <w:tcW w:w="3116" w:type="dxa"/>
            <w:vMerge w:val="continue"/>
            <w:tcBorders>
              <w:top w:val="nil"/>
              <w:bottom w:val="nil"/>
            </w:tcBorders>
            <w:vAlign w:val="top"/>
          </w:tcPr>
          <w:p w14:paraId="50633F11">
            <w:pPr>
              <w:rPr>
                <w:rFonts w:ascii="Arial"/>
                <w:sz w:val="21"/>
              </w:rPr>
            </w:pPr>
          </w:p>
        </w:tc>
        <w:tc>
          <w:tcPr>
            <w:tcW w:w="2036" w:type="dxa"/>
            <w:vMerge w:val="continue"/>
            <w:tcBorders>
              <w:top w:val="nil"/>
              <w:bottom w:val="nil"/>
            </w:tcBorders>
            <w:vAlign w:val="top"/>
          </w:tcPr>
          <w:p w14:paraId="28F03BED">
            <w:pPr>
              <w:rPr>
                <w:rFonts w:ascii="Arial"/>
                <w:sz w:val="21"/>
              </w:rPr>
            </w:pPr>
          </w:p>
        </w:tc>
        <w:tc>
          <w:tcPr>
            <w:tcW w:w="1447" w:type="dxa"/>
            <w:vAlign w:val="top"/>
          </w:tcPr>
          <w:p w14:paraId="48443930">
            <w:pPr>
              <w:spacing w:before="30" w:line="27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0.0006</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EECB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B56DE9A">
            <w:pPr>
              <w:pStyle w:val="6"/>
              <w:spacing w:before="61" w:line="228" w:lineRule="auto"/>
              <w:ind w:left="885"/>
            </w:pPr>
            <w:r>
              <w:rPr>
                <w:spacing w:val="-9"/>
              </w:rPr>
              <w:t>甲苯</w:t>
            </w:r>
          </w:p>
        </w:tc>
        <w:tc>
          <w:tcPr>
            <w:tcW w:w="3116" w:type="dxa"/>
            <w:vMerge w:val="continue"/>
            <w:tcBorders>
              <w:top w:val="nil"/>
              <w:bottom w:val="nil"/>
            </w:tcBorders>
            <w:vAlign w:val="top"/>
          </w:tcPr>
          <w:p w14:paraId="4CB5FC80">
            <w:pPr>
              <w:rPr>
                <w:rFonts w:ascii="Arial"/>
                <w:sz w:val="21"/>
              </w:rPr>
            </w:pPr>
          </w:p>
        </w:tc>
        <w:tc>
          <w:tcPr>
            <w:tcW w:w="2036" w:type="dxa"/>
            <w:vMerge w:val="continue"/>
            <w:tcBorders>
              <w:top w:val="nil"/>
              <w:bottom w:val="nil"/>
            </w:tcBorders>
            <w:vAlign w:val="top"/>
          </w:tcPr>
          <w:p w14:paraId="7823EAF7">
            <w:pPr>
              <w:rPr>
                <w:rFonts w:ascii="Arial"/>
                <w:sz w:val="21"/>
              </w:rPr>
            </w:pPr>
          </w:p>
        </w:tc>
        <w:tc>
          <w:tcPr>
            <w:tcW w:w="1447" w:type="dxa"/>
            <w:vAlign w:val="top"/>
          </w:tcPr>
          <w:p w14:paraId="73D94488">
            <w:pPr>
              <w:spacing w:before="31"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0.0009</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456D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4D251DE5">
            <w:pPr>
              <w:pStyle w:val="6"/>
              <w:spacing w:before="62" w:line="228" w:lineRule="auto"/>
              <w:ind w:left="185"/>
            </w:pPr>
            <w:r>
              <w:rPr>
                <w:spacing w:val="6"/>
              </w:rPr>
              <w:t>间二甲苯</w:t>
            </w:r>
            <w:r>
              <w:rPr>
                <w:rFonts w:ascii="Times New Roman" w:hAnsi="Times New Roman" w:eastAsia="Times New Roman" w:cs="Times New Roman"/>
                <w:spacing w:val="6"/>
              </w:rPr>
              <w:t>+</w:t>
            </w:r>
            <w:r>
              <w:rPr>
                <w:spacing w:val="6"/>
              </w:rPr>
              <w:t>对二甲苯</w:t>
            </w:r>
          </w:p>
        </w:tc>
        <w:tc>
          <w:tcPr>
            <w:tcW w:w="3116" w:type="dxa"/>
            <w:vMerge w:val="continue"/>
            <w:tcBorders>
              <w:top w:val="nil"/>
              <w:bottom w:val="nil"/>
            </w:tcBorders>
            <w:vAlign w:val="top"/>
          </w:tcPr>
          <w:p w14:paraId="0ECC7C82">
            <w:pPr>
              <w:rPr>
                <w:rFonts w:ascii="Arial"/>
                <w:sz w:val="21"/>
              </w:rPr>
            </w:pPr>
          </w:p>
        </w:tc>
        <w:tc>
          <w:tcPr>
            <w:tcW w:w="2036" w:type="dxa"/>
            <w:vMerge w:val="continue"/>
            <w:tcBorders>
              <w:top w:val="nil"/>
              <w:bottom w:val="nil"/>
            </w:tcBorders>
            <w:vAlign w:val="top"/>
          </w:tcPr>
          <w:p w14:paraId="58C8AB3A">
            <w:pPr>
              <w:rPr>
                <w:rFonts w:ascii="Arial"/>
                <w:sz w:val="21"/>
              </w:rPr>
            </w:pPr>
          </w:p>
        </w:tc>
        <w:tc>
          <w:tcPr>
            <w:tcW w:w="1447" w:type="dxa"/>
            <w:vAlign w:val="top"/>
          </w:tcPr>
          <w:p w14:paraId="3D9E4CE3">
            <w:pPr>
              <w:spacing w:before="31"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0.0014</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20337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946D132">
            <w:pPr>
              <w:pStyle w:val="6"/>
              <w:spacing w:before="62" w:line="228" w:lineRule="auto"/>
              <w:ind w:left="648"/>
            </w:pPr>
            <w:r>
              <w:rPr>
                <w:spacing w:val="7"/>
              </w:rPr>
              <w:t>邻二甲苯</w:t>
            </w:r>
          </w:p>
        </w:tc>
        <w:tc>
          <w:tcPr>
            <w:tcW w:w="3116" w:type="dxa"/>
            <w:vMerge w:val="continue"/>
            <w:tcBorders>
              <w:top w:val="nil"/>
            </w:tcBorders>
            <w:vAlign w:val="top"/>
          </w:tcPr>
          <w:p w14:paraId="79910E04">
            <w:pPr>
              <w:rPr>
                <w:rFonts w:ascii="Arial"/>
                <w:sz w:val="21"/>
              </w:rPr>
            </w:pPr>
          </w:p>
        </w:tc>
        <w:tc>
          <w:tcPr>
            <w:tcW w:w="2036" w:type="dxa"/>
            <w:vMerge w:val="continue"/>
            <w:tcBorders>
              <w:top w:val="nil"/>
            </w:tcBorders>
            <w:vAlign w:val="top"/>
          </w:tcPr>
          <w:p w14:paraId="3052238C">
            <w:pPr>
              <w:rPr>
                <w:rFonts w:ascii="Arial"/>
                <w:sz w:val="21"/>
              </w:rPr>
            </w:pPr>
          </w:p>
        </w:tc>
        <w:tc>
          <w:tcPr>
            <w:tcW w:w="1447" w:type="dxa"/>
            <w:vAlign w:val="top"/>
          </w:tcPr>
          <w:p w14:paraId="6F5162E6">
            <w:pPr>
              <w:spacing w:before="32"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0.0012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01B73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25" w:type="dxa"/>
            <w:vAlign w:val="top"/>
          </w:tcPr>
          <w:p w14:paraId="208B09D1">
            <w:pPr>
              <w:pStyle w:val="6"/>
              <w:spacing w:before="62" w:line="228" w:lineRule="auto"/>
              <w:ind w:left="756"/>
            </w:pPr>
            <w:r>
              <w:rPr>
                <w:spacing w:val="6"/>
              </w:rPr>
              <w:t>硝基苯</w:t>
            </w:r>
          </w:p>
        </w:tc>
        <w:tc>
          <w:tcPr>
            <w:tcW w:w="3116" w:type="dxa"/>
            <w:vMerge w:val="restart"/>
            <w:tcBorders>
              <w:bottom w:val="nil"/>
            </w:tcBorders>
            <w:vAlign w:val="top"/>
          </w:tcPr>
          <w:p w14:paraId="2A018358">
            <w:pPr>
              <w:pStyle w:val="6"/>
              <w:spacing w:before="62" w:line="228" w:lineRule="auto"/>
              <w:ind w:left="204"/>
            </w:pPr>
            <w:r>
              <w:rPr>
                <w:spacing w:val="8"/>
              </w:rPr>
              <w:t>《土壤和沉积物半挥发性有机</w:t>
            </w:r>
          </w:p>
          <w:p w14:paraId="3DBFEE11">
            <w:pPr>
              <w:pStyle w:val="6"/>
              <w:spacing w:before="77" w:line="229" w:lineRule="auto"/>
              <w:ind w:left="153"/>
              <w:rPr>
                <w:rFonts w:ascii="Times New Roman" w:hAnsi="Times New Roman" w:eastAsia="Times New Roman" w:cs="Times New Roman"/>
              </w:rPr>
            </w:pPr>
            <w:r>
              <w:rPr>
                <w:spacing w:val="9"/>
              </w:rPr>
              <w:t>物的测定气相色谱</w:t>
            </w:r>
            <w:r>
              <w:rPr>
                <w:rFonts w:ascii="Times New Roman" w:hAnsi="Times New Roman" w:eastAsia="Times New Roman" w:cs="Times New Roman"/>
                <w:spacing w:val="9"/>
              </w:rPr>
              <w:t>-</w:t>
            </w:r>
            <w:r>
              <w:rPr>
                <w:spacing w:val="9"/>
              </w:rPr>
              <w:t>质谱法》</w:t>
            </w:r>
            <w:r>
              <w:rPr>
                <w:rFonts w:ascii="Times New Roman" w:hAnsi="Times New Roman" w:eastAsia="Times New Roman" w:cs="Times New Roman"/>
              </w:rPr>
              <w:t>HJ</w:t>
            </w:r>
          </w:p>
          <w:p w14:paraId="548E88FA">
            <w:pPr>
              <w:spacing w:before="47" w:line="274" w:lineRule="exact"/>
              <w:ind w:left="116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834-2017</w:t>
            </w:r>
          </w:p>
        </w:tc>
        <w:tc>
          <w:tcPr>
            <w:tcW w:w="2036" w:type="dxa"/>
            <w:vMerge w:val="restart"/>
            <w:tcBorders>
              <w:bottom w:val="nil"/>
            </w:tcBorders>
            <w:vAlign w:val="top"/>
          </w:tcPr>
          <w:p w14:paraId="75FD73F1">
            <w:pPr>
              <w:pStyle w:val="6"/>
              <w:spacing w:before="63" w:line="286" w:lineRule="auto"/>
              <w:ind w:left="590" w:right="177" w:hanging="405"/>
              <w:rPr>
                <w:rFonts w:ascii="Times New Roman" w:hAnsi="Times New Roman" w:eastAsia="Times New Roman" w:cs="Times New Roman"/>
              </w:rPr>
            </w:pPr>
            <w:r>
              <w:rPr>
                <w:spacing w:val="8"/>
              </w:rPr>
              <w:t>气相色谱质谱联用</w:t>
            </w:r>
            <w:r>
              <w:rPr>
                <w:spacing w:val="3"/>
              </w:rPr>
              <w:t xml:space="preserve"> </w:t>
            </w:r>
            <w:r>
              <w:rPr>
                <w:spacing w:val="14"/>
              </w:rPr>
              <w:t>仪</w:t>
            </w:r>
            <w:r>
              <w:rPr>
                <w:rFonts w:ascii="Times New Roman" w:hAnsi="Times New Roman" w:eastAsia="Times New Roman" w:cs="Times New Roman"/>
                <w:spacing w:val="14"/>
              </w:rPr>
              <w:t>-</w:t>
            </w:r>
            <w:r>
              <w:rPr>
                <w:rFonts w:ascii="Times New Roman" w:hAnsi="Times New Roman" w:eastAsia="Times New Roman" w:cs="Times New Roman"/>
              </w:rPr>
              <w:t>GCMS</w:t>
            </w:r>
          </w:p>
          <w:p w14:paraId="02868010">
            <w:pPr>
              <w:spacing w:before="1" w:line="318" w:lineRule="auto"/>
              <w:ind w:left="563" w:right="487" w:hanging="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6890N/5973</w:t>
            </w:r>
            <w:r>
              <w:rPr>
                <w:rFonts w:ascii="Times New Roman" w:hAnsi="Times New Roman" w:eastAsia="Times New Roman" w:cs="Times New Roman"/>
                <w:sz w:val="20"/>
                <w:szCs w:val="20"/>
              </w:rPr>
              <w:t xml:space="preserve"> YQ</w:t>
            </w:r>
            <w:r>
              <w:rPr>
                <w:rFonts w:ascii="Times New Roman" w:hAnsi="Times New Roman" w:eastAsia="Times New Roman" w:cs="Times New Roman"/>
                <w:spacing w:val="6"/>
                <w:sz w:val="20"/>
                <w:szCs w:val="20"/>
              </w:rPr>
              <w:t>-A-202</w:t>
            </w:r>
          </w:p>
        </w:tc>
        <w:tc>
          <w:tcPr>
            <w:tcW w:w="1447" w:type="dxa"/>
            <w:vAlign w:val="top"/>
          </w:tcPr>
          <w:p w14:paraId="28E2D592">
            <w:pPr>
              <w:spacing w:before="32"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0.09</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A160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1E50F326">
            <w:pPr>
              <w:pStyle w:val="6"/>
              <w:spacing w:before="31" w:line="274" w:lineRule="exact"/>
              <w:ind w:left="662"/>
            </w:pPr>
            <w:r>
              <w:rPr>
                <w:rFonts w:ascii="Times New Roman" w:hAnsi="Times New Roman" w:eastAsia="Times New Roman" w:cs="Times New Roman"/>
                <w:spacing w:val="6"/>
                <w:position w:val="1"/>
              </w:rPr>
              <w:t>2-</w:t>
            </w:r>
            <w:r>
              <w:rPr>
                <w:spacing w:val="6"/>
                <w:position w:val="1"/>
              </w:rPr>
              <w:t>氯苯酚</w:t>
            </w:r>
          </w:p>
        </w:tc>
        <w:tc>
          <w:tcPr>
            <w:tcW w:w="3116" w:type="dxa"/>
            <w:vMerge w:val="continue"/>
            <w:tcBorders>
              <w:top w:val="nil"/>
              <w:bottom w:val="nil"/>
            </w:tcBorders>
            <w:vAlign w:val="top"/>
          </w:tcPr>
          <w:p w14:paraId="366EA5FD">
            <w:pPr>
              <w:rPr>
                <w:rFonts w:ascii="Arial"/>
                <w:sz w:val="21"/>
              </w:rPr>
            </w:pPr>
          </w:p>
        </w:tc>
        <w:tc>
          <w:tcPr>
            <w:tcW w:w="2036" w:type="dxa"/>
            <w:vMerge w:val="continue"/>
            <w:tcBorders>
              <w:top w:val="nil"/>
              <w:bottom w:val="nil"/>
            </w:tcBorders>
            <w:vAlign w:val="top"/>
          </w:tcPr>
          <w:p w14:paraId="3E941231">
            <w:pPr>
              <w:rPr>
                <w:rFonts w:ascii="Arial"/>
                <w:sz w:val="21"/>
              </w:rPr>
            </w:pPr>
          </w:p>
        </w:tc>
        <w:tc>
          <w:tcPr>
            <w:tcW w:w="1447" w:type="dxa"/>
            <w:vAlign w:val="top"/>
          </w:tcPr>
          <w:p w14:paraId="54154E87">
            <w:pPr>
              <w:spacing w:before="31"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0.06</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619C9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7206D10D">
            <w:pPr>
              <w:pStyle w:val="6"/>
              <w:spacing w:before="31" w:line="275" w:lineRule="exact"/>
              <w:ind w:left="639"/>
            </w:pPr>
            <w:r>
              <w:rPr>
                <w:spacing w:val="4"/>
                <w:position w:val="2"/>
              </w:rPr>
              <w:t>苯并</w:t>
            </w:r>
            <w:r>
              <w:rPr>
                <w:rFonts w:ascii="Times New Roman" w:hAnsi="Times New Roman" w:eastAsia="Times New Roman" w:cs="Times New Roman"/>
                <w:spacing w:val="4"/>
                <w:position w:val="2"/>
              </w:rPr>
              <w:t>(a)</w:t>
            </w:r>
            <w:r>
              <w:rPr>
                <w:spacing w:val="4"/>
                <w:position w:val="2"/>
              </w:rPr>
              <w:t>蒽</w:t>
            </w:r>
          </w:p>
        </w:tc>
        <w:tc>
          <w:tcPr>
            <w:tcW w:w="3116" w:type="dxa"/>
            <w:vMerge w:val="continue"/>
            <w:tcBorders>
              <w:top w:val="nil"/>
              <w:bottom w:val="nil"/>
            </w:tcBorders>
            <w:vAlign w:val="top"/>
          </w:tcPr>
          <w:p w14:paraId="6716DAAC">
            <w:pPr>
              <w:rPr>
                <w:rFonts w:ascii="Arial"/>
                <w:sz w:val="21"/>
              </w:rPr>
            </w:pPr>
          </w:p>
        </w:tc>
        <w:tc>
          <w:tcPr>
            <w:tcW w:w="2036" w:type="dxa"/>
            <w:vMerge w:val="continue"/>
            <w:tcBorders>
              <w:top w:val="nil"/>
              <w:bottom w:val="nil"/>
            </w:tcBorders>
            <w:vAlign w:val="top"/>
          </w:tcPr>
          <w:p w14:paraId="67AA8153">
            <w:pPr>
              <w:rPr>
                <w:rFonts w:ascii="Arial"/>
                <w:sz w:val="21"/>
              </w:rPr>
            </w:pPr>
          </w:p>
        </w:tc>
        <w:tc>
          <w:tcPr>
            <w:tcW w:w="1447" w:type="dxa"/>
            <w:vAlign w:val="top"/>
          </w:tcPr>
          <w:p w14:paraId="255A7606">
            <w:pPr>
              <w:spacing w:before="31" w:line="275"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r>
      <w:tr w14:paraId="0900C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2880113E">
            <w:pPr>
              <w:pStyle w:val="6"/>
              <w:spacing w:before="32" w:line="274" w:lineRule="exact"/>
              <w:ind w:left="639"/>
            </w:pPr>
            <w:r>
              <w:rPr>
                <w:spacing w:val="4"/>
                <w:position w:val="2"/>
              </w:rPr>
              <w:t>苯并</w:t>
            </w:r>
            <w:r>
              <w:rPr>
                <w:rFonts w:ascii="Times New Roman" w:hAnsi="Times New Roman" w:eastAsia="Times New Roman" w:cs="Times New Roman"/>
                <w:spacing w:val="4"/>
                <w:position w:val="2"/>
              </w:rPr>
              <w:t>(a)</w:t>
            </w:r>
            <w:r>
              <w:rPr>
                <w:spacing w:val="4"/>
                <w:position w:val="2"/>
              </w:rPr>
              <w:t>芘</w:t>
            </w:r>
          </w:p>
        </w:tc>
        <w:tc>
          <w:tcPr>
            <w:tcW w:w="3116" w:type="dxa"/>
            <w:vMerge w:val="continue"/>
            <w:tcBorders>
              <w:top w:val="nil"/>
              <w:bottom w:val="nil"/>
            </w:tcBorders>
            <w:vAlign w:val="top"/>
          </w:tcPr>
          <w:p w14:paraId="3662D0DC">
            <w:pPr>
              <w:rPr>
                <w:rFonts w:ascii="Arial"/>
                <w:sz w:val="21"/>
              </w:rPr>
            </w:pPr>
          </w:p>
        </w:tc>
        <w:tc>
          <w:tcPr>
            <w:tcW w:w="2036" w:type="dxa"/>
            <w:vMerge w:val="continue"/>
            <w:tcBorders>
              <w:top w:val="nil"/>
              <w:bottom w:val="nil"/>
            </w:tcBorders>
            <w:vAlign w:val="top"/>
          </w:tcPr>
          <w:p w14:paraId="6EE6716D">
            <w:pPr>
              <w:rPr>
                <w:rFonts w:ascii="Arial"/>
                <w:sz w:val="21"/>
              </w:rPr>
            </w:pPr>
          </w:p>
        </w:tc>
        <w:tc>
          <w:tcPr>
            <w:tcW w:w="1447" w:type="dxa"/>
            <w:vAlign w:val="top"/>
          </w:tcPr>
          <w:p w14:paraId="781C1CA2">
            <w:pPr>
              <w:spacing w:before="32" w:line="274"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r>
      <w:tr w14:paraId="31F95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10BB2DBF">
            <w:pPr>
              <w:pStyle w:val="6"/>
              <w:spacing w:before="32" w:line="274" w:lineRule="exact"/>
              <w:ind w:left="529"/>
            </w:pPr>
            <w:r>
              <w:rPr>
                <w:spacing w:val="5"/>
                <w:position w:val="2"/>
              </w:rPr>
              <w:t>苯并</w:t>
            </w:r>
            <w:r>
              <w:rPr>
                <w:rFonts w:ascii="Times New Roman" w:hAnsi="Times New Roman" w:eastAsia="Times New Roman" w:cs="Times New Roman"/>
                <w:spacing w:val="5"/>
                <w:position w:val="2"/>
              </w:rPr>
              <w:t>(b)</w:t>
            </w:r>
            <w:r>
              <w:rPr>
                <w:spacing w:val="5"/>
                <w:position w:val="2"/>
              </w:rPr>
              <w:t>荧蒽</w:t>
            </w:r>
          </w:p>
        </w:tc>
        <w:tc>
          <w:tcPr>
            <w:tcW w:w="3116" w:type="dxa"/>
            <w:vMerge w:val="continue"/>
            <w:tcBorders>
              <w:top w:val="nil"/>
              <w:bottom w:val="nil"/>
            </w:tcBorders>
            <w:vAlign w:val="top"/>
          </w:tcPr>
          <w:p w14:paraId="22A9FB35">
            <w:pPr>
              <w:rPr>
                <w:rFonts w:ascii="Arial"/>
                <w:sz w:val="21"/>
              </w:rPr>
            </w:pPr>
          </w:p>
        </w:tc>
        <w:tc>
          <w:tcPr>
            <w:tcW w:w="2036" w:type="dxa"/>
            <w:vMerge w:val="continue"/>
            <w:tcBorders>
              <w:top w:val="nil"/>
              <w:bottom w:val="nil"/>
            </w:tcBorders>
            <w:vAlign w:val="top"/>
          </w:tcPr>
          <w:p w14:paraId="5A590056">
            <w:pPr>
              <w:rPr>
                <w:rFonts w:ascii="Arial"/>
                <w:sz w:val="21"/>
              </w:rPr>
            </w:pPr>
          </w:p>
        </w:tc>
        <w:tc>
          <w:tcPr>
            <w:tcW w:w="1447" w:type="dxa"/>
            <w:vAlign w:val="top"/>
          </w:tcPr>
          <w:p w14:paraId="32951A70">
            <w:pPr>
              <w:spacing w:before="32" w:line="274"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0.2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r>
      <w:tr w14:paraId="757CF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1042C74C">
            <w:pPr>
              <w:pStyle w:val="6"/>
              <w:spacing w:before="33" w:line="274" w:lineRule="exact"/>
              <w:ind w:left="529"/>
            </w:pPr>
            <w:r>
              <w:rPr>
                <w:spacing w:val="5"/>
                <w:position w:val="2"/>
              </w:rPr>
              <w:t>苯并</w:t>
            </w:r>
            <w:r>
              <w:rPr>
                <w:rFonts w:ascii="Times New Roman" w:hAnsi="Times New Roman" w:eastAsia="Times New Roman" w:cs="Times New Roman"/>
                <w:spacing w:val="5"/>
                <w:position w:val="2"/>
              </w:rPr>
              <w:t>(k)</w:t>
            </w:r>
            <w:r>
              <w:rPr>
                <w:spacing w:val="5"/>
                <w:position w:val="2"/>
              </w:rPr>
              <w:t>荧蒽</w:t>
            </w:r>
          </w:p>
        </w:tc>
        <w:tc>
          <w:tcPr>
            <w:tcW w:w="3116" w:type="dxa"/>
            <w:vMerge w:val="continue"/>
            <w:tcBorders>
              <w:top w:val="nil"/>
              <w:bottom w:val="nil"/>
            </w:tcBorders>
            <w:vAlign w:val="top"/>
          </w:tcPr>
          <w:p w14:paraId="17C7356A">
            <w:pPr>
              <w:rPr>
                <w:rFonts w:ascii="Arial"/>
                <w:sz w:val="21"/>
              </w:rPr>
            </w:pPr>
          </w:p>
        </w:tc>
        <w:tc>
          <w:tcPr>
            <w:tcW w:w="2036" w:type="dxa"/>
            <w:vMerge w:val="continue"/>
            <w:tcBorders>
              <w:top w:val="nil"/>
              <w:bottom w:val="nil"/>
            </w:tcBorders>
            <w:vAlign w:val="top"/>
          </w:tcPr>
          <w:p w14:paraId="2B1E1EC2">
            <w:pPr>
              <w:rPr>
                <w:rFonts w:ascii="Arial"/>
                <w:sz w:val="21"/>
              </w:rPr>
            </w:pPr>
          </w:p>
        </w:tc>
        <w:tc>
          <w:tcPr>
            <w:tcW w:w="1447" w:type="dxa"/>
            <w:vAlign w:val="top"/>
          </w:tcPr>
          <w:p w14:paraId="686D4DF0">
            <w:pPr>
              <w:spacing w:before="33" w:line="274"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r>
      <w:tr w14:paraId="7BE0C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1C2B4C81">
            <w:pPr>
              <w:pStyle w:val="6"/>
              <w:spacing w:before="64" w:line="230" w:lineRule="auto"/>
              <w:ind w:left="962"/>
            </w:pPr>
            <w:r>
              <w:rPr>
                <w:spacing w:val="2"/>
              </w:rPr>
              <w:t>䓛</w:t>
            </w:r>
          </w:p>
        </w:tc>
        <w:tc>
          <w:tcPr>
            <w:tcW w:w="3116" w:type="dxa"/>
            <w:vMerge w:val="continue"/>
            <w:tcBorders>
              <w:top w:val="nil"/>
              <w:bottom w:val="nil"/>
            </w:tcBorders>
            <w:vAlign w:val="top"/>
          </w:tcPr>
          <w:p w14:paraId="40A33C44">
            <w:pPr>
              <w:rPr>
                <w:rFonts w:ascii="Arial"/>
                <w:sz w:val="21"/>
              </w:rPr>
            </w:pPr>
          </w:p>
        </w:tc>
        <w:tc>
          <w:tcPr>
            <w:tcW w:w="2036" w:type="dxa"/>
            <w:vMerge w:val="continue"/>
            <w:tcBorders>
              <w:top w:val="nil"/>
              <w:bottom w:val="nil"/>
            </w:tcBorders>
            <w:vAlign w:val="top"/>
          </w:tcPr>
          <w:p w14:paraId="2190896E">
            <w:pPr>
              <w:rPr>
                <w:rFonts w:ascii="Arial"/>
                <w:sz w:val="21"/>
              </w:rPr>
            </w:pPr>
          </w:p>
        </w:tc>
        <w:tc>
          <w:tcPr>
            <w:tcW w:w="1447" w:type="dxa"/>
            <w:vAlign w:val="top"/>
          </w:tcPr>
          <w:p w14:paraId="34DB2050">
            <w:pPr>
              <w:spacing w:before="33" w:line="274"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r>
      <w:tr w14:paraId="641B2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6F2D0A11">
            <w:pPr>
              <w:pStyle w:val="6"/>
              <w:spacing w:before="31" w:line="274" w:lineRule="exact"/>
              <w:ind w:left="431"/>
            </w:pPr>
            <w:r>
              <w:rPr>
                <w:spacing w:val="4"/>
                <w:position w:val="2"/>
              </w:rPr>
              <w:t>二苯并</w:t>
            </w:r>
            <w:r>
              <w:rPr>
                <w:rFonts w:ascii="Times New Roman" w:hAnsi="Times New Roman" w:eastAsia="Times New Roman" w:cs="Times New Roman"/>
                <w:spacing w:val="4"/>
                <w:position w:val="2"/>
              </w:rPr>
              <w:t>[a, h]</w:t>
            </w:r>
            <w:r>
              <w:rPr>
                <w:spacing w:val="4"/>
                <w:position w:val="2"/>
              </w:rPr>
              <w:t>蒽</w:t>
            </w:r>
          </w:p>
        </w:tc>
        <w:tc>
          <w:tcPr>
            <w:tcW w:w="3116" w:type="dxa"/>
            <w:vMerge w:val="continue"/>
            <w:tcBorders>
              <w:top w:val="nil"/>
              <w:bottom w:val="nil"/>
            </w:tcBorders>
            <w:vAlign w:val="top"/>
          </w:tcPr>
          <w:p w14:paraId="1DEDC247">
            <w:pPr>
              <w:rPr>
                <w:rFonts w:ascii="Arial"/>
                <w:sz w:val="21"/>
              </w:rPr>
            </w:pPr>
          </w:p>
        </w:tc>
        <w:tc>
          <w:tcPr>
            <w:tcW w:w="2036" w:type="dxa"/>
            <w:vMerge w:val="continue"/>
            <w:tcBorders>
              <w:top w:val="nil"/>
              <w:bottom w:val="nil"/>
            </w:tcBorders>
            <w:vAlign w:val="top"/>
          </w:tcPr>
          <w:p w14:paraId="5C8B8C6D">
            <w:pPr>
              <w:rPr>
                <w:rFonts w:ascii="Arial"/>
                <w:sz w:val="21"/>
              </w:rPr>
            </w:pPr>
          </w:p>
        </w:tc>
        <w:tc>
          <w:tcPr>
            <w:tcW w:w="1447" w:type="dxa"/>
            <w:vAlign w:val="top"/>
          </w:tcPr>
          <w:p w14:paraId="4FE80CED">
            <w:pPr>
              <w:spacing w:before="31" w:line="274"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r>
      <w:tr w14:paraId="31B97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0DF50132">
            <w:pPr>
              <w:pStyle w:val="6"/>
              <w:spacing w:before="31" w:line="275" w:lineRule="exact"/>
              <w:ind w:left="346"/>
            </w:pPr>
            <w:r>
              <w:rPr>
                <w:spacing w:val="5"/>
                <w:position w:val="2"/>
              </w:rPr>
              <w:t>茚并</w:t>
            </w:r>
            <w:r>
              <w:rPr>
                <w:rFonts w:ascii="Times New Roman" w:hAnsi="Times New Roman" w:eastAsia="Times New Roman" w:cs="Times New Roman"/>
                <w:spacing w:val="5"/>
                <w:position w:val="2"/>
              </w:rPr>
              <w:t>[1,2,3-</w:t>
            </w:r>
            <w:r>
              <w:rPr>
                <w:rFonts w:ascii="Times New Roman" w:hAnsi="Times New Roman" w:eastAsia="Times New Roman" w:cs="Times New Roman"/>
                <w:position w:val="2"/>
              </w:rPr>
              <w:t>cd</w:t>
            </w:r>
            <w:r>
              <w:rPr>
                <w:rFonts w:ascii="Times New Roman" w:hAnsi="Times New Roman" w:eastAsia="Times New Roman" w:cs="Times New Roman"/>
                <w:spacing w:val="5"/>
                <w:position w:val="2"/>
              </w:rPr>
              <w:t>]</w:t>
            </w:r>
            <w:r>
              <w:rPr>
                <w:spacing w:val="5"/>
                <w:position w:val="2"/>
              </w:rPr>
              <w:t>芘</w:t>
            </w:r>
          </w:p>
        </w:tc>
        <w:tc>
          <w:tcPr>
            <w:tcW w:w="3116" w:type="dxa"/>
            <w:vMerge w:val="continue"/>
            <w:tcBorders>
              <w:top w:val="nil"/>
              <w:bottom w:val="nil"/>
            </w:tcBorders>
            <w:vAlign w:val="top"/>
          </w:tcPr>
          <w:p w14:paraId="662519C0">
            <w:pPr>
              <w:rPr>
                <w:rFonts w:ascii="Arial"/>
                <w:sz w:val="21"/>
              </w:rPr>
            </w:pPr>
          </w:p>
        </w:tc>
        <w:tc>
          <w:tcPr>
            <w:tcW w:w="2036" w:type="dxa"/>
            <w:vMerge w:val="continue"/>
            <w:tcBorders>
              <w:top w:val="nil"/>
              <w:bottom w:val="nil"/>
            </w:tcBorders>
            <w:vAlign w:val="top"/>
          </w:tcPr>
          <w:p w14:paraId="4879029C">
            <w:pPr>
              <w:rPr>
                <w:rFonts w:ascii="Arial"/>
                <w:sz w:val="21"/>
              </w:rPr>
            </w:pPr>
          </w:p>
        </w:tc>
        <w:tc>
          <w:tcPr>
            <w:tcW w:w="1447" w:type="dxa"/>
            <w:vAlign w:val="top"/>
          </w:tcPr>
          <w:p w14:paraId="261AA696">
            <w:pPr>
              <w:spacing w:before="31" w:line="275"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r>
      <w:tr w14:paraId="4D199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25" w:type="dxa"/>
            <w:vAlign w:val="top"/>
          </w:tcPr>
          <w:p w14:paraId="017894E6">
            <w:pPr>
              <w:pStyle w:val="6"/>
              <w:spacing w:before="63" w:line="229" w:lineRule="auto"/>
              <w:ind w:left="964"/>
            </w:pPr>
            <w:r>
              <w:t>萘</w:t>
            </w:r>
          </w:p>
        </w:tc>
        <w:tc>
          <w:tcPr>
            <w:tcW w:w="3116" w:type="dxa"/>
            <w:vMerge w:val="continue"/>
            <w:tcBorders>
              <w:top w:val="nil"/>
              <w:bottom w:val="nil"/>
            </w:tcBorders>
            <w:vAlign w:val="top"/>
          </w:tcPr>
          <w:p w14:paraId="1EA3690B">
            <w:pPr>
              <w:rPr>
                <w:rFonts w:ascii="Arial"/>
                <w:sz w:val="21"/>
              </w:rPr>
            </w:pPr>
          </w:p>
        </w:tc>
        <w:tc>
          <w:tcPr>
            <w:tcW w:w="2036" w:type="dxa"/>
            <w:vMerge w:val="continue"/>
            <w:tcBorders>
              <w:top w:val="nil"/>
              <w:bottom w:val="nil"/>
            </w:tcBorders>
            <w:vAlign w:val="top"/>
          </w:tcPr>
          <w:p w14:paraId="52657813">
            <w:pPr>
              <w:rPr>
                <w:rFonts w:ascii="Arial"/>
                <w:sz w:val="21"/>
              </w:rPr>
            </w:pPr>
          </w:p>
        </w:tc>
        <w:tc>
          <w:tcPr>
            <w:tcW w:w="1447" w:type="dxa"/>
            <w:vAlign w:val="top"/>
          </w:tcPr>
          <w:p w14:paraId="5A1C06C1">
            <w:pPr>
              <w:spacing w:before="32" w:line="274" w:lineRule="exact"/>
              <w:ind w:left="276"/>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0.09</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kg</w:t>
            </w:r>
          </w:p>
        </w:tc>
      </w:tr>
      <w:tr w14:paraId="39617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25" w:type="dxa"/>
            <w:vAlign w:val="top"/>
          </w:tcPr>
          <w:p w14:paraId="3F36A52F">
            <w:pPr>
              <w:pStyle w:val="6"/>
              <w:spacing w:before="63" w:line="228" w:lineRule="auto"/>
              <w:ind w:left="860"/>
            </w:pPr>
            <w:r>
              <w:rPr>
                <w:spacing w:val="3"/>
              </w:rPr>
              <w:t>苯胺</w:t>
            </w:r>
          </w:p>
        </w:tc>
        <w:tc>
          <w:tcPr>
            <w:tcW w:w="3116" w:type="dxa"/>
            <w:vMerge w:val="continue"/>
            <w:tcBorders>
              <w:top w:val="nil"/>
            </w:tcBorders>
            <w:vAlign w:val="top"/>
          </w:tcPr>
          <w:p w14:paraId="02BFF1F4">
            <w:pPr>
              <w:rPr>
                <w:rFonts w:ascii="Arial"/>
                <w:sz w:val="21"/>
              </w:rPr>
            </w:pPr>
          </w:p>
        </w:tc>
        <w:tc>
          <w:tcPr>
            <w:tcW w:w="2036" w:type="dxa"/>
            <w:vMerge w:val="continue"/>
            <w:tcBorders>
              <w:top w:val="nil"/>
            </w:tcBorders>
            <w:vAlign w:val="top"/>
          </w:tcPr>
          <w:p w14:paraId="5EBB81C3">
            <w:pPr>
              <w:rPr>
                <w:rFonts w:ascii="Arial"/>
                <w:sz w:val="21"/>
              </w:rPr>
            </w:pPr>
          </w:p>
        </w:tc>
        <w:tc>
          <w:tcPr>
            <w:tcW w:w="1447" w:type="dxa"/>
            <w:vAlign w:val="top"/>
          </w:tcPr>
          <w:p w14:paraId="137E11E6">
            <w:pPr>
              <w:spacing w:before="32" w:line="274"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0.1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kg</w:t>
            </w:r>
          </w:p>
        </w:tc>
      </w:tr>
    </w:tbl>
    <w:p w14:paraId="6FD0BE65">
      <w:pPr>
        <w:pStyle w:val="2"/>
        <w:spacing w:line="248" w:lineRule="auto"/>
      </w:pPr>
    </w:p>
    <w:p w14:paraId="693BDBF2">
      <w:pPr>
        <w:pStyle w:val="2"/>
        <w:spacing w:line="249" w:lineRule="auto"/>
      </w:pPr>
    </w:p>
    <w:p w14:paraId="590BC99A">
      <w:pPr>
        <w:spacing w:before="78" w:line="361" w:lineRule="exact"/>
        <w:ind w:left="484"/>
        <w:rPr>
          <w:rFonts w:ascii="宋体" w:hAnsi="宋体" w:eastAsia="宋体" w:cs="宋体"/>
          <w:sz w:val="24"/>
          <w:szCs w:val="24"/>
        </w:rPr>
      </w:pPr>
      <w:r>
        <w:rPr>
          <w:rFonts w:ascii="Times New Roman" w:hAnsi="Times New Roman" w:eastAsia="Times New Roman" w:cs="Times New Roman"/>
          <w:spacing w:val="-5"/>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5"/>
          <w:position w:val="2"/>
          <w:sz w:val="24"/>
          <w:szCs w:val="24"/>
        </w:rPr>
        <w:t>、监测结果</w:t>
      </w:r>
    </w:p>
    <w:p w14:paraId="6E0FEA30">
      <w:pPr>
        <w:spacing w:before="128" w:line="359" w:lineRule="exact"/>
        <w:ind w:left="493"/>
        <w:rPr>
          <w:rFonts w:ascii="宋体" w:hAnsi="宋体" w:eastAsia="宋体" w:cs="宋体"/>
          <w:sz w:val="24"/>
          <w:szCs w:val="24"/>
        </w:rPr>
      </w:pPr>
      <w:r>
        <w:rPr>
          <w:rFonts w:ascii="宋体" w:hAnsi="宋体" w:eastAsia="宋体" w:cs="宋体"/>
          <w:spacing w:val="1"/>
          <w:position w:val="2"/>
          <w:sz w:val="24"/>
          <w:szCs w:val="24"/>
        </w:rPr>
        <w:t>项目土壤采样点土壤理化特性、监测数据见表</w:t>
      </w:r>
      <w:r>
        <w:rPr>
          <w:rFonts w:ascii="Times New Roman" w:hAnsi="Times New Roman" w:eastAsia="Times New Roman" w:cs="Times New Roman"/>
          <w:spacing w:val="1"/>
          <w:position w:val="2"/>
          <w:sz w:val="24"/>
          <w:szCs w:val="24"/>
        </w:rPr>
        <w:t>4.5-3~4.5-4</w:t>
      </w:r>
      <w:r>
        <w:rPr>
          <w:rFonts w:ascii="宋体" w:hAnsi="宋体" w:eastAsia="宋体" w:cs="宋体"/>
          <w:spacing w:val="1"/>
          <w:position w:val="2"/>
          <w:sz w:val="24"/>
          <w:szCs w:val="24"/>
        </w:rPr>
        <w:t>。</w:t>
      </w:r>
    </w:p>
    <w:p w14:paraId="0B6DE79A">
      <w:pPr>
        <w:spacing w:line="359" w:lineRule="exact"/>
        <w:rPr>
          <w:rFonts w:ascii="宋体" w:hAnsi="宋体" w:eastAsia="宋体" w:cs="宋体"/>
          <w:sz w:val="24"/>
          <w:szCs w:val="24"/>
        </w:rPr>
        <w:sectPr>
          <w:footerReference r:id="rId108" w:type="default"/>
          <w:pgSz w:w="11906" w:h="16839"/>
          <w:pgMar w:top="400" w:right="1588" w:bottom="1485" w:left="1588" w:header="0" w:footer="1249" w:gutter="0"/>
          <w:cols w:space="720" w:num="1"/>
        </w:sectPr>
      </w:pPr>
    </w:p>
    <w:p w14:paraId="08C83693">
      <w:pPr>
        <w:pStyle w:val="2"/>
        <w:spacing w:line="271" w:lineRule="auto"/>
      </w:pPr>
    </w:p>
    <w:p w14:paraId="00248400">
      <w:pPr>
        <w:pStyle w:val="2"/>
        <w:spacing w:line="271" w:lineRule="auto"/>
      </w:pPr>
    </w:p>
    <w:p w14:paraId="5A7DA381">
      <w:pPr>
        <w:pStyle w:val="2"/>
        <w:spacing w:line="271" w:lineRule="auto"/>
      </w:pPr>
    </w:p>
    <w:p w14:paraId="377D6287">
      <w:pPr>
        <w:pStyle w:val="2"/>
        <w:spacing w:line="272" w:lineRule="auto"/>
      </w:pPr>
    </w:p>
    <w:p w14:paraId="5D462AFC">
      <w:pPr>
        <w:spacing w:before="65" w:line="228" w:lineRule="auto"/>
        <w:ind w:left="3372"/>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b/>
          <w:bCs/>
          <w:spacing w:val="5"/>
          <w:sz w:val="20"/>
          <w:szCs w:val="20"/>
        </w:rPr>
        <w:t xml:space="preserve">4.5-3 </w:t>
      </w:r>
      <w:r>
        <w:rPr>
          <w:rFonts w:ascii="宋体" w:hAnsi="宋体" w:eastAsia="宋体" w:cs="宋体"/>
          <w:b/>
          <w:bCs/>
          <w:spacing w:val="5"/>
          <w:sz w:val="20"/>
          <w:szCs w:val="20"/>
        </w:rPr>
        <w:t>土壤理化特性调查表</w:t>
      </w:r>
    </w:p>
    <w:p w14:paraId="53DA0273">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
        <w:gridCol w:w="2855"/>
        <w:gridCol w:w="1828"/>
        <w:gridCol w:w="1828"/>
        <w:gridCol w:w="1947"/>
      </w:tblGrid>
      <w:tr w14:paraId="55F8B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347" w:type="dxa"/>
            <w:gridSpan w:val="2"/>
            <w:vAlign w:val="top"/>
          </w:tcPr>
          <w:p w14:paraId="154058B0">
            <w:pPr>
              <w:pStyle w:val="6"/>
              <w:spacing w:before="61" w:line="231" w:lineRule="auto"/>
              <w:ind w:left="1480"/>
            </w:pPr>
            <w:r>
              <w:rPr>
                <w:spacing w:val="-1"/>
              </w:rPr>
              <w:t>时间</w:t>
            </w:r>
          </w:p>
        </w:tc>
        <w:tc>
          <w:tcPr>
            <w:tcW w:w="5603" w:type="dxa"/>
            <w:gridSpan w:val="3"/>
            <w:vAlign w:val="top"/>
          </w:tcPr>
          <w:p w14:paraId="55D66BEF">
            <w:pPr>
              <w:spacing w:before="31" w:line="274" w:lineRule="exact"/>
              <w:ind w:left="23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2019.11.12</w:t>
            </w:r>
          </w:p>
        </w:tc>
      </w:tr>
      <w:tr w14:paraId="7ABE4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347" w:type="dxa"/>
            <w:gridSpan w:val="2"/>
            <w:vAlign w:val="top"/>
          </w:tcPr>
          <w:p w14:paraId="5125E014">
            <w:pPr>
              <w:pStyle w:val="6"/>
              <w:spacing w:before="58" w:line="230" w:lineRule="auto"/>
              <w:ind w:left="1477"/>
            </w:pPr>
            <w:r>
              <w:rPr>
                <w:spacing w:val="1"/>
              </w:rPr>
              <w:t>点号</w:t>
            </w:r>
          </w:p>
        </w:tc>
        <w:tc>
          <w:tcPr>
            <w:tcW w:w="1828" w:type="dxa"/>
            <w:vAlign w:val="top"/>
          </w:tcPr>
          <w:p w14:paraId="26BF068B">
            <w:pPr>
              <w:spacing w:before="27" w:line="274" w:lineRule="exact"/>
              <w:ind w:left="802"/>
              <w:rPr>
                <w:rFonts w:ascii="Times New Roman" w:hAnsi="Times New Roman" w:eastAsia="Times New Roman" w:cs="Times New Roman"/>
                <w:sz w:val="20"/>
                <w:szCs w:val="20"/>
              </w:rPr>
            </w:pPr>
            <w:r>
              <w:rPr>
                <w:rFonts w:ascii="Times New Roman" w:hAnsi="Times New Roman" w:eastAsia="Times New Roman" w:cs="Times New Roman"/>
                <w:spacing w:val="11"/>
                <w:position w:val="1"/>
                <w:sz w:val="20"/>
                <w:szCs w:val="20"/>
              </w:rPr>
              <w:t>T1</w:t>
            </w:r>
          </w:p>
        </w:tc>
        <w:tc>
          <w:tcPr>
            <w:tcW w:w="1828" w:type="dxa"/>
            <w:vAlign w:val="top"/>
          </w:tcPr>
          <w:p w14:paraId="1B2144E8">
            <w:pPr>
              <w:spacing w:before="27" w:line="274" w:lineRule="exact"/>
              <w:ind w:left="80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T2</w:t>
            </w:r>
          </w:p>
        </w:tc>
        <w:tc>
          <w:tcPr>
            <w:tcW w:w="1947" w:type="dxa"/>
            <w:vAlign w:val="top"/>
          </w:tcPr>
          <w:p w14:paraId="33A002B6">
            <w:pPr>
              <w:spacing w:before="27" w:line="274" w:lineRule="exact"/>
              <w:ind w:left="86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T3</w:t>
            </w:r>
          </w:p>
        </w:tc>
      </w:tr>
      <w:tr w14:paraId="52D48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3347" w:type="dxa"/>
            <w:gridSpan w:val="2"/>
            <w:vAlign w:val="top"/>
          </w:tcPr>
          <w:p w14:paraId="7DC05753">
            <w:pPr>
              <w:pStyle w:val="6"/>
              <w:spacing w:before="59" w:line="229" w:lineRule="auto"/>
              <w:ind w:left="1366"/>
            </w:pPr>
            <w:r>
              <w:rPr>
                <w:spacing w:val="6"/>
              </w:rPr>
              <w:t>经纬度</w:t>
            </w:r>
          </w:p>
        </w:tc>
        <w:tc>
          <w:tcPr>
            <w:tcW w:w="1828" w:type="dxa"/>
            <w:vAlign w:val="top"/>
          </w:tcPr>
          <w:p w14:paraId="30AF6343">
            <w:pPr>
              <w:pStyle w:val="6"/>
              <w:spacing w:before="28" w:line="274" w:lineRule="exact"/>
              <w:ind w:left="147"/>
            </w:pPr>
            <w:r>
              <w:rPr>
                <w:rFonts w:ascii="Times New Roman" w:hAnsi="Times New Roman" w:eastAsia="Times New Roman" w:cs="Times New Roman"/>
                <w:spacing w:val="3"/>
                <w:position w:val="2"/>
              </w:rPr>
              <w:t>E</w:t>
            </w:r>
            <w:r>
              <w:rPr>
                <w:spacing w:val="3"/>
                <w:position w:val="2"/>
              </w:rPr>
              <w:t>：</w:t>
            </w:r>
            <w:r>
              <w:rPr>
                <w:rFonts w:ascii="Times New Roman" w:hAnsi="Times New Roman" w:eastAsia="Times New Roman" w:cs="Times New Roman"/>
                <w:spacing w:val="3"/>
                <w:position w:val="2"/>
              </w:rPr>
              <w:t>115.413135</w:t>
            </w:r>
            <w:r>
              <w:rPr>
                <w:spacing w:val="3"/>
                <w:position w:val="2"/>
              </w:rPr>
              <w:t>；</w:t>
            </w:r>
          </w:p>
          <w:p w14:paraId="439D7D94">
            <w:pPr>
              <w:pStyle w:val="6"/>
              <w:spacing w:before="52" w:line="274" w:lineRule="exact"/>
              <w:ind w:left="282"/>
              <w:rPr>
                <w:rFonts w:ascii="Times New Roman" w:hAnsi="Times New Roman" w:eastAsia="Times New Roman" w:cs="Times New Roman"/>
              </w:rPr>
            </w:pPr>
            <w:r>
              <w:rPr>
                <w:rFonts w:ascii="Times New Roman" w:hAnsi="Times New Roman" w:eastAsia="Times New Roman" w:cs="Times New Roman"/>
                <w:spacing w:val="5"/>
                <w:position w:val="2"/>
              </w:rPr>
              <w:t>N</w:t>
            </w:r>
            <w:r>
              <w:rPr>
                <w:spacing w:val="5"/>
                <w:position w:val="2"/>
              </w:rPr>
              <w:t>：</w:t>
            </w:r>
            <w:r>
              <w:rPr>
                <w:rFonts w:ascii="Times New Roman" w:hAnsi="Times New Roman" w:eastAsia="Times New Roman" w:cs="Times New Roman"/>
                <w:spacing w:val="5"/>
                <w:position w:val="2"/>
              </w:rPr>
              <w:t>23.031982</w:t>
            </w:r>
          </w:p>
        </w:tc>
        <w:tc>
          <w:tcPr>
            <w:tcW w:w="1828" w:type="dxa"/>
            <w:vAlign w:val="top"/>
          </w:tcPr>
          <w:p w14:paraId="493FC2D3">
            <w:pPr>
              <w:pStyle w:val="6"/>
              <w:spacing w:before="28" w:line="274" w:lineRule="exact"/>
              <w:ind w:left="148"/>
            </w:pPr>
            <w:r>
              <w:rPr>
                <w:rFonts w:ascii="Times New Roman" w:hAnsi="Times New Roman" w:eastAsia="Times New Roman" w:cs="Times New Roman"/>
                <w:spacing w:val="3"/>
                <w:position w:val="2"/>
              </w:rPr>
              <w:t>E</w:t>
            </w:r>
            <w:r>
              <w:rPr>
                <w:spacing w:val="3"/>
                <w:position w:val="2"/>
              </w:rPr>
              <w:t>：</w:t>
            </w:r>
            <w:r>
              <w:rPr>
                <w:rFonts w:ascii="Times New Roman" w:hAnsi="Times New Roman" w:eastAsia="Times New Roman" w:cs="Times New Roman"/>
                <w:spacing w:val="3"/>
                <w:position w:val="2"/>
              </w:rPr>
              <w:t>115.413533</w:t>
            </w:r>
            <w:r>
              <w:rPr>
                <w:spacing w:val="3"/>
                <w:position w:val="2"/>
              </w:rPr>
              <w:t>；</w:t>
            </w:r>
          </w:p>
          <w:p w14:paraId="2E8FBAF7">
            <w:pPr>
              <w:pStyle w:val="6"/>
              <w:spacing w:before="52" w:line="274" w:lineRule="exact"/>
              <w:ind w:left="283"/>
              <w:rPr>
                <w:rFonts w:ascii="Times New Roman" w:hAnsi="Times New Roman" w:eastAsia="Times New Roman" w:cs="Times New Roman"/>
              </w:rPr>
            </w:pPr>
            <w:r>
              <w:rPr>
                <w:rFonts w:ascii="Times New Roman" w:hAnsi="Times New Roman" w:eastAsia="Times New Roman" w:cs="Times New Roman"/>
                <w:spacing w:val="5"/>
                <w:position w:val="2"/>
              </w:rPr>
              <w:t>N</w:t>
            </w:r>
            <w:r>
              <w:rPr>
                <w:spacing w:val="5"/>
                <w:position w:val="2"/>
              </w:rPr>
              <w:t>：</w:t>
            </w:r>
            <w:r>
              <w:rPr>
                <w:rFonts w:ascii="Times New Roman" w:hAnsi="Times New Roman" w:eastAsia="Times New Roman" w:cs="Times New Roman"/>
                <w:spacing w:val="5"/>
                <w:position w:val="2"/>
              </w:rPr>
              <w:t>23.032226</w:t>
            </w:r>
          </w:p>
        </w:tc>
        <w:tc>
          <w:tcPr>
            <w:tcW w:w="1947" w:type="dxa"/>
            <w:vAlign w:val="top"/>
          </w:tcPr>
          <w:p w14:paraId="6B730FE3">
            <w:pPr>
              <w:pStyle w:val="6"/>
              <w:spacing w:before="28" w:line="274" w:lineRule="exact"/>
              <w:ind w:left="312"/>
              <w:rPr>
                <w:rFonts w:ascii="Times New Roman" w:hAnsi="Times New Roman" w:eastAsia="Times New Roman" w:cs="Times New Roman"/>
              </w:rPr>
            </w:pPr>
            <w:r>
              <w:rPr>
                <w:rFonts w:ascii="Times New Roman" w:hAnsi="Times New Roman" w:eastAsia="Times New Roman" w:cs="Times New Roman"/>
                <w:spacing w:val="4"/>
                <w:position w:val="2"/>
              </w:rPr>
              <w:t>E</w:t>
            </w:r>
            <w:r>
              <w:rPr>
                <w:spacing w:val="4"/>
                <w:position w:val="2"/>
              </w:rPr>
              <w:t>：</w:t>
            </w:r>
            <w:r>
              <w:rPr>
                <w:rFonts w:ascii="Times New Roman" w:hAnsi="Times New Roman" w:eastAsia="Times New Roman" w:cs="Times New Roman"/>
                <w:spacing w:val="4"/>
                <w:position w:val="2"/>
              </w:rPr>
              <w:t>115.412757</w:t>
            </w:r>
          </w:p>
          <w:p w14:paraId="55EB49F3">
            <w:pPr>
              <w:pStyle w:val="6"/>
              <w:spacing w:before="52" w:line="274" w:lineRule="exact"/>
              <w:ind w:left="346"/>
              <w:rPr>
                <w:rFonts w:ascii="Times New Roman" w:hAnsi="Times New Roman" w:eastAsia="Times New Roman" w:cs="Times New Roman"/>
              </w:rPr>
            </w:pPr>
            <w:r>
              <w:rPr>
                <w:rFonts w:ascii="Times New Roman" w:hAnsi="Times New Roman" w:eastAsia="Times New Roman" w:cs="Times New Roman"/>
                <w:spacing w:val="4"/>
                <w:position w:val="2"/>
              </w:rPr>
              <w:t>N</w:t>
            </w:r>
            <w:r>
              <w:rPr>
                <w:spacing w:val="4"/>
                <w:position w:val="2"/>
              </w:rPr>
              <w:t>：</w:t>
            </w:r>
            <w:r>
              <w:rPr>
                <w:rFonts w:ascii="Times New Roman" w:hAnsi="Times New Roman" w:eastAsia="Times New Roman" w:cs="Times New Roman"/>
                <w:spacing w:val="4"/>
                <w:position w:val="2"/>
              </w:rPr>
              <w:t>23.031145</w:t>
            </w:r>
          </w:p>
        </w:tc>
      </w:tr>
      <w:tr w14:paraId="4B1AE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347" w:type="dxa"/>
            <w:gridSpan w:val="2"/>
            <w:vAlign w:val="top"/>
          </w:tcPr>
          <w:p w14:paraId="5649F337">
            <w:pPr>
              <w:pStyle w:val="6"/>
              <w:spacing w:before="61" w:line="228" w:lineRule="auto"/>
              <w:ind w:left="1470"/>
            </w:pPr>
            <w:r>
              <w:rPr>
                <w:spacing w:val="4"/>
              </w:rPr>
              <w:t>层次</w:t>
            </w:r>
          </w:p>
        </w:tc>
        <w:tc>
          <w:tcPr>
            <w:tcW w:w="1828" w:type="dxa"/>
            <w:vAlign w:val="top"/>
          </w:tcPr>
          <w:p w14:paraId="0133E030">
            <w:pPr>
              <w:spacing w:before="29" w:line="275" w:lineRule="exact"/>
              <w:ind w:left="5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0~0.2m</w:t>
            </w:r>
          </w:p>
        </w:tc>
        <w:tc>
          <w:tcPr>
            <w:tcW w:w="1828" w:type="dxa"/>
            <w:vAlign w:val="top"/>
          </w:tcPr>
          <w:p w14:paraId="1F4B5B3D">
            <w:pPr>
              <w:spacing w:before="29" w:line="275" w:lineRule="exact"/>
              <w:ind w:left="6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0~0.2m</w:t>
            </w:r>
          </w:p>
        </w:tc>
        <w:tc>
          <w:tcPr>
            <w:tcW w:w="1947" w:type="dxa"/>
            <w:vAlign w:val="top"/>
          </w:tcPr>
          <w:p w14:paraId="62F12278">
            <w:pPr>
              <w:spacing w:before="29" w:line="275" w:lineRule="exact"/>
              <w:ind w:left="6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0~0.2m</w:t>
            </w:r>
          </w:p>
        </w:tc>
      </w:tr>
      <w:tr w14:paraId="19465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restart"/>
            <w:tcBorders>
              <w:bottom w:val="nil"/>
            </w:tcBorders>
            <w:textDirection w:val="tbRlV"/>
            <w:vAlign w:val="top"/>
          </w:tcPr>
          <w:p w14:paraId="7DDC4747">
            <w:pPr>
              <w:pStyle w:val="6"/>
              <w:spacing w:before="138" w:line="217" w:lineRule="auto"/>
              <w:ind w:left="61"/>
            </w:pPr>
            <w:r>
              <w:rPr>
                <w:spacing w:val="9"/>
              </w:rPr>
              <w:t>现</w:t>
            </w:r>
            <w:r>
              <w:rPr>
                <w:spacing w:val="18"/>
              </w:rPr>
              <w:t xml:space="preserve"> </w:t>
            </w:r>
            <w:r>
              <w:rPr>
                <w:spacing w:val="9"/>
              </w:rPr>
              <w:t>场</w:t>
            </w:r>
            <w:r>
              <w:rPr>
                <w:spacing w:val="17"/>
              </w:rPr>
              <w:t xml:space="preserve"> </w:t>
            </w:r>
            <w:r>
              <w:rPr>
                <w:spacing w:val="9"/>
              </w:rPr>
              <w:t>记</w:t>
            </w:r>
            <w:r>
              <w:rPr>
                <w:spacing w:val="16"/>
              </w:rPr>
              <w:t xml:space="preserve"> </w:t>
            </w:r>
            <w:r>
              <w:rPr>
                <w:spacing w:val="9"/>
              </w:rPr>
              <w:t>录</w:t>
            </w:r>
          </w:p>
        </w:tc>
        <w:tc>
          <w:tcPr>
            <w:tcW w:w="2855" w:type="dxa"/>
            <w:vAlign w:val="top"/>
          </w:tcPr>
          <w:p w14:paraId="0D092EDC">
            <w:pPr>
              <w:pStyle w:val="6"/>
              <w:spacing w:before="61" w:line="230" w:lineRule="auto"/>
              <w:ind w:left="1219"/>
            </w:pPr>
            <w:r>
              <w:rPr>
                <w:spacing w:val="5"/>
              </w:rPr>
              <w:t>颜色</w:t>
            </w:r>
          </w:p>
        </w:tc>
        <w:tc>
          <w:tcPr>
            <w:tcW w:w="1828" w:type="dxa"/>
            <w:vAlign w:val="top"/>
          </w:tcPr>
          <w:p w14:paraId="246EF5C1">
            <w:pPr>
              <w:pStyle w:val="6"/>
              <w:spacing w:before="62" w:line="228" w:lineRule="auto"/>
              <w:ind w:left="604"/>
            </w:pPr>
            <w:r>
              <w:rPr>
                <w:spacing w:val="6"/>
              </w:rPr>
              <w:t>深棕色</w:t>
            </w:r>
          </w:p>
        </w:tc>
        <w:tc>
          <w:tcPr>
            <w:tcW w:w="1828" w:type="dxa"/>
            <w:vAlign w:val="top"/>
          </w:tcPr>
          <w:p w14:paraId="59EC6A6D">
            <w:pPr>
              <w:pStyle w:val="6"/>
              <w:spacing w:before="62" w:line="228" w:lineRule="auto"/>
              <w:ind w:left="604"/>
            </w:pPr>
            <w:r>
              <w:rPr>
                <w:spacing w:val="7"/>
              </w:rPr>
              <w:t>黄棕色</w:t>
            </w:r>
          </w:p>
        </w:tc>
        <w:tc>
          <w:tcPr>
            <w:tcW w:w="1947" w:type="dxa"/>
            <w:vAlign w:val="top"/>
          </w:tcPr>
          <w:p w14:paraId="08B4961D">
            <w:pPr>
              <w:pStyle w:val="6"/>
              <w:spacing w:before="62" w:line="228" w:lineRule="auto"/>
              <w:ind w:left="667"/>
            </w:pPr>
            <w:r>
              <w:rPr>
                <w:spacing w:val="5"/>
              </w:rPr>
              <w:t>浅棕色</w:t>
            </w:r>
          </w:p>
        </w:tc>
      </w:tr>
      <w:tr w14:paraId="24782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continue"/>
            <w:tcBorders>
              <w:top w:val="nil"/>
              <w:bottom w:val="nil"/>
            </w:tcBorders>
            <w:textDirection w:val="tbRlV"/>
            <w:vAlign w:val="top"/>
          </w:tcPr>
          <w:p w14:paraId="1BEFEABE">
            <w:pPr>
              <w:rPr>
                <w:rFonts w:ascii="Arial"/>
                <w:sz w:val="21"/>
              </w:rPr>
            </w:pPr>
          </w:p>
        </w:tc>
        <w:tc>
          <w:tcPr>
            <w:tcW w:w="2855" w:type="dxa"/>
            <w:vAlign w:val="top"/>
          </w:tcPr>
          <w:p w14:paraId="05866296">
            <w:pPr>
              <w:pStyle w:val="6"/>
              <w:spacing w:before="61" w:line="229" w:lineRule="auto"/>
              <w:ind w:left="1225"/>
            </w:pPr>
            <w:r>
              <w:rPr>
                <w:spacing w:val="2"/>
              </w:rPr>
              <w:t>结构</w:t>
            </w:r>
          </w:p>
        </w:tc>
        <w:tc>
          <w:tcPr>
            <w:tcW w:w="1828" w:type="dxa"/>
            <w:vAlign w:val="top"/>
          </w:tcPr>
          <w:p w14:paraId="058DD60E">
            <w:pPr>
              <w:pStyle w:val="6"/>
              <w:spacing w:before="62" w:line="228" w:lineRule="auto"/>
              <w:ind w:left="709"/>
            </w:pPr>
            <w:r>
              <w:rPr>
                <w:spacing w:val="5"/>
              </w:rPr>
              <w:t>散状</w:t>
            </w:r>
          </w:p>
        </w:tc>
        <w:tc>
          <w:tcPr>
            <w:tcW w:w="1828" w:type="dxa"/>
            <w:vAlign w:val="top"/>
          </w:tcPr>
          <w:p w14:paraId="090F1C82">
            <w:pPr>
              <w:pStyle w:val="6"/>
              <w:spacing w:before="61" w:line="229" w:lineRule="auto"/>
              <w:ind w:left="729"/>
            </w:pPr>
            <w:r>
              <w:rPr>
                <w:spacing w:val="-5"/>
              </w:rPr>
              <w:t>固体</w:t>
            </w:r>
          </w:p>
        </w:tc>
        <w:tc>
          <w:tcPr>
            <w:tcW w:w="1947" w:type="dxa"/>
            <w:vAlign w:val="top"/>
          </w:tcPr>
          <w:p w14:paraId="29E6926E">
            <w:pPr>
              <w:pStyle w:val="6"/>
              <w:spacing w:before="62" w:line="228" w:lineRule="auto"/>
              <w:ind w:left="768"/>
            </w:pPr>
            <w:r>
              <w:rPr>
                <w:spacing w:val="5"/>
              </w:rPr>
              <w:t>散状</w:t>
            </w:r>
          </w:p>
        </w:tc>
      </w:tr>
      <w:tr w14:paraId="47730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continue"/>
            <w:tcBorders>
              <w:top w:val="nil"/>
              <w:bottom w:val="nil"/>
            </w:tcBorders>
            <w:textDirection w:val="tbRlV"/>
            <w:vAlign w:val="top"/>
          </w:tcPr>
          <w:p w14:paraId="165E0671">
            <w:pPr>
              <w:rPr>
                <w:rFonts w:ascii="Arial"/>
                <w:sz w:val="21"/>
              </w:rPr>
            </w:pPr>
          </w:p>
        </w:tc>
        <w:tc>
          <w:tcPr>
            <w:tcW w:w="2855" w:type="dxa"/>
            <w:vAlign w:val="top"/>
          </w:tcPr>
          <w:p w14:paraId="039CB859">
            <w:pPr>
              <w:pStyle w:val="6"/>
              <w:spacing w:before="61" w:line="229" w:lineRule="auto"/>
              <w:ind w:left="1221"/>
            </w:pPr>
            <w:r>
              <w:rPr>
                <w:spacing w:val="4"/>
              </w:rPr>
              <w:t>质地</w:t>
            </w:r>
          </w:p>
        </w:tc>
        <w:tc>
          <w:tcPr>
            <w:tcW w:w="1828" w:type="dxa"/>
            <w:vAlign w:val="top"/>
          </w:tcPr>
          <w:p w14:paraId="0A32AA20">
            <w:pPr>
              <w:pStyle w:val="6"/>
              <w:spacing w:before="61" w:line="230" w:lineRule="auto"/>
              <w:ind w:left="604"/>
            </w:pPr>
            <w:r>
              <w:rPr>
                <w:spacing w:val="7"/>
              </w:rPr>
              <w:t>砂壤土</w:t>
            </w:r>
          </w:p>
        </w:tc>
        <w:tc>
          <w:tcPr>
            <w:tcW w:w="1828" w:type="dxa"/>
            <w:vAlign w:val="top"/>
          </w:tcPr>
          <w:p w14:paraId="2FB6D8A1">
            <w:pPr>
              <w:pStyle w:val="6"/>
              <w:spacing w:before="61" w:line="231" w:lineRule="auto"/>
              <w:ind w:left="710"/>
            </w:pPr>
            <w:r>
              <w:rPr>
                <w:spacing w:val="5"/>
              </w:rPr>
              <w:t>砂土</w:t>
            </w:r>
          </w:p>
        </w:tc>
        <w:tc>
          <w:tcPr>
            <w:tcW w:w="1947" w:type="dxa"/>
            <w:vAlign w:val="top"/>
          </w:tcPr>
          <w:p w14:paraId="30E35D9E">
            <w:pPr>
              <w:pStyle w:val="6"/>
              <w:spacing w:before="61" w:line="231" w:lineRule="auto"/>
              <w:ind w:left="768"/>
            </w:pPr>
            <w:r>
              <w:rPr>
                <w:spacing w:val="5"/>
              </w:rPr>
              <w:t>砂土</w:t>
            </w:r>
          </w:p>
        </w:tc>
      </w:tr>
      <w:tr w14:paraId="68FA2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continue"/>
            <w:tcBorders>
              <w:top w:val="nil"/>
              <w:bottom w:val="nil"/>
            </w:tcBorders>
            <w:textDirection w:val="tbRlV"/>
            <w:vAlign w:val="top"/>
          </w:tcPr>
          <w:p w14:paraId="11728F22">
            <w:pPr>
              <w:rPr>
                <w:rFonts w:ascii="Arial"/>
                <w:sz w:val="21"/>
              </w:rPr>
            </w:pPr>
          </w:p>
        </w:tc>
        <w:tc>
          <w:tcPr>
            <w:tcW w:w="2855" w:type="dxa"/>
            <w:vAlign w:val="top"/>
          </w:tcPr>
          <w:p w14:paraId="790B2BEE">
            <w:pPr>
              <w:pStyle w:val="6"/>
              <w:spacing w:before="62" w:line="228" w:lineRule="auto"/>
              <w:ind w:left="1011"/>
            </w:pPr>
            <w:r>
              <w:rPr>
                <w:spacing w:val="7"/>
              </w:rPr>
              <w:t>砂砾含量</w:t>
            </w:r>
          </w:p>
        </w:tc>
        <w:tc>
          <w:tcPr>
            <w:tcW w:w="1828" w:type="dxa"/>
            <w:vAlign w:val="top"/>
          </w:tcPr>
          <w:p w14:paraId="5DD6C9F4">
            <w:pPr>
              <w:pStyle w:val="6"/>
              <w:spacing w:before="30" w:line="275" w:lineRule="exact"/>
              <w:ind w:left="602"/>
              <w:rPr>
                <w:rFonts w:ascii="Times New Roman" w:hAnsi="Times New Roman" w:eastAsia="Times New Roman" w:cs="Times New Roman"/>
              </w:rPr>
            </w:pPr>
            <w:r>
              <w:rPr>
                <w:spacing w:val="2"/>
                <w:position w:val="1"/>
              </w:rPr>
              <w:t>约</w:t>
            </w:r>
            <w:r>
              <w:rPr>
                <w:spacing w:val="-42"/>
                <w:position w:val="1"/>
              </w:rPr>
              <w:t xml:space="preserve"> </w:t>
            </w:r>
            <w:r>
              <w:rPr>
                <w:rFonts w:ascii="Times New Roman" w:hAnsi="Times New Roman" w:eastAsia="Times New Roman" w:cs="Times New Roman"/>
                <w:spacing w:val="2"/>
                <w:position w:val="1"/>
              </w:rPr>
              <w:t>20%</w:t>
            </w:r>
          </w:p>
        </w:tc>
        <w:tc>
          <w:tcPr>
            <w:tcW w:w="1828" w:type="dxa"/>
            <w:vAlign w:val="top"/>
          </w:tcPr>
          <w:p w14:paraId="2AFE8113">
            <w:pPr>
              <w:pStyle w:val="6"/>
              <w:spacing w:before="30" w:line="275" w:lineRule="exact"/>
              <w:ind w:left="603"/>
              <w:rPr>
                <w:rFonts w:ascii="Times New Roman" w:hAnsi="Times New Roman" w:eastAsia="Times New Roman" w:cs="Times New Roman"/>
              </w:rPr>
            </w:pPr>
            <w:r>
              <w:rPr>
                <w:spacing w:val="1"/>
                <w:position w:val="1"/>
              </w:rPr>
              <w:t>约</w:t>
            </w:r>
            <w:r>
              <w:rPr>
                <w:spacing w:val="-38"/>
                <w:position w:val="1"/>
              </w:rPr>
              <w:t xml:space="preserve"> </w:t>
            </w:r>
            <w:r>
              <w:rPr>
                <w:rFonts w:ascii="Times New Roman" w:hAnsi="Times New Roman" w:eastAsia="Times New Roman" w:cs="Times New Roman"/>
                <w:spacing w:val="1"/>
                <w:position w:val="1"/>
              </w:rPr>
              <w:t>30%</w:t>
            </w:r>
          </w:p>
        </w:tc>
        <w:tc>
          <w:tcPr>
            <w:tcW w:w="1947" w:type="dxa"/>
            <w:vAlign w:val="top"/>
          </w:tcPr>
          <w:p w14:paraId="628A6D97">
            <w:pPr>
              <w:pStyle w:val="6"/>
              <w:spacing w:before="30" w:line="275" w:lineRule="exact"/>
              <w:ind w:left="661"/>
              <w:rPr>
                <w:rFonts w:ascii="Times New Roman" w:hAnsi="Times New Roman" w:eastAsia="Times New Roman" w:cs="Times New Roman"/>
              </w:rPr>
            </w:pPr>
            <w:r>
              <w:rPr>
                <w:spacing w:val="2"/>
                <w:position w:val="1"/>
              </w:rPr>
              <w:t>约</w:t>
            </w:r>
            <w:r>
              <w:rPr>
                <w:spacing w:val="-42"/>
                <w:position w:val="1"/>
              </w:rPr>
              <w:t xml:space="preserve"> </w:t>
            </w:r>
            <w:r>
              <w:rPr>
                <w:rFonts w:ascii="Times New Roman" w:hAnsi="Times New Roman" w:eastAsia="Times New Roman" w:cs="Times New Roman"/>
                <w:spacing w:val="2"/>
                <w:position w:val="1"/>
              </w:rPr>
              <w:t>25%</w:t>
            </w:r>
          </w:p>
        </w:tc>
      </w:tr>
      <w:tr w14:paraId="6D3C0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92" w:type="dxa"/>
            <w:vMerge w:val="continue"/>
            <w:tcBorders>
              <w:top w:val="nil"/>
            </w:tcBorders>
            <w:textDirection w:val="tbRlV"/>
            <w:vAlign w:val="top"/>
          </w:tcPr>
          <w:p w14:paraId="0468BB3B">
            <w:pPr>
              <w:rPr>
                <w:rFonts w:ascii="Arial"/>
                <w:sz w:val="21"/>
              </w:rPr>
            </w:pPr>
          </w:p>
        </w:tc>
        <w:tc>
          <w:tcPr>
            <w:tcW w:w="2855" w:type="dxa"/>
            <w:vAlign w:val="top"/>
          </w:tcPr>
          <w:p w14:paraId="1E5F60A1">
            <w:pPr>
              <w:pStyle w:val="6"/>
              <w:spacing w:before="62" w:line="228" w:lineRule="auto"/>
              <w:ind w:left="1012"/>
            </w:pPr>
            <w:r>
              <w:rPr>
                <w:spacing w:val="7"/>
              </w:rPr>
              <w:t>其他异物</w:t>
            </w:r>
          </w:p>
        </w:tc>
        <w:tc>
          <w:tcPr>
            <w:tcW w:w="1828" w:type="dxa"/>
            <w:vAlign w:val="top"/>
          </w:tcPr>
          <w:p w14:paraId="536EC7B0">
            <w:pPr>
              <w:pStyle w:val="6"/>
              <w:spacing w:before="61" w:line="229" w:lineRule="auto"/>
              <w:ind w:left="815"/>
            </w:pPr>
            <w:r>
              <w:t>无</w:t>
            </w:r>
          </w:p>
        </w:tc>
        <w:tc>
          <w:tcPr>
            <w:tcW w:w="1828" w:type="dxa"/>
            <w:vAlign w:val="top"/>
          </w:tcPr>
          <w:p w14:paraId="0B9C6AED">
            <w:pPr>
              <w:pStyle w:val="6"/>
              <w:spacing w:before="61" w:line="229" w:lineRule="auto"/>
              <w:ind w:left="818"/>
            </w:pPr>
            <w:r>
              <w:t>无</w:t>
            </w:r>
          </w:p>
        </w:tc>
        <w:tc>
          <w:tcPr>
            <w:tcW w:w="1947" w:type="dxa"/>
            <w:vAlign w:val="top"/>
          </w:tcPr>
          <w:p w14:paraId="0A2E7357">
            <w:pPr>
              <w:pStyle w:val="6"/>
              <w:spacing w:before="61" w:line="229" w:lineRule="auto"/>
              <w:ind w:left="874"/>
            </w:pPr>
            <w:r>
              <w:t>无</w:t>
            </w:r>
          </w:p>
        </w:tc>
      </w:tr>
      <w:tr w14:paraId="0D176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restart"/>
            <w:tcBorders>
              <w:bottom w:val="nil"/>
            </w:tcBorders>
            <w:textDirection w:val="tbRlV"/>
            <w:vAlign w:val="top"/>
          </w:tcPr>
          <w:p w14:paraId="6D664509">
            <w:pPr>
              <w:pStyle w:val="6"/>
              <w:spacing w:before="138" w:line="217" w:lineRule="auto"/>
              <w:ind w:left="62"/>
            </w:pPr>
            <w:r>
              <w:rPr>
                <w:spacing w:val="9"/>
              </w:rPr>
              <w:t>实</w:t>
            </w:r>
            <w:r>
              <w:rPr>
                <w:spacing w:val="18"/>
              </w:rPr>
              <w:t xml:space="preserve"> </w:t>
            </w:r>
            <w:r>
              <w:rPr>
                <w:spacing w:val="9"/>
              </w:rPr>
              <w:t>验</w:t>
            </w:r>
            <w:r>
              <w:rPr>
                <w:spacing w:val="17"/>
              </w:rPr>
              <w:t xml:space="preserve"> </w:t>
            </w:r>
            <w:r>
              <w:rPr>
                <w:spacing w:val="9"/>
              </w:rPr>
              <w:t>室</w:t>
            </w:r>
            <w:r>
              <w:rPr>
                <w:spacing w:val="17"/>
              </w:rPr>
              <w:t xml:space="preserve"> </w:t>
            </w:r>
            <w:r>
              <w:rPr>
                <w:spacing w:val="9"/>
              </w:rPr>
              <w:t>测</w:t>
            </w:r>
            <w:r>
              <w:rPr>
                <w:spacing w:val="17"/>
              </w:rPr>
              <w:t xml:space="preserve"> </w:t>
            </w:r>
            <w:r>
              <w:rPr>
                <w:spacing w:val="9"/>
              </w:rPr>
              <w:t>定</w:t>
            </w:r>
          </w:p>
        </w:tc>
        <w:tc>
          <w:tcPr>
            <w:tcW w:w="2855" w:type="dxa"/>
            <w:vAlign w:val="top"/>
          </w:tcPr>
          <w:p w14:paraId="261F91F4">
            <w:pPr>
              <w:spacing w:before="101" w:line="194" w:lineRule="auto"/>
              <w:ind w:left="129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828" w:type="dxa"/>
            <w:vAlign w:val="top"/>
          </w:tcPr>
          <w:p w14:paraId="26E83DFE">
            <w:pPr>
              <w:spacing w:before="31" w:line="275" w:lineRule="exact"/>
              <w:ind w:left="7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6.21</w:t>
            </w:r>
          </w:p>
        </w:tc>
        <w:tc>
          <w:tcPr>
            <w:tcW w:w="1828" w:type="dxa"/>
            <w:vAlign w:val="top"/>
          </w:tcPr>
          <w:p w14:paraId="6CF5CA9A">
            <w:pPr>
              <w:spacing w:before="31" w:line="275" w:lineRule="exact"/>
              <w:ind w:left="7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6.17</w:t>
            </w:r>
          </w:p>
        </w:tc>
        <w:tc>
          <w:tcPr>
            <w:tcW w:w="1947" w:type="dxa"/>
            <w:vAlign w:val="top"/>
          </w:tcPr>
          <w:p w14:paraId="044E5615">
            <w:pPr>
              <w:spacing w:before="31" w:line="275"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6.39</w:t>
            </w:r>
          </w:p>
        </w:tc>
      </w:tr>
      <w:tr w14:paraId="2F5D4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continue"/>
            <w:tcBorders>
              <w:top w:val="nil"/>
              <w:bottom w:val="nil"/>
            </w:tcBorders>
            <w:textDirection w:val="tbRlV"/>
            <w:vAlign w:val="top"/>
          </w:tcPr>
          <w:p w14:paraId="12BFC379">
            <w:pPr>
              <w:rPr>
                <w:rFonts w:ascii="Arial"/>
                <w:sz w:val="21"/>
              </w:rPr>
            </w:pPr>
          </w:p>
        </w:tc>
        <w:tc>
          <w:tcPr>
            <w:tcW w:w="2855" w:type="dxa"/>
            <w:vAlign w:val="top"/>
          </w:tcPr>
          <w:p w14:paraId="71F48668">
            <w:pPr>
              <w:pStyle w:val="6"/>
              <w:spacing w:before="31" w:line="275" w:lineRule="exact"/>
              <w:ind w:left="317"/>
              <w:rPr>
                <w:rFonts w:ascii="Times New Roman" w:hAnsi="Times New Roman" w:eastAsia="Times New Roman" w:cs="Times New Roman"/>
              </w:rPr>
            </w:pPr>
            <w:r>
              <w:rPr>
                <w:spacing w:val="7"/>
                <w:position w:val="2"/>
              </w:rPr>
              <w:t>阳离子交换量</w:t>
            </w:r>
            <w:r>
              <w:rPr>
                <w:rFonts w:ascii="Times New Roman" w:hAnsi="Times New Roman" w:eastAsia="Times New Roman" w:cs="Times New Roman"/>
                <w:spacing w:val="7"/>
                <w:position w:val="2"/>
              </w:rPr>
              <w:t>/(</w:t>
            </w:r>
            <w:r>
              <w:rPr>
                <w:rFonts w:ascii="Times New Roman" w:hAnsi="Times New Roman" w:eastAsia="Times New Roman" w:cs="Times New Roman"/>
                <w:position w:val="2"/>
              </w:rPr>
              <w:t>cmol</w:t>
            </w:r>
            <w:r>
              <w:rPr>
                <w:rFonts w:ascii="Times New Roman" w:hAnsi="Times New Roman" w:eastAsia="Times New Roman" w:cs="Times New Roman"/>
                <w:spacing w:val="7"/>
                <w:position w:val="2"/>
              </w:rPr>
              <w:t>+/</w:t>
            </w:r>
            <w:r>
              <w:rPr>
                <w:rFonts w:ascii="Times New Roman" w:hAnsi="Times New Roman" w:eastAsia="Times New Roman" w:cs="Times New Roman"/>
                <w:position w:val="2"/>
              </w:rPr>
              <w:t>kg</w:t>
            </w:r>
            <w:r>
              <w:rPr>
                <w:rFonts w:ascii="Times New Roman" w:hAnsi="Times New Roman" w:eastAsia="Times New Roman" w:cs="Times New Roman"/>
                <w:spacing w:val="7"/>
                <w:position w:val="2"/>
              </w:rPr>
              <w:t>)</w:t>
            </w:r>
          </w:p>
        </w:tc>
        <w:tc>
          <w:tcPr>
            <w:tcW w:w="1828" w:type="dxa"/>
            <w:vAlign w:val="top"/>
          </w:tcPr>
          <w:p w14:paraId="290FA361">
            <w:pPr>
              <w:spacing w:before="31" w:line="275" w:lineRule="exact"/>
              <w:ind w:left="86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828" w:type="dxa"/>
            <w:vAlign w:val="top"/>
          </w:tcPr>
          <w:p w14:paraId="7EB8A964">
            <w:pPr>
              <w:spacing w:before="101" w:line="192" w:lineRule="auto"/>
              <w:ind w:left="86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47" w:type="dxa"/>
            <w:vAlign w:val="top"/>
          </w:tcPr>
          <w:p w14:paraId="594D945E">
            <w:pPr>
              <w:spacing w:before="31" w:line="275" w:lineRule="exact"/>
              <w:ind w:left="9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r>
      <w:tr w14:paraId="661EA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continue"/>
            <w:tcBorders>
              <w:top w:val="nil"/>
              <w:bottom w:val="nil"/>
            </w:tcBorders>
            <w:textDirection w:val="tbRlV"/>
            <w:vAlign w:val="top"/>
          </w:tcPr>
          <w:p w14:paraId="58300AC3">
            <w:pPr>
              <w:rPr>
                <w:rFonts w:ascii="Arial"/>
                <w:sz w:val="21"/>
              </w:rPr>
            </w:pPr>
          </w:p>
        </w:tc>
        <w:tc>
          <w:tcPr>
            <w:tcW w:w="2855" w:type="dxa"/>
            <w:vAlign w:val="top"/>
          </w:tcPr>
          <w:p w14:paraId="32CD1BE2">
            <w:pPr>
              <w:pStyle w:val="6"/>
              <w:spacing w:before="31" w:line="275" w:lineRule="exact"/>
              <w:ind w:left="547"/>
              <w:rPr>
                <w:rFonts w:ascii="Times New Roman" w:hAnsi="Times New Roman" w:eastAsia="Times New Roman" w:cs="Times New Roman"/>
              </w:rPr>
            </w:pPr>
            <w:r>
              <w:rPr>
                <w:spacing w:val="8"/>
                <w:position w:val="2"/>
              </w:rPr>
              <w:t>氧化还原电位</w:t>
            </w:r>
            <w:r>
              <w:rPr>
                <w:rFonts w:ascii="Times New Roman" w:hAnsi="Times New Roman" w:eastAsia="Times New Roman" w:cs="Times New Roman"/>
                <w:spacing w:val="8"/>
                <w:position w:val="2"/>
              </w:rPr>
              <w:t>/(</w:t>
            </w:r>
            <w:r>
              <w:rPr>
                <w:rFonts w:ascii="Times New Roman" w:hAnsi="Times New Roman" w:eastAsia="Times New Roman" w:cs="Times New Roman"/>
                <w:position w:val="2"/>
              </w:rPr>
              <w:t>mV</w:t>
            </w:r>
            <w:r>
              <w:rPr>
                <w:rFonts w:ascii="Times New Roman" w:hAnsi="Times New Roman" w:eastAsia="Times New Roman" w:cs="Times New Roman"/>
                <w:spacing w:val="8"/>
                <w:position w:val="2"/>
              </w:rPr>
              <w:t>)</w:t>
            </w:r>
          </w:p>
        </w:tc>
        <w:tc>
          <w:tcPr>
            <w:tcW w:w="1828" w:type="dxa"/>
            <w:vAlign w:val="top"/>
          </w:tcPr>
          <w:p w14:paraId="35C143F5">
            <w:pPr>
              <w:spacing w:before="31" w:line="275"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1828" w:type="dxa"/>
            <w:vAlign w:val="top"/>
          </w:tcPr>
          <w:p w14:paraId="5A3C8046">
            <w:pPr>
              <w:spacing w:before="31" w:line="275" w:lineRule="exact"/>
              <w:ind w:left="7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108</w:t>
            </w:r>
          </w:p>
        </w:tc>
        <w:tc>
          <w:tcPr>
            <w:tcW w:w="1947" w:type="dxa"/>
            <w:vAlign w:val="top"/>
          </w:tcPr>
          <w:p w14:paraId="1CAF8146">
            <w:pPr>
              <w:spacing w:before="31" w:line="275" w:lineRule="exact"/>
              <w:ind w:left="8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147</w:t>
            </w:r>
          </w:p>
        </w:tc>
      </w:tr>
      <w:tr w14:paraId="03E60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continue"/>
            <w:tcBorders>
              <w:top w:val="nil"/>
              <w:bottom w:val="nil"/>
            </w:tcBorders>
            <w:textDirection w:val="tbRlV"/>
            <w:vAlign w:val="top"/>
          </w:tcPr>
          <w:p w14:paraId="1356CE02">
            <w:pPr>
              <w:rPr>
                <w:rFonts w:ascii="Arial"/>
                <w:sz w:val="21"/>
              </w:rPr>
            </w:pPr>
          </w:p>
        </w:tc>
        <w:tc>
          <w:tcPr>
            <w:tcW w:w="2855" w:type="dxa"/>
            <w:vAlign w:val="top"/>
          </w:tcPr>
          <w:p w14:paraId="20E60FCF">
            <w:pPr>
              <w:pStyle w:val="6"/>
              <w:spacing w:before="31" w:line="275" w:lineRule="exact"/>
              <w:ind w:left="645"/>
              <w:rPr>
                <w:rFonts w:ascii="Times New Roman" w:hAnsi="Times New Roman" w:eastAsia="Times New Roman" w:cs="Times New Roman"/>
              </w:rPr>
            </w:pPr>
            <w:r>
              <w:rPr>
                <w:spacing w:val="5"/>
                <w:position w:val="2"/>
              </w:rPr>
              <w:t>土壤容量</w:t>
            </w:r>
            <w:r>
              <w:rPr>
                <w:rFonts w:ascii="Times New Roman" w:hAnsi="Times New Roman" w:eastAsia="Times New Roman" w:cs="Times New Roman"/>
                <w:spacing w:val="5"/>
                <w:position w:val="2"/>
              </w:rPr>
              <w:t>/( g/</w:t>
            </w:r>
            <w:r>
              <w:rPr>
                <w:rFonts w:ascii="Times New Roman" w:hAnsi="Times New Roman" w:eastAsia="Times New Roman" w:cs="Times New Roman"/>
                <w:position w:val="2"/>
              </w:rPr>
              <w:t>cm</w:t>
            </w:r>
            <w:r>
              <w:rPr>
                <w:rFonts w:ascii="Times New Roman" w:hAnsi="Times New Roman" w:eastAsia="Times New Roman" w:cs="Times New Roman"/>
                <w:spacing w:val="5"/>
                <w:position w:val="8"/>
                <w:sz w:val="13"/>
                <w:szCs w:val="13"/>
              </w:rPr>
              <w:t>3</w:t>
            </w:r>
            <w:r>
              <w:rPr>
                <w:rFonts w:ascii="Times New Roman" w:hAnsi="Times New Roman" w:eastAsia="Times New Roman" w:cs="Times New Roman"/>
                <w:spacing w:val="5"/>
                <w:position w:val="2"/>
              </w:rPr>
              <w:t>)</w:t>
            </w:r>
          </w:p>
        </w:tc>
        <w:tc>
          <w:tcPr>
            <w:tcW w:w="1828" w:type="dxa"/>
            <w:vAlign w:val="top"/>
          </w:tcPr>
          <w:p w14:paraId="4571D8F0">
            <w:pPr>
              <w:spacing w:before="31" w:line="275" w:lineRule="exact"/>
              <w:ind w:left="7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1.24</w:t>
            </w:r>
          </w:p>
        </w:tc>
        <w:tc>
          <w:tcPr>
            <w:tcW w:w="1828" w:type="dxa"/>
            <w:vAlign w:val="top"/>
          </w:tcPr>
          <w:p w14:paraId="3EB5FEDB">
            <w:pPr>
              <w:spacing w:before="31" w:line="275" w:lineRule="exact"/>
              <w:ind w:left="7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1.10</w:t>
            </w:r>
          </w:p>
        </w:tc>
        <w:tc>
          <w:tcPr>
            <w:tcW w:w="1947" w:type="dxa"/>
            <w:vAlign w:val="top"/>
          </w:tcPr>
          <w:p w14:paraId="046199C3">
            <w:pPr>
              <w:spacing w:before="31" w:line="275"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1.14</w:t>
            </w:r>
          </w:p>
        </w:tc>
      </w:tr>
      <w:tr w14:paraId="41D5F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92" w:type="dxa"/>
            <w:vMerge w:val="continue"/>
            <w:tcBorders>
              <w:top w:val="nil"/>
              <w:bottom w:val="nil"/>
            </w:tcBorders>
            <w:textDirection w:val="tbRlV"/>
            <w:vAlign w:val="top"/>
          </w:tcPr>
          <w:p w14:paraId="2A67CF5A">
            <w:pPr>
              <w:rPr>
                <w:rFonts w:ascii="Arial"/>
                <w:sz w:val="21"/>
              </w:rPr>
            </w:pPr>
          </w:p>
        </w:tc>
        <w:tc>
          <w:tcPr>
            <w:tcW w:w="2855" w:type="dxa"/>
            <w:vAlign w:val="top"/>
          </w:tcPr>
          <w:p w14:paraId="5FB1F885">
            <w:pPr>
              <w:pStyle w:val="6"/>
              <w:spacing w:before="31" w:line="275" w:lineRule="exact"/>
              <w:ind w:left="829"/>
              <w:rPr>
                <w:rFonts w:ascii="Times New Roman" w:hAnsi="Times New Roman" w:eastAsia="Times New Roman" w:cs="Times New Roman"/>
              </w:rPr>
            </w:pPr>
            <w:r>
              <w:rPr>
                <w:spacing w:val="5"/>
                <w:position w:val="2"/>
              </w:rPr>
              <w:t>总孔隙度</w:t>
            </w:r>
            <w:r>
              <w:rPr>
                <w:rFonts w:ascii="Times New Roman" w:hAnsi="Times New Roman" w:eastAsia="Times New Roman" w:cs="Times New Roman"/>
                <w:spacing w:val="5"/>
                <w:position w:val="2"/>
              </w:rPr>
              <w:t>/(%)</w:t>
            </w:r>
          </w:p>
        </w:tc>
        <w:tc>
          <w:tcPr>
            <w:tcW w:w="1828" w:type="dxa"/>
            <w:vAlign w:val="top"/>
          </w:tcPr>
          <w:p w14:paraId="180CCB1E">
            <w:pPr>
              <w:spacing w:before="31" w:line="275" w:lineRule="exact"/>
              <w:ind w:left="6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50.39</w:t>
            </w:r>
          </w:p>
        </w:tc>
        <w:tc>
          <w:tcPr>
            <w:tcW w:w="1828" w:type="dxa"/>
            <w:vAlign w:val="top"/>
          </w:tcPr>
          <w:p w14:paraId="3BEDC817">
            <w:pPr>
              <w:spacing w:before="31" w:line="275" w:lineRule="exact"/>
              <w:ind w:left="6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53.90</w:t>
            </w:r>
          </w:p>
        </w:tc>
        <w:tc>
          <w:tcPr>
            <w:tcW w:w="1947" w:type="dxa"/>
            <w:vAlign w:val="top"/>
          </w:tcPr>
          <w:p w14:paraId="0C5ED6F2">
            <w:pPr>
              <w:spacing w:before="31" w:line="275" w:lineRule="exact"/>
              <w:ind w:left="7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49.82</w:t>
            </w:r>
          </w:p>
        </w:tc>
      </w:tr>
      <w:tr w14:paraId="64EE4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492" w:type="dxa"/>
            <w:vMerge w:val="continue"/>
            <w:tcBorders>
              <w:top w:val="nil"/>
            </w:tcBorders>
            <w:textDirection w:val="tbRlV"/>
            <w:vAlign w:val="top"/>
          </w:tcPr>
          <w:p w14:paraId="54233C08">
            <w:pPr>
              <w:rPr>
                <w:rFonts w:ascii="Arial"/>
                <w:sz w:val="21"/>
              </w:rPr>
            </w:pPr>
          </w:p>
        </w:tc>
        <w:tc>
          <w:tcPr>
            <w:tcW w:w="2855" w:type="dxa"/>
            <w:vAlign w:val="top"/>
          </w:tcPr>
          <w:p w14:paraId="1E274F01">
            <w:pPr>
              <w:pStyle w:val="6"/>
              <w:spacing w:before="31" w:line="275" w:lineRule="exact"/>
              <w:ind w:left="734"/>
              <w:rPr>
                <w:rFonts w:ascii="Times New Roman" w:hAnsi="Times New Roman" w:eastAsia="Times New Roman" w:cs="Times New Roman"/>
              </w:rPr>
            </w:pPr>
            <w:r>
              <w:rPr>
                <w:spacing w:val="11"/>
                <w:position w:val="1"/>
              </w:rPr>
              <w:t>渗滤率</w:t>
            </w:r>
            <w:r>
              <w:rPr>
                <w:rFonts w:ascii="Times New Roman" w:hAnsi="Times New Roman" w:eastAsia="Times New Roman" w:cs="Times New Roman"/>
                <w:spacing w:val="11"/>
                <w:position w:val="1"/>
              </w:rPr>
              <w:t>/</w:t>
            </w:r>
            <w:r>
              <w:rPr>
                <w:rFonts w:ascii="Times New Roman" w:hAnsi="Times New Roman" w:eastAsia="Times New Roman" w:cs="Times New Roman"/>
                <w:position w:val="1"/>
              </w:rPr>
              <w:t>mm</w:t>
            </w:r>
            <w:r>
              <w:rPr>
                <w:rFonts w:ascii="Times New Roman" w:hAnsi="Times New Roman" w:eastAsia="Times New Roman" w:cs="Times New Roman"/>
                <w:spacing w:val="11"/>
                <w:position w:val="1"/>
              </w:rPr>
              <w:t>/</w:t>
            </w:r>
            <w:r>
              <w:rPr>
                <w:rFonts w:ascii="Times New Roman" w:hAnsi="Times New Roman" w:eastAsia="Times New Roman" w:cs="Times New Roman"/>
                <w:position w:val="1"/>
              </w:rPr>
              <w:t>min</w:t>
            </w:r>
          </w:p>
        </w:tc>
        <w:tc>
          <w:tcPr>
            <w:tcW w:w="1828" w:type="dxa"/>
            <w:vAlign w:val="top"/>
          </w:tcPr>
          <w:p w14:paraId="7FB951E2">
            <w:pPr>
              <w:spacing w:before="31" w:line="275" w:lineRule="exact"/>
              <w:ind w:left="6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24.94</w:t>
            </w:r>
          </w:p>
        </w:tc>
        <w:tc>
          <w:tcPr>
            <w:tcW w:w="1828" w:type="dxa"/>
            <w:vAlign w:val="top"/>
          </w:tcPr>
          <w:p w14:paraId="77502E22">
            <w:pPr>
              <w:spacing w:before="31" w:line="275" w:lineRule="exact"/>
              <w:ind w:left="6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26.15</w:t>
            </w:r>
          </w:p>
        </w:tc>
        <w:tc>
          <w:tcPr>
            <w:tcW w:w="1947" w:type="dxa"/>
            <w:vAlign w:val="top"/>
          </w:tcPr>
          <w:p w14:paraId="6B737348">
            <w:pPr>
              <w:spacing w:before="31" w:line="275"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23.66</w:t>
            </w:r>
          </w:p>
        </w:tc>
      </w:tr>
    </w:tbl>
    <w:p w14:paraId="723D02B7">
      <w:pPr>
        <w:spacing w:before="139" w:line="221" w:lineRule="auto"/>
        <w:ind w:left="2753"/>
        <w:rPr>
          <w:rFonts w:ascii="Times New Roman" w:hAnsi="Times New Roman" w:eastAsia="Times New Roman" w:cs="Times New Roman"/>
          <w:sz w:val="20"/>
          <w:szCs w:val="20"/>
        </w:rPr>
      </w:pPr>
      <w:r>
        <w:rPr>
          <w:rFonts w:ascii="宋体" w:hAnsi="宋体" w:eastAsia="宋体" w:cs="宋体"/>
          <w:b/>
          <w:bCs/>
          <w:spacing w:val="6"/>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b/>
          <w:bCs/>
          <w:spacing w:val="6"/>
          <w:sz w:val="20"/>
          <w:szCs w:val="20"/>
        </w:rPr>
        <w:t>4.5-4</w:t>
      </w:r>
      <w:r>
        <w:rPr>
          <w:rFonts w:ascii="Times New Roman" w:hAnsi="Times New Roman" w:eastAsia="Times New Roman" w:cs="Times New Roman"/>
          <w:b/>
          <w:bCs/>
          <w:spacing w:val="16"/>
          <w:sz w:val="20"/>
          <w:szCs w:val="20"/>
        </w:rPr>
        <w:t xml:space="preserve"> </w:t>
      </w:r>
      <w:r>
        <w:rPr>
          <w:rFonts w:ascii="宋体" w:hAnsi="宋体" w:eastAsia="宋体" w:cs="宋体"/>
          <w:b/>
          <w:bCs/>
          <w:spacing w:val="6"/>
          <w:sz w:val="20"/>
          <w:szCs w:val="20"/>
        </w:rPr>
        <w:t>项目土壤监测结果统计单位</w:t>
      </w:r>
      <w:r>
        <w:rPr>
          <w:rFonts w:ascii="宋体" w:hAnsi="宋体" w:eastAsia="宋体" w:cs="宋体"/>
          <w:spacing w:val="-37"/>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z w:val="20"/>
          <w:szCs w:val="20"/>
        </w:rPr>
        <w:t>kg</w:t>
      </w:r>
    </w:p>
    <w:p w14:paraId="327B7119">
      <w:pPr>
        <w:spacing w:line="110" w:lineRule="exact"/>
      </w:pPr>
    </w:p>
    <w:tbl>
      <w:tblPr>
        <w:tblStyle w:val="5"/>
        <w:tblW w:w="8854" w:type="dxa"/>
        <w:tblInd w:w="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6"/>
        <w:gridCol w:w="2100"/>
        <w:gridCol w:w="1674"/>
        <w:gridCol w:w="1893"/>
        <w:gridCol w:w="711"/>
      </w:tblGrid>
      <w:tr w14:paraId="316E1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2476" w:type="dxa"/>
            <w:vMerge w:val="restart"/>
            <w:tcBorders>
              <w:bottom w:val="nil"/>
            </w:tcBorders>
            <w:vAlign w:val="top"/>
          </w:tcPr>
          <w:p w14:paraId="427BB085">
            <w:pPr>
              <w:rPr>
                <w:rFonts w:ascii="Arial"/>
                <w:sz w:val="21"/>
              </w:rPr>
            </w:pPr>
            <w:r>
              <w:drawing>
                <wp:anchor distT="0" distB="0" distL="0" distR="0" simplePos="0" relativeHeight="251665408" behindDoc="1" locked="0" layoutInCell="1" allowOverlap="1">
                  <wp:simplePos x="0" y="0"/>
                  <wp:positionH relativeFrom="rightMargin">
                    <wp:posOffset>-1572260</wp:posOffset>
                  </wp:positionH>
                  <wp:positionV relativeFrom="topMargin">
                    <wp:posOffset>36830</wp:posOffset>
                  </wp:positionV>
                  <wp:extent cx="1583055" cy="96075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1"/>
                          <a:stretch>
                            <a:fillRect/>
                          </a:stretch>
                        </pic:blipFill>
                        <pic:spPr>
                          <a:xfrm>
                            <a:off x="0" y="0"/>
                            <a:ext cx="1582953" cy="960767"/>
                          </a:xfrm>
                          <a:prstGeom prst="rect">
                            <a:avLst/>
                          </a:prstGeom>
                        </pic:spPr>
                      </pic:pic>
                    </a:graphicData>
                  </a:graphic>
                </wp:anchor>
              </w:drawing>
            </w:r>
            <w:r>
              <w:pict>
                <v:shape id="_x0000_s1035" o:spid="_x0000_s1035" o:spt="202" type="#_x0000_t202" style="position:absolute;left:0pt;margin-left:43.15pt;margin-top:2.35pt;height:47.05pt;width:59.5pt;mso-position-horizontal-relative:page;mso-position-vertical-relative:page;z-index:251667456;mso-width-relative:page;mso-height-relative:page;" filled="f" stroked="f" coordsize="21600,21600">
                  <v:path/>
                  <v:fill on="f" focussize="0,0"/>
                  <v:stroke on="f"/>
                  <v:imagedata o:title=""/>
                  <o:lock v:ext="edit" aspectratio="f"/>
                  <v:textbox inset="0mm,0mm,0mm,0mm">
                    <w:txbxContent>
                      <w:p w14:paraId="42A074BC">
                        <w:pPr>
                          <w:pStyle w:val="6"/>
                          <w:spacing w:before="19" w:line="228" w:lineRule="auto"/>
                          <w:ind w:left="20"/>
                        </w:pPr>
                        <w:r>
                          <w:rPr>
                            <w:b/>
                            <w:bCs/>
                            <w:spacing w:val="6"/>
                          </w:rPr>
                          <w:t>采样点位</w:t>
                        </w:r>
                      </w:p>
                      <w:p w14:paraId="3C4D7F6C">
                        <w:pPr>
                          <w:spacing w:line="339" w:lineRule="auto"/>
                          <w:rPr>
                            <w:rFonts w:ascii="Arial"/>
                            <w:sz w:val="21"/>
                          </w:rPr>
                        </w:pPr>
                      </w:p>
                      <w:p w14:paraId="24F4FF04">
                        <w:pPr>
                          <w:pStyle w:val="6"/>
                          <w:spacing w:before="65" w:line="228" w:lineRule="auto"/>
                          <w:ind w:right="20"/>
                          <w:jc w:val="right"/>
                        </w:pPr>
                        <w:r>
                          <w:rPr>
                            <w:b/>
                            <w:bCs/>
                            <w:spacing w:val="4"/>
                          </w:rPr>
                          <w:t>断面深度</w:t>
                        </w:r>
                      </w:p>
                    </w:txbxContent>
                  </v:textbox>
                </v:shape>
              </w:pict>
            </w:r>
            <w:r>
              <w:pict>
                <v:shape id="_x0000_s1036" o:spid="_x0000_s1036" o:spt="202" type="#_x0000_t202" style="position:absolute;left:0pt;margin-left:2.75pt;margin-top:51.35pt;height:14.4pt;width:83.05pt;mso-position-horizontal-relative:page;mso-position-vertical-relative:page;z-index:251666432;mso-width-relative:page;mso-height-relative:page;" filled="f" stroked="f" coordsize="21600,21600">
                  <v:path/>
                  <v:fill on="f" focussize="0,0"/>
                  <v:stroke on="f"/>
                  <v:imagedata o:title=""/>
                  <o:lock v:ext="edit" aspectratio="f"/>
                  <v:textbox inset="0mm,0mm,0mm,0mm">
                    <w:txbxContent>
                      <w:p w14:paraId="7EC80656">
                        <w:pPr>
                          <w:pStyle w:val="6"/>
                          <w:spacing w:before="20" w:line="228" w:lineRule="auto"/>
                          <w:ind w:left="20"/>
                        </w:pPr>
                        <w:r>
                          <w:rPr>
                            <w:b/>
                            <w:bCs/>
                          </w:rPr>
                          <w:t>检测项目</w:t>
                        </w:r>
                        <w:r>
                          <w:t xml:space="preserve">  </w:t>
                        </w:r>
                        <w:r>
                          <w:rPr>
                            <w:b/>
                            <w:bCs/>
                          </w:rPr>
                          <w:t>（</w:t>
                        </w:r>
                        <w:r>
                          <w:rPr>
                            <w:spacing w:val="-52"/>
                          </w:rPr>
                          <w:t xml:space="preserve"> </w:t>
                        </w:r>
                        <w:r>
                          <w:rPr>
                            <w:rFonts w:ascii="Times New Roman" w:hAnsi="Times New Roman" w:eastAsia="Times New Roman" w:cs="Times New Roman"/>
                            <w:b/>
                            <w:bCs/>
                          </w:rPr>
                          <w:t>m</w:t>
                        </w:r>
                        <w:r>
                          <w:rPr>
                            <w:b/>
                            <w:bCs/>
                          </w:rPr>
                          <w:t>）</w:t>
                        </w:r>
                      </w:p>
                    </w:txbxContent>
                  </v:textbox>
                </v:shape>
              </w:pict>
            </w:r>
          </w:p>
        </w:tc>
        <w:tc>
          <w:tcPr>
            <w:tcW w:w="2100" w:type="dxa"/>
            <w:vAlign w:val="top"/>
          </w:tcPr>
          <w:p w14:paraId="18151DBF">
            <w:pPr>
              <w:pStyle w:val="6"/>
              <w:spacing w:before="226" w:line="228" w:lineRule="auto"/>
              <w:ind w:left="486"/>
            </w:pPr>
            <w:r>
              <w:rPr>
                <w:rFonts w:ascii="Times New Roman" w:hAnsi="Times New Roman" w:eastAsia="Times New Roman" w:cs="Times New Roman"/>
                <w:b/>
                <w:bCs/>
                <w:spacing w:val="5"/>
              </w:rPr>
              <w:t xml:space="preserve">T1 </w:t>
            </w:r>
            <w:r>
              <w:rPr>
                <w:b/>
                <w:bCs/>
                <w:spacing w:val="5"/>
              </w:rPr>
              <w:t>养殖区域</w:t>
            </w:r>
          </w:p>
        </w:tc>
        <w:tc>
          <w:tcPr>
            <w:tcW w:w="1674" w:type="dxa"/>
            <w:vAlign w:val="top"/>
          </w:tcPr>
          <w:p w14:paraId="46914984">
            <w:pPr>
              <w:pStyle w:val="6"/>
              <w:spacing w:before="63" w:line="228" w:lineRule="auto"/>
              <w:ind w:left="273"/>
            </w:pPr>
            <w:r>
              <w:rPr>
                <w:rFonts w:ascii="Times New Roman" w:hAnsi="Times New Roman" w:eastAsia="Times New Roman" w:cs="Times New Roman"/>
                <w:b/>
                <w:bCs/>
                <w:spacing w:val="4"/>
              </w:rPr>
              <w:t>T2</w:t>
            </w:r>
            <w:r>
              <w:rPr>
                <w:rFonts w:ascii="Times New Roman" w:hAnsi="Times New Roman" w:eastAsia="Times New Roman" w:cs="Times New Roman"/>
                <w:b/>
                <w:bCs/>
                <w:spacing w:val="15"/>
                <w:w w:val="101"/>
              </w:rPr>
              <w:t xml:space="preserve"> </w:t>
            </w:r>
            <w:r>
              <w:rPr>
                <w:b/>
                <w:bCs/>
                <w:spacing w:val="4"/>
              </w:rPr>
              <w:t>污水处理</w:t>
            </w:r>
          </w:p>
          <w:p w14:paraId="5ADCBC31">
            <w:pPr>
              <w:pStyle w:val="6"/>
              <w:spacing w:before="79" w:line="229" w:lineRule="auto"/>
              <w:ind w:left="646"/>
            </w:pPr>
            <w:r>
              <w:rPr>
                <w:b/>
                <w:bCs/>
                <w:spacing w:val="-4"/>
              </w:rPr>
              <w:t>区域</w:t>
            </w:r>
          </w:p>
        </w:tc>
        <w:tc>
          <w:tcPr>
            <w:tcW w:w="1893" w:type="dxa"/>
            <w:vAlign w:val="top"/>
          </w:tcPr>
          <w:p w14:paraId="0DFD5C98">
            <w:pPr>
              <w:pStyle w:val="6"/>
              <w:spacing w:before="62" w:line="229" w:lineRule="auto"/>
              <w:ind w:left="384"/>
            </w:pPr>
            <w:r>
              <w:rPr>
                <w:rFonts w:ascii="Times New Roman" w:hAnsi="Times New Roman" w:eastAsia="Times New Roman" w:cs="Times New Roman"/>
                <w:b/>
                <w:bCs/>
                <w:spacing w:val="4"/>
              </w:rPr>
              <w:t>T3</w:t>
            </w:r>
            <w:r>
              <w:rPr>
                <w:rFonts w:ascii="Times New Roman" w:hAnsi="Times New Roman" w:eastAsia="Times New Roman" w:cs="Times New Roman"/>
                <w:b/>
                <w:bCs/>
                <w:spacing w:val="13"/>
              </w:rPr>
              <w:t xml:space="preserve"> </w:t>
            </w:r>
            <w:r>
              <w:rPr>
                <w:b/>
                <w:bCs/>
                <w:spacing w:val="4"/>
              </w:rPr>
              <w:t>项目区域</w:t>
            </w:r>
          </w:p>
          <w:p w14:paraId="519B29F7">
            <w:pPr>
              <w:pStyle w:val="6"/>
              <w:spacing w:before="78" w:line="230" w:lineRule="auto"/>
              <w:ind w:left="642"/>
            </w:pPr>
            <w:r>
              <w:rPr>
                <w:b/>
                <w:bCs/>
                <w:spacing w:val="3"/>
              </w:rPr>
              <w:t>西南面</w:t>
            </w:r>
          </w:p>
        </w:tc>
        <w:tc>
          <w:tcPr>
            <w:tcW w:w="711" w:type="dxa"/>
            <w:vMerge w:val="restart"/>
            <w:tcBorders>
              <w:bottom w:val="nil"/>
            </w:tcBorders>
            <w:vAlign w:val="top"/>
          </w:tcPr>
          <w:p w14:paraId="3DEE3974">
            <w:pPr>
              <w:spacing w:line="346" w:lineRule="auto"/>
              <w:rPr>
                <w:rFonts w:ascii="Arial"/>
                <w:sz w:val="21"/>
              </w:rPr>
            </w:pPr>
          </w:p>
          <w:p w14:paraId="3488D698">
            <w:pPr>
              <w:spacing w:line="346" w:lineRule="auto"/>
              <w:rPr>
                <w:rFonts w:ascii="Arial"/>
                <w:sz w:val="21"/>
              </w:rPr>
            </w:pPr>
          </w:p>
          <w:p w14:paraId="39A12D58">
            <w:pPr>
              <w:pStyle w:val="6"/>
              <w:spacing w:before="65" w:line="228" w:lineRule="auto"/>
              <w:ind w:right="28"/>
              <w:jc w:val="right"/>
              <w:rPr>
                <w:rFonts w:ascii="Times New Roman" w:hAnsi="Times New Roman" w:eastAsia="Times New Roman" w:cs="Times New Roman"/>
                <w:sz w:val="11"/>
                <w:szCs w:val="11"/>
              </w:rPr>
            </w:pPr>
            <w:r>
              <w:rPr>
                <w:b/>
                <w:bCs/>
                <w:spacing w:val="-3"/>
              </w:rPr>
              <w:t>限值</w:t>
            </w:r>
            <w:r>
              <w:rPr>
                <w:spacing w:val="-40"/>
              </w:rPr>
              <w:t xml:space="preserve"> </w:t>
            </w:r>
            <w:r>
              <w:rPr>
                <w:rFonts w:ascii="Times New Roman" w:hAnsi="Times New Roman" w:eastAsia="Times New Roman" w:cs="Times New Roman"/>
                <w:spacing w:val="-3"/>
                <w:position w:val="5"/>
                <w:sz w:val="11"/>
                <w:szCs w:val="11"/>
              </w:rPr>
              <w:t>c</w:t>
            </w:r>
          </w:p>
        </w:tc>
      </w:tr>
      <w:tr w14:paraId="7EF6A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Merge w:val="continue"/>
            <w:tcBorders>
              <w:top w:val="nil"/>
              <w:bottom w:val="nil"/>
            </w:tcBorders>
            <w:vAlign w:val="top"/>
          </w:tcPr>
          <w:p w14:paraId="7EA4A99B">
            <w:pPr>
              <w:rPr>
                <w:rFonts w:ascii="Arial"/>
                <w:sz w:val="21"/>
              </w:rPr>
            </w:pPr>
          </w:p>
        </w:tc>
        <w:tc>
          <w:tcPr>
            <w:tcW w:w="2100" w:type="dxa"/>
            <w:vAlign w:val="top"/>
          </w:tcPr>
          <w:p w14:paraId="301A00CB">
            <w:pPr>
              <w:spacing w:before="131" w:line="195" w:lineRule="auto"/>
              <w:ind w:left="834"/>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0-0.2</w:t>
            </w:r>
          </w:p>
        </w:tc>
        <w:tc>
          <w:tcPr>
            <w:tcW w:w="1674" w:type="dxa"/>
            <w:vAlign w:val="top"/>
          </w:tcPr>
          <w:p w14:paraId="5566A5B6">
            <w:pPr>
              <w:spacing w:before="131" w:line="195" w:lineRule="auto"/>
              <w:ind w:left="623"/>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0-0.2</w:t>
            </w:r>
          </w:p>
        </w:tc>
        <w:tc>
          <w:tcPr>
            <w:tcW w:w="1893" w:type="dxa"/>
            <w:vAlign w:val="top"/>
          </w:tcPr>
          <w:p w14:paraId="215A9FA2">
            <w:pPr>
              <w:spacing w:before="131" w:line="195" w:lineRule="auto"/>
              <w:ind w:left="73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0-0.2</w:t>
            </w:r>
          </w:p>
        </w:tc>
        <w:tc>
          <w:tcPr>
            <w:tcW w:w="711" w:type="dxa"/>
            <w:vMerge w:val="continue"/>
            <w:tcBorders>
              <w:top w:val="nil"/>
              <w:bottom w:val="nil"/>
            </w:tcBorders>
            <w:vAlign w:val="top"/>
          </w:tcPr>
          <w:p w14:paraId="79E56D8B">
            <w:pPr>
              <w:rPr>
                <w:rFonts w:ascii="Arial"/>
                <w:sz w:val="21"/>
              </w:rPr>
            </w:pPr>
          </w:p>
        </w:tc>
      </w:tr>
      <w:tr w14:paraId="3F50A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2476" w:type="dxa"/>
            <w:vMerge w:val="continue"/>
            <w:tcBorders>
              <w:top w:val="nil"/>
            </w:tcBorders>
            <w:vAlign w:val="top"/>
          </w:tcPr>
          <w:p w14:paraId="1CEE38C4">
            <w:pPr>
              <w:rPr>
                <w:rFonts w:ascii="Arial"/>
                <w:sz w:val="21"/>
              </w:rPr>
            </w:pPr>
          </w:p>
        </w:tc>
        <w:tc>
          <w:tcPr>
            <w:tcW w:w="2100" w:type="dxa"/>
            <w:vAlign w:val="top"/>
          </w:tcPr>
          <w:p w14:paraId="7136693B">
            <w:pPr>
              <w:spacing w:before="96" w:line="195" w:lineRule="auto"/>
              <w:ind w:left="413"/>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X08510N11E1</w:t>
            </w:r>
          </w:p>
          <w:p w14:paraId="4078A83D">
            <w:pPr>
              <w:spacing w:before="137" w:line="195" w:lineRule="auto"/>
              <w:ind w:left="77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T0101</w:t>
            </w:r>
          </w:p>
        </w:tc>
        <w:tc>
          <w:tcPr>
            <w:tcW w:w="1674" w:type="dxa"/>
            <w:vAlign w:val="top"/>
          </w:tcPr>
          <w:p w14:paraId="07663E69">
            <w:pPr>
              <w:spacing w:before="96" w:line="195" w:lineRule="auto"/>
              <w:ind w:left="199"/>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X08510N11E1</w:t>
            </w:r>
          </w:p>
          <w:p w14:paraId="4BCFBD70">
            <w:pPr>
              <w:spacing w:before="137" w:line="195" w:lineRule="auto"/>
              <w:ind w:left="561"/>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T0201</w:t>
            </w:r>
          </w:p>
        </w:tc>
        <w:tc>
          <w:tcPr>
            <w:tcW w:w="1893" w:type="dxa"/>
            <w:vAlign w:val="top"/>
          </w:tcPr>
          <w:p w14:paraId="25C79E5E">
            <w:pPr>
              <w:spacing w:before="96" w:line="195" w:lineRule="auto"/>
              <w:ind w:left="311"/>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X08510N11E1</w:t>
            </w:r>
          </w:p>
          <w:p w14:paraId="309A0E15">
            <w:pPr>
              <w:spacing w:before="137" w:line="195" w:lineRule="auto"/>
              <w:ind w:left="672"/>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T0301</w:t>
            </w:r>
          </w:p>
        </w:tc>
        <w:tc>
          <w:tcPr>
            <w:tcW w:w="711" w:type="dxa"/>
            <w:vMerge w:val="continue"/>
            <w:tcBorders>
              <w:top w:val="nil"/>
            </w:tcBorders>
            <w:vAlign w:val="top"/>
          </w:tcPr>
          <w:p w14:paraId="4580D9CD">
            <w:pPr>
              <w:rPr>
                <w:rFonts w:ascii="Arial"/>
                <w:sz w:val="21"/>
              </w:rPr>
            </w:pPr>
          </w:p>
        </w:tc>
      </w:tr>
      <w:tr w14:paraId="5EF10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67CE1C88">
            <w:pPr>
              <w:pStyle w:val="6"/>
              <w:spacing w:before="95" w:line="229" w:lineRule="auto"/>
              <w:ind w:left="1140"/>
            </w:pPr>
            <w:r>
              <w:rPr>
                <w:spacing w:val="1"/>
              </w:rPr>
              <w:t>砷</w:t>
            </w:r>
          </w:p>
        </w:tc>
        <w:tc>
          <w:tcPr>
            <w:tcW w:w="2100" w:type="dxa"/>
            <w:vAlign w:val="top"/>
          </w:tcPr>
          <w:p w14:paraId="68DC2F9C">
            <w:pPr>
              <w:spacing w:before="64" w:line="274" w:lineRule="exact"/>
              <w:ind w:left="8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14.8</w:t>
            </w:r>
          </w:p>
        </w:tc>
        <w:tc>
          <w:tcPr>
            <w:tcW w:w="1674" w:type="dxa"/>
            <w:vAlign w:val="top"/>
          </w:tcPr>
          <w:p w14:paraId="2E8206A2">
            <w:pPr>
              <w:spacing w:before="64" w:line="274" w:lineRule="exact"/>
              <w:ind w:left="6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26.8</w:t>
            </w:r>
          </w:p>
        </w:tc>
        <w:tc>
          <w:tcPr>
            <w:tcW w:w="1893" w:type="dxa"/>
            <w:vAlign w:val="top"/>
          </w:tcPr>
          <w:p w14:paraId="409BCA9D">
            <w:pPr>
              <w:spacing w:before="64" w:line="274" w:lineRule="exact"/>
              <w:ind w:left="7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7.41</w:t>
            </w:r>
          </w:p>
        </w:tc>
        <w:tc>
          <w:tcPr>
            <w:tcW w:w="711" w:type="dxa"/>
            <w:vAlign w:val="top"/>
          </w:tcPr>
          <w:p w14:paraId="2C27A233">
            <w:pPr>
              <w:spacing w:before="64" w:line="274" w:lineRule="exact"/>
              <w:ind w:left="2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r>
      <w:tr w14:paraId="26B3A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5C46C683">
            <w:pPr>
              <w:pStyle w:val="6"/>
              <w:spacing w:before="96" w:line="231" w:lineRule="auto"/>
              <w:ind w:left="1140"/>
            </w:pPr>
            <w:r>
              <w:rPr>
                <w:spacing w:val="2"/>
              </w:rPr>
              <w:t>镉</w:t>
            </w:r>
          </w:p>
        </w:tc>
        <w:tc>
          <w:tcPr>
            <w:tcW w:w="2100" w:type="dxa"/>
            <w:vAlign w:val="top"/>
          </w:tcPr>
          <w:p w14:paraId="402A6D21">
            <w:pPr>
              <w:spacing w:before="65" w:line="274" w:lineRule="exact"/>
              <w:ind w:left="80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1674" w:type="dxa"/>
            <w:vAlign w:val="top"/>
          </w:tcPr>
          <w:p w14:paraId="47177757">
            <w:pPr>
              <w:spacing w:before="65" w:line="274" w:lineRule="exact"/>
              <w:ind w:left="5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1893" w:type="dxa"/>
            <w:vAlign w:val="top"/>
          </w:tcPr>
          <w:p w14:paraId="55F10C84">
            <w:pPr>
              <w:spacing w:before="65" w:line="274" w:lineRule="exact"/>
              <w:ind w:left="7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w:t>
            </w:r>
          </w:p>
        </w:tc>
        <w:tc>
          <w:tcPr>
            <w:tcW w:w="711" w:type="dxa"/>
            <w:vAlign w:val="top"/>
          </w:tcPr>
          <w:p w14:paraId="145182BA">
            <w:pPr>
              <w:spacing w:before="65" w:line="274" w:lineRule="exact"/>
              <w:ind w:left="2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r>
      <w:tr w14:paraId="4291F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6" w:type="dxa"/>
            <w:vAlign w:val="top"/>
          </w:tcPr>
          <w:p w14:paraId="6AF74943">
            <w:pPr>
              <w:pStyle w:val="6"/>
              <w:spacing w:before="94" w:line="227" w:lineRule="auto"/>
              <w:ind w:left="720"/>
            </w:pPr>
            <w:r>
              <w:rPr>
                <w:spacing w:val="6"/>
              </w:rPr>
              <w:t>铬（六价）</w:t>
            </w:r>
          </w:p>
        </w:tc>
        <w:tc>
          <w:tcPr>
            <w:tcW w:w="2100" w:type="dxa"/>
            <w:vAlign w:val="top"/>
          </w:tcPr>
          <w:p w14:paraId="11EC7FB3">
            <w:pPr>
              <w:spacing w:before="64" w:line="274" w:lineRule="exact"/>
              <w:ind w:left="8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0.5L</w:t>
            </w:r>
          </w:p>
        </w:tc>
        <w:tc>
          <w:tcPr>
            <w:tcW w:w="1674" w:type="dxa"/>
            <w:vAlign w:val="top"/>
          </w:tcPr>
          <w:p w14:paraId="1964E323">
            <w:pPr>
              <w:spacing w:before="64" w:line="274"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0.5L</w:t>
            </w:r>
          </w:p>
        </w:tc>
        <w:tc>
          <w:tcPr>
            <w:tcW w:w="1893" w:type="dxa"/>
            <w:vAlign w:val="top"/>
          </w:tcPr>
          <w:p w14:paraId="221A5E80">
            <w:pPr>
              <w:spacing w:before="64" w:line="274" w:lineRule="exact"/>
              <w:ind w:left="7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0.5L</w:t>
            </w:r>
          </w:p>
        </w:tc>
        <w:tc>
          <w:tcPr>
            <w:tcW w:w="711" w:type="dxa"/>
            <w:vAlign w:val="top"/>
          </w:tcPr>
          <w:p w14:paraId="4E0A5751">
            <w:pPr>
              <w:spacing w:before="133" w:line="192" w:lineRule="auto"/>
              <w:ind w:left="23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r>
      <w:tr w14:paraId="37DC5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01B492AA">
            <w:pPr>
              <w:pStyle w:val="6"/>
              <w:spacing w:before="96" w:line="230" w:lineRule="auto"/>
              <w:ind w:left="1141"/>
            </w:pPr>
            <w:r>
              <w:t>铜</w:t>
            </w:r>
          </w:p>
        </w:tc>
        <w:tc>
          <w:tcPr>
            <w:tcW w:w="2100" w:type="dxa"/>
            <w:vAlign w:val="top"/>
          </w:tcPr>
          <w:p w14:paraId="750C048A">
            <w:pPr>
              <w:spacing w:before="66" w:line="274" w:lineRule="exact"/>
              <w:ind w:left="8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10.4</w:t>
            </w:r>
          </w:p>
        </w:tc>
        <w:tc>
          <w:tcPr>
            <w:tcW w:w="1674" w:type="dxa"/>
            <w:vAlign w:val="top"/>
          </w:tcPr>
          <w:p w14:paraId="55B2CA57">
            <w:pPr>
              <w:spacing w:before="66" w:line="274" w:lineRule="exact"/>
              <w:ind w:left="6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19.1</w:t>
            </w:r>
          </w:p>
        </w:tc>
        <w:tc>
          <w:tcPr>
            <w:tcW w:w="1893" w:type="dxa"/>
            <w:vAlign w:val="top"/>
          </w:tcPr>
          <w:p w14:paraId="353E5168">
            <w:pPr>
              <w:spacing w:before="66" w:line="274" w:lineRule="exact"/>
              <w:ind w:left="7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18.5</w:t>
            </w:r>
          </w:p>
        </w:tc>
        <w:tc>
          <w:tcPr>
            <w:tcW w:w="711" w:type="dxa"/>
            <w:vAlign w:val="top"/>
          </w:tcPr>
          <w:p w14:paraId="088E5041">
            <w:pPr>
              <w:spacing w:before="66" w:line="274" w:lineRule="exact"/>
              <w:ind w:left="1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18000</w:t>
            </w:r>
          </w:p>
        </w:tc>
      </w:tr>
      <w:tr w14:paraId="517DD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6" w:type="dxa"/>
            <w:vAlign w:val="top"/>
          </w:tcPr>
          <w:p w14:paraId="3ACD74A2">
            <w:pPr>
              <w:pStyle w:val="6"/>
              <w:spacing w:before="95" w:line="233" w:lineRule="auto"/>
              <w:ind w:left="1141"/>
            </w:pPr>
            <w:r>
              <w:t>铅</w:t>
            </w:r>
          </w:p>
        </w:tc>
        <w:tc>
          <w:tcPr>
            <w:tcW w:w="2100" w:type="dxa"/>
            <w:vAlign w:val="top"/>
          </w:tcPr>
          <w:p w14:paraId="3FFAF460">
            <w:pPr>
              <w:spacing w:before="64" w:line="274" w:lineRule="exact"/>
              <w:ind w:left="96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674" w:type="dxa"/>
            <w:vAlign w:val="top"/>
          </w:tcPr>
          <w:p w14:paraId="50B145EE">
            <w:pPr>
              <w:spacing w:before="64" w:line="274" w:lineRule="exact"/>
              <w:ind w:left="75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17</w:t>
            </w:r>
          </w:p>
        </w:tc>
        <w:tc>
          <w:tcPr>
            <w:tcW w:w="1893" w:type="dxa"/>
            <w:vAlign w:val="top"/>
          </w:tcPr>
          <w:p w14:paraId="06518C71">
            <w:pPr>
              <w:spacing w:before="64" w:line="274" w:lineRule="exact"/>
              <w:ind w:left="86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711" w:type="dxa"/>
            <w:vAlign w:val="top"/>
          </w:tcPr>
          <w:p w14:paraId="39ACBCC5">
            <w:pPr>
              <w:spacing w:before="64" w:line="274" w:lineRule="exact"/>
              <w:ind w:left="2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800</w:t>
            </w:r>
          </w:p>
        </w:tc>
      </w:tr>
      <w:tr w14:paraId="7C7A4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015851CA">
            <w:pPr>
              <w:pStyle w:val="6"/>
              <w:spacing w:before="97" w:line="229" w:lineRule="auto"/>
              <w:ind w:left="1142"/>
            </w:pPr>
            <w:r>
              <w:t>汞</w:t>
            </w:r>
          </w:p>
        </w:tc>
        <w:tc>
          <w:tcPr>
            <w:tcW w:w="2100" w:type="dxa"/>
            <w:vAlign w:val="top"/>
          </w:tcPr>
          <w:p w14:paraId="65B3F5DD">
            <w:pPr>
              <w:spacing w:before="66" w:line="274" w:lineRule="exact"/>
              <w:ind w:left="81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0.151</w:t>
            </w:r>
          </w:p>
        </w:tc>
        <w:tc>
          <w:tcPr>
            <w:tcW w:w="1674" w:type="dxa"/>
            <w:vAlign w:val="top"/>
          </w:tcPr>
          <w:p w14:paraId="56C8389A">
            <w:pPr>
              <w:spacing w:before="66" w:line="274" w:lineRule="exact"/>
              <w:ind w:left="6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0.192</w:t>
            </w:r>
          </w:p>
        </w:tc>
        <w:tc>
          <w:tcPr>
            <w:tcW w:w="1893" w:type="dxa"/>
            <w:vAlign w:val="top"/>
          </w:tcPr>
          <w:p w14:paraId="5ECC65F8">
            <w:pPr>
              <w:spacing w:before="66" w:line="274" w:lineRule="exact"/>
              <w:ind w:left="71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0.153</w:t>
            </w:r>
          </w:p>
        </w:tc>
        <w:tc>
          <w:tcPr>
            <w:tcW w:w="711" w:type="dxa"/>
            <w:vAlign w:val="top"/>
          </w:tcPr>
          <w:p w14:paraId="1C701160">
            <w:pPr>
              <w:spacing w:before="66" w:line="274" w:lineRule="exact"/>
              <w:ind w:left="2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38</w:t>
            </w:r>
          </w:p>
        </w:tc>
      </w:tr>
      <w:tr w14:paraId="3DAAA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6" w:type="dxa"/>
            <w:vAlign w:val="top"/>
          </w:tcPr>
          <w:p w14:paraId="032455DD">
            <w:pPr>
              <w:pStyle w:val="6"/>
              <w:spacing w:before="98" w:line="229" w:lineRule="auto"/>
              <w:ind w:left="1140"/>
            </w:pPr>
            <w:r>
              <w:rPr>
                <w:spacing w:val="1"/>
              </w:rPr>
              <w:t>镍</w:t>
            </w:r>
          </w:p>
        </w:tc>
        <w:tc>
          <w:tcPr>
            <w:tcW w:w="2100" w:type="dxa"/>
            <w:vAlign w:val="top"/>
          </w:tcPr>
          <w:p w14:paraId="286E2BAF">
            <w:pPr>
              <w:spacing w:before="67" w:line="274" w:lineRule="exact"/>
              <w:ind w:left="100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674" w:type="dxa"/>
            <w:vAlign w:val="top"/>
          </w:tcPr>
          <w:p w14:paraId="23333A3B">
            <w:pPr>
              <w:spacing w:before="67" w:line="274" w:lineRule="exact"/>
              <w:ind w:left="753"/>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1893" w:type="dxa"/>
            <w:vAlign w:val="top"/>
          </w:tcPr>
          <w:p w14:paraId="23F1C784">
            <w:pPr>
              <w:spacing w:before="137" w:line="192" w:lineRule="auto"/>
              <w:ind w:left="90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11" w:type="dxa"/>
            <w:vAlign w:val="top"/>
          </w:tcPr>
          <w:p w14:paraId="5BDDA482">
            <w:pPr>
              <w:spacing w:before="67" w:line="274"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900</w:t>
            </w:r>
          </w:p>
        </w:tc>
      </w:tr>
      <w:tr w14:paraId="05755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5F70E564">
            <w:pPr>
              <w:pStyle w:val="6"/>
              <w:spacing w:before="98" w:line="229" w:lineRule="auto"/>
              <w:ind w:left="847"/>
            </w:pPr>
            <w:r>
              <w:rPr>
                <w:spacing w:val="2"/>
              </w:rPr>
              <w:t>四氯化碳</w:t>
            </w:r>
          </w:p>
        </w:tc>
        <w:tc>
          <w:tcPr>
            <w:tcW w:w="2100" w:type="dxa"/>
            <w:vAlign w:val="top"/>
          </w:tcPr>
          <w:p w14:paraId="753B0789">
            <w:pPr>
              <w:spacing w:before="67"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0.0021L</w:t>
            </w:r>
          </w:p>
        </w:tc>
        <w:tc>
          <w:tcPr>
            <w:tcW w:w="1674" w:type="dxa"/>
            <w:vAlign w:val="top"/>
          </w:tcPr>
          <w:p w14:paraId="02CA8392">
            <w:pPr>
              <w:spacing w:before="67" w:line="274"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0.0021L</w:t>
            </w:r>
          </w:p>
        </w:tc>
        <w:tc>
          <w:tcPr>
            <w:tcW w:w="1893" w:type="dxa"/>
            <w:vAlign w:val="top"/>
          </w:tcPr>
          <w:p w14:paraId="3CE6982C">
            <w:pPr>
              <w:spacing w:before="67" w:line="274"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0.0021L</w:t>
            </w:r>
          </w:p>
        </w:tc>
        <w:tc>
          <w:tcPr>
            <w:tcW w:w="711" w:type="dxa"/>
            <w:vAlign w:val="top"/>
          </w:tcPr>
          <w:p w14:paraId="4C015A5A">
            <w:pPr>
              <w:spacing w:before="67" w:line="274"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r>
      <w:tr w14:paraId="586DE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294EA767">
            <w:pPr>
              <w:pStyle w:val="6"/>
              <w:spacing w:before="99" w:line="229" w:lineRule="auto"/>
              <w:ind w:left="1039"/>
            </w:pPr>
            <w:r>
              <w:rPr>
                <w:spacing w:val="3"/>
              </w:rPr>
              <w:t>氯仿</w:t>
            </w:r>
          </w:p>
        </w:tc>
        <w:tc>
          <w:tcPr>
            <w:tcW w:w="2100" w:type="dxa"/>
            <w:vAlign w:val="top"/>
          </w:tcPr>
          <w:p w14:paraId="6CBE9F81">
            <w:pPr>
              <w:spacing w:before="68" w:line="274" w:lineRule="exact"/>
              <w:ind w:left="70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0.0015L</w:t>
            </w:r>
          </w:p>
        </w:tc>
        <w:tc>
          <w:tcPr>
            <w:tcW w:w="1674" w:type="dxa"/>
            <w:vAlign w:val="top"/>
          </w:tcPr>
          <w:p w14:paraId="7193E2CB">
            <w:pPr>
              <w:spacing w:before="68" w:line="274"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0.0015L</w:t>
            </w:r>
          </w:p>
        </w:tc>
        <w:tc>
          <w:tcPr>
            <w:tcW w:w="1893" w:type="dxa"/>
            <w:vAlign w:val="top"/>
          </w:tcPr>
          <w:p w14:paraId="14A843EB">
            <w:pPr>
              <w:spacing w:before="68" w:line="274" w:lineRule="exact"/>
              <w:ind w:left="6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0.0015L</w:t>
            </w:r>
          </w:p>
        </w:tc>
        <w:tc>
          <w:tcPr>
            <w:tcW w:w="711" w:type="dxa"/>
            <w:vAlign w:val="top"/>
          </w:tcPr>
          <w:p w14:paraId="726966B6">
            <w:pPr>
              <w:spacing w:before="68"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0.9</w:t>
            </w:r>
          </w:p>
        </w:tc>
      </w:tr>
      <w:tr w14:paraId="6293D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5333C1C1">
            <w:pPr>
              <w:pStyle w:val="6"/>
              <w:spacing w:before="97" w:line="229" w:lineRule="auto"/>
              <w:ind w:left="933"/>
            </w:pPr>
            <w:r>
              <w:rPr>
                <w:spacing w:val="5"/>
              </w:rPr>
              <w:t>氯甲烷</w:t>
            </w:r>
          </w:p>
        </w:tc>
        <w:tc>
          <w:tcPr>
            <w:tcW w:w="2100" w:type="dxa"/>
            <w:vAlign w:val="top"/>
          </w:tcPr>
          <w:p w14:paraId="49B24C79">
            <w:pPr>
              <w:spacing w:before="66" w:line="275" w:lineRule="exact"/>
              <w:ind w:left="7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0.003L</w:t>
            </w:r>
          </w:p>
        </w:tc>
        <w:tc>
          <w:tcPr>
            <w:tcW w:w="1674" w:type="dxa"/>
            <w:vAlign w:val="top"/>
          </w:tcPr>
          <w:p w14:paraId="2A2084BF">
            <w:pPr>
              <w:spacing w:before="66" w:line="275" w:lineRule="exact"/>
              <w:ind w:left="5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0.003L</w:t>
            </w:r>
          </w:p>
        </w:tc>
        <w:tc>
          <w:tcPr>
            <w:tcW w:w="1893" w:type="dxa"/>
            <w:vAlign w:val="top"/>
          </w:tcPr>
          <w:p w14:paraId="590A7CED">
            <w:pPr>
              <w:spacing w:before="66" w:line="275" w:lineRule="exact"/>
              <w:ind w:left="6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0.003L</w:t>
            </w:r>
          </w:p>
        </w:tc>
        <w:tc>
          <w:tcPr>
            <w:tcW w:w="711" w:type="dxa"/>
            <w:vAlign w:val="top"/>
          </w:tcPr>
          <w:p w14:paraId="1ED1014A">
            <w:pPr>
              <w:spacing w:before="66" w:line="275" w:lineRule="exact"/>
              <w:ind w:left="2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37</w:t>
            </w:r>
          </w:p>
        </w:tc>
      </w:tr>
      <w:tr w14:paraId="49F3D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62E81A2A">
            <w:pPr>
              <w:pStyle w:val="6"/>
              <w:spacing w:before="67" w:line="275" w:lineRule="exact"/>
              <w:ind w:left="678"/>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二氯乙烷</w:t>
            </w:r>
          </w:p>
        </w:tc>
        <w:tc>
          <w:tcPr>
            <w:tcW w:w="2100" w:type="dxa"/>
            <w:vAlign w:val="top"/>
          </w:tcPr>
          <w:p w14:paraId="21D10EC5">
            <w:pPr>
              <w:spacing w:before="67" w:line="275"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1674" w:type="dxa"/>
            <w:vAlign w:val="top"/>
          </w:tcPr>
          <w:p w14:paraId="3942C67C">
            <w:pPr>
              <w:spacing w:before="67" w:line="275"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1893" w:type="dxa"/>
            <w:vAlign w:val="top"/>
          </w:tcPr>
          <w:p w14:paraId="34A6CAF1">
            <w:pPr>
              <w:spacing w:before="67" w:line="275"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711" w:type="dxa"/>
            <w:vAlign w:val="top"/>
          </w:tcPr>
          <w:p w14:paraId="3D2EEDBE">
            <w:pPr>
              <w:spacing w:before="67" w:line="275" w:lineRule="exact"/>
              <w:ind w:left="30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r>
      <w:tr w14:paraId="008EA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66A526ED">
            <w:pPr>
              <w:pStyle w:val="6"/>
              <w:spacing w:before="66" w:line="274" w:lineRule="exact"/>
              <w:ind w:left="678"/>
            </w:pPr>
            <w:r>
              <w:rPr>
                <w:rFonts w:ascii="Times New Roman" w:hAnsi="Times New Roman" w:eastAsia="Times New Roman" w:cs="Times New Roman"/>
                <w:spacing w:val="3"/>
                <w:position w:val="2"/>
              </w:rPr>
              <w:t>1,2-</w:t>
            </w:r>
            <w:r>
              <w:rPr>
                <w:spacing w:val="3"/>
                <w:position w:val="2"/>
              </w:rPr>
              <w:t>二氯乙烷</w:t>
            </w:r>
          </w:p>
        </w:tc>
        <w:tc>
          <w:tcPr>
            <w:tcW w:w="2100" w:type="dxa"/>
            <w:vAlign w:val="top"/>
          </w:tcPr>
          <w:p w14:paraId="27972019">
            <w:pPr>
              <w:spacing w:before="66"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0.0013L</w:t>
            </w:r>
          </w:p>
        </w:tc>
        <w:tc>
          <w:tcPr>
            <w:tcW w:w="1674" w:type="dxa"/>
            <w:vAlign w:val="top"/>
          </w:tcPr>
          <w:p w14:paraId="5F4DC401">
            <w:pPr>
              <w:spacing w:before="66" w:line="274"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0.0013L</w:t>
            </w:r>
          </w:p>
        </w:tc>
        <w:tc>
          <w:tcPr>
            <w:tcW w:w="1893" w:type="dxa"/>
            <w:vAlign w:val="top"/>
          </w:tcPr>
          <w:p w14:paraId="2021E943">
            <w:pPr>
              <w:spacing w:before="66" w:line="274"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0.0013L</w:t>
            </w:r>
          </w:p>
        </w:tc>
        <w:tc>
          <w:tcPr>
            <w:tcW w:w="711" w:type="dxa"/>
            <w:vAlign w:val="top"/>
          </w:tcPr>
          <w:p w14:paraId="18FFA16C">
            <w:pPr>
              <w:spacing w:before="136" w:line="192"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2A6BB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6" w:type="dxa"/>
            <w:vAlign w:val="top"/>
          </w:tcPr>
          <w:p w14:paraId="2436968F">
            <w:pPr>
              <w:pStyle w:val="6"/>
              <w:spacing w:before="67" w:line="274" w:lineRule="exact"/>
              <w:ind w:left="678"/>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二氯乙烯</w:t>
            </w:r>
          </w:p>
        </w:tc>
        <w:tc>
          <w:tcPr>
            <w:tcW w:w="2100" w:type="dxa"/>
            <w:vAlign w:val="top"/>
          </w:tcPr>
          <w:p w14:paraId="27459263">
            <w:pPr>
              <w:spacing w:before="67"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0.0008L</w:t>
            </w:r>
          </w:p>
        </w:tc>
        <w:tc>
          <w:tcPr>
            <w:tcW w:w="1674" w:type="dxa"/>
            <w:vAlign w:val="top"/>
          </w:tcPr>
          <w:p w14:paraId="47E120B8">
            <w:pPr>
              <w:spacing w:before="67" w:line="274"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0.0008L</w:t>
            </w:r>
          </w:p>
        </w:tc>
        <w:tc>
          <w:tcPr>
            <w:tcW w:w="1893" w:type="dxa"/>
            <w:vAlign w:val="top"/>
          </w:tcPr>
          <w:p w14:paraId="7AF491CE">
            <w:pPr>
              <w:spacing w:before="67" w:line="274"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0.0008L</w:t>
            </w:r>
          </w:p>
        </w:tc>
        <w:tc>
          <w:tcPr>
            <w:tcW w:w="711" w:type="dxa"/>
            <w:vAlign w:val="top"/>
          </w:tcPr>
          <w:p w14:paraId="4BFA1D24">
            <w:pPr>
              <w:spacing w:before="67" w:line="274" w:lineRule="exact"/>
              <w:ind w:left="2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66</w:t>
            </w:r>
          </w:p>
        </w:tc>
      </w:tr>
      <w:tr w14:paraId="03802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476" w:type="dxa"/>
            <w:vAlign w:val="top"/>
          </w:tcPr>
          <w:p w14:paraId="5223FF79">
            <w:pPr>
              <w:pStyle w:val="6"/>
              <w:spacing w:before="68" w:line="274" w:lineRule="exact"/>
              <w:ind w:left="523"/>
            </w:pPr>
            <w:r>
              <w:rPr>
                <w:spacing w:val="5"/>
                <w:position w:val="2"/>
              </w:rPr>
              <w:t>顺</w:t>
            </w:r>
            <w:r>
              <w:rPr>
                <w:rFonts w:ascii="Times New Roman" w:hAnsi="Times New Roman" w:eastAsia="Times New Roman" w:cs="Times New Roman"/>
                <w:spacing w:val="5"/>
                <w:position w:val="2"/>
              </w:rPr>
              <w:t>-1,2-</w:t>
            </w:r>
            <w:r>
              <w:rPr>
                <w:spacing w:val="5"/>
                <w:position w:val="2"/>
              </w:rPr>
              <w:t>二氯乙烯</w:t>
            </w:r>
          </w:p>
        </w:tc>
        <w:tc>
          <w:tcPr>
            <w:tcW w:w="2100" w:type="dxa"/>
            <w:vAlign w:val="top"/>
          </w:tcPr>
          <w:p w14:paraId="7C3E50A6">
            <w:pPr>
              <w:spacing w:before="68"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1674" w:type="dxa"/>
            <w:vAlign w:val="top"/>
          </w:tcPr>
          <w:p w14:paraId="5881E025">
            <w:pPr>
              <w:spacing w:before="68" w:line="274"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1893" w:type="dxa"/>
            <w:vAlign w:val="top"/>
          </w:tcPr>
          <w:p w14:paraId="4DDFAAF9">
            <w:pPr>
              <w:spacing w:before="68" w:line="274"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711" w:type="dxa"/>
            <w:vAlign w:val="top"/>
          </w:tcPr>
          <w:p w14:paraId="5CC5BC49">
            <w:pPr>
              <w:spacing w:before="68"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596</w:t>
            </w:r>
          </w:p>
        </w:tc>
      </w:tr>
    </w:tbl>
    <w:p w14:paraId="1FD9899A">
      <w:pPr>
        <w:pStyle w:val="2"/>
        <w:spacing w:line="134" w:lineRule="exact"/>
        <w:rPr>
          <w:sz w:val="11"/>
        </w:rPr>
      </w:pPr>
    </w:p>
    <w:p w14:paraId="69C690CF">
      <w:pPr>
        <w:spacing w:line="134" w:lineRule="exact"/>
        <w:rPr>
          <w:sz w:val="11"/>
          <w:szCs w:val="11"/>
        </w:rPr>
        <w:sectPr>
          <w:footerReference r:id="rId109" w:type="default"/>
          <w:pgSz w:w="11906" w:h="16839"/>
          <w:pgMar w:top="400" w:right="1475" w:bottom="1485" w:left="1475" w:header="0" w:footer="1249" w:gutter="0"/>
          <w:cols w:space="720" w:num="1"/>
        </w:sectPr>
      </w:pPr>
    </w:p>
    <w:p w14:paraId="344C17A1">
      <w:pPr>
        <w:spacing w:before="13"/>
      </w:pPr>
    </w:p>
    <w:p w14:paraId="73CA318F">
      <w:pPr>
        <w:spacing w:before="13"/>
      </w:pPr>
    </w:p>
    <w:p w14:paraId="34FC9418">
      <w:pPr>
        <w:spacing w:before="13"/>
      </w:pPr>
    </w:p>
    <w:p w14:paraId="56D2FF5B">
      <w:pPr>
        <w:spacing w:before="13"/>
      </w:pPr>
    </w:p>
    <w:tbl>
      <w:tblPr>
        <w:tblStyle w:val="5"/>
        <w:tblW w:w="88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0"/>
        <w:gridCol w:w="2100"/>
        <w:gridCol w:w="1674"/>
        <w:gridCol w:w="1893"/>
        <w:gridCol w:w="711"/>
      </w:tblGrid>
      <w:tr w14:paraId="2A856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470" w:type="dxa"/>
            <w:vAlign w:val="top"/>
          </w:tcPr>
          <w:p w14:paraId="0B7E490A">
            <w:pPr>
              <w:pStyle w:val="6"/>
              <w:spacing w:before="66" w:line="275" w:lineRule="exact"/>
              <w:ind w:left="517"/>
            </w:pPr>
            <w:r>
              <w:rPr>
                <w:spacing w:val="5"/>
                <w:position w:val="2"/>
              </w:rPr>
              <w:t>反</w:t>
            </w:r>
            <w:r>
              <w:rPr>
                <w:rFonts w:ascii="Times New Roman" w:hAnsi="Times New Roman" w:eastAsia="Times New Roman" w:cs="Times New Roman"/>
                <w:spacing w:val="5"/>
                <w:position w:val="2"/>
              </w:rPr>
              <w:t>-1,2-</w:t>
            </w:r>
            <w:r>
              <w:rPr>
                <w:spacing w:val="5"/>
                <w:position w:val="2"/>
              </w:rPr>
              <w:t>二氯乙烯</w:t>
            </w:r>
          </w:p>
        </w:tc>
        <w:tc>
          <w:tcPr>
            <w:tcW w:w="2100" w:type="dxa"/>
            <w:vAlign w:val="top"/>
          </w:tcPr>
          <w:p w14:paraId="1E5DD25C">
            <w:pPr>
              <w:spacing w:before="66" w:line="275" w:lineRule="exact"/>
              <w:ind w:left="6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1674" w:type="dxa"/>
            <w:vAlign w:val="top"/>
          </w:tcPr>
          <w:p w14:paraId="27E43A19">
            <w:pPr>
              <w:spacing w:before="66" w:line="275"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1893" w:type="dxa"/>
            <w:vAlign w:val="top"/>
          </w:tcPr>
          <w:p w14:paraId="51F7ACE3">
            <w:pPr>
              <w:spacing w:before="66" w:line="275"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711" w:type="dxa"/>
            <w:vAlign w:val="top"/>
          </w:tcPr>
          <w:p w14:paraId="73A38C42">
            <w:pPr>
              <w:spacing w:before="66" w:line="275" w:lineRule="exact"/>
              <w:ind w:left="25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r>
      <w:tr w14:paraId="79B00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5E5A0C8F">
            <w:pPr>
              <w:pStyle w:val="6"/>
              <w:spacing w:before="94" w:line="229" w:lineRule="auto"/>
              <w:ind w:left="825"/>
            </w:pPr>
            <w:r>
              <w:rPr>
                <w:spacing w:val="6"/>
              </w:rPr>
              <w:t>二氯甲烷</w:t>
            </w:r>
          </w:p>
        </w:tc>
        <w:tc>
          <w:tcPr>
            <w:tcW w:w="2100" w:type="dxa"/>
            <w:vAlign w:val="top"/>
          </w:tcPr>
          <w:p w14:paraId="5B7591C5">
            <w:pPr>
              <w:spacing w:before="63" w:line="275" w:lineRule="exact"/>
              <w:ind w:left="6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0.0026L</w:t>
            </w:r>
          </w:p>
        </w:tc>
        <w:tc>
          <w:tcPr>
            <w:tcW w:w="1674" w:type="dxa"/>
            <w:vAlign w:val="top"/>
          </w:tcPr>
          <w:p w14:paraId="768921C6">
            <w:pPr>
              <w:spacing w:before="63" w:line="275"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0.0026L</w:t>
            </w:r>
          </w:p>
        </w:tc>
        <w:tc>
          <w:tcPr>
            <w:tcW w:w="1893" w:type="dxa"/>
            <w:vAlign w:val="top"/>
          </w:tcPr>
          <w:p w14:paraId="24FF30E0">
            <w:pPr>
              <w:spacing w:before="63" w:line="275"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0.0026L</w:t>
            </w:r>
          </w:p>
        </w:tc>
        <w:tc>
          <w:tcPr>
            <w:tcW w:w="711" w:type="dxa"/>
            <w:vAlign w:val="top"/>
          </w:tcPr>
          <w:p w14:paraId="07E1252A">
            <w:pPr>
              <w:spacing w:before="63" w:line="275"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616</w:t>
            </w:r>
          </w:p>
        </w:tc>
      </w:tr>
      <w:tr w14:paraId="662C0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30586E7F">
            <w:pPr>
              <w:pStyle w:val="6"/>
              <w:spacing w:before="63" w:line="274" w:lineRule="exact"/>
              <w:ind w:left="672"/>
            </w:pPr>
            <w:r>
              <w:rPr>
                <w:rFonts w:ascii="Times New Roman" w:hAnsi="Times New Roman" w:eastAsia="Times New Roman" w:cs="Times New Roman"/>
                <w:spacing w:val="3"/>
                <w:position w:val="2"/>
              </w:rPr>
              <w:t>1,2-</w:t>
            </w:r>
            <w:r>
              <w:rPr>
                <w:spacing w:val="3"/>
                <w:position w:val="2"/>
              </w:rPr>
              <w:t>二氯丙烷</w:t>
            </w:r>
          </w:p>
        </w:tc>
        <w:tc>
          <w:tcPr>
            <w:tcW w:w="2100" w:type="dxa"/>
            <w:vAlign w:val="top"/>
          </w:tcPr>
          <w:p w14:paraId="1D226698">
            <w:pPr>
              <w:spacing w:before="63" w:line="274" w:lineRule="exact"/>
              <w:ind w:left="6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0.0019L</w:t>
            </w:r>
          </w:p>
        </w:tc>
        <w:tc>
          <w:tcPr>
            <w:tcW w:w="1674" w:type="dxa"/>
            <w:vAlign w:val="top"/>
          </w:tcPr>
          <w:p w14:paraId="2AF13BE3">
            <w:pPr>
              <w:spacing w:before="63" w:line="274"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0.0019L</w:t>
            </w:r>
          </w:p>
        </w:tc>
        <w:tc>
          <w:tcPr>
            <w:tcW w:w="1893" w:type="dxa"/>
            <w:vAlign w:val="top"/>
          </w:tcPr>
          <w:p w14:paraId="0466C1D3">
            <w:pPr>
              <w:spacing w:before="63" w:line="274"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0.0019L</w:t>
            </w:r>
          </w:p>
        </w:tc>
        <w:tc>
          <w:tcPr>
            <w:tcW w:w="711" w:type="dxa"/>
            <w:vAlign w:val="top"/>
          </w:tcPr>
          <w:p w14:paraId="59F247B6">
            <w:pPr>
              <w:spacing w:before="133" w:line="192"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6D3AC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358CCF4B">
            <w:pPr>
              <w:pStyle w:val="6"/>
              <w:spacing w:before="64" w:line="274" w:lineRule="exact"/>
              <w:ind w:left="506"/>
            </w:pPr>
            <w:r>
              <w:rPr>
                <w:rFonts w:ascii="Times New Roman" w:hAnsi="Times New Roman" w:eastAsia="Times New Roman" w:cs="Times New Roman"/>
                <w:spacing w:val="-1"/>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1"/>
                <w:position w:val="2"/>
              </w:rPr>
              <w:t>1,</w:t>
            </w:r>
            <w:r>
              <w:rPr>
                <w:rFonts w:ascii="Times New Roman" w:hAnsi="Times New Roman" w:eastAsia="Times New Roman" w:cs="Times New Roman"/>
                <w:spacing w:val="-27"/>
                <w:position w:val="2"/>
              </w:rPr>
              <w:t xml:space="preserve"> </w:t>
            </w:r>
            <w:r>
              <w:rPr>
                <w:rFonts w:ascii="Times New Roman" w:hAnsi="Times New Roman" w:eastAsia="Times New Roman" w:cs="Times New Roman"/>
                <w:spacing w:val="-1"/>
                <w:position w:val="2"/>
              </w:rPr>
              <w:t>1-2-</w:t>
            </w:r>
            <w:r>
              <w:rPr>
                <w:spacing w:val="-1"/>
                <w:position w:val="2"/>
              </w:rPr>
              <w:t>四氯乙烷</w:t>
            </w:r>
          </w:p>
        </w:tc>
        <w:tc>
          <w:tcPr>
            <w:tcW w:w="2100" w:type="dxa"/>
            <w:vAlign w:val="top"/>
          </w:tcPr>
          <w:p w14:paraId="309D2383">
            <w:pPr>
              <w:spacing w:before="64" w:line="274" w:lineRule="exact"/>
              <w:ind w:left="6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1674" w:type="dxa"/>
            <w:vAlign w:val="top"/>
          </w:tcPr>
          <w:p w14:paraId="5D61A232">
            <w:pPr>
              <w:spacing w:before="64" w:line="274"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1893" w:type="dxa"/>
            <w:vAlign w:val="top"/>
          </w:tcPr>
          <w:p w14:paraId="7FC3EFBD">
            <w:pPr>
              <w:spacing w:before="64" w:line="274" w:lineRule="exact"/>
              <w:ind w:left="59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711" w:type="dxa"/>
            <w:vAlign w:val="top"/>
          </w:tcPr>
          <w:p w14:paraId="07DBE13D">
            <w:pPr>
              <w:spacing w:before="64"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405F2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54591C90">
            <w:pPr>
              <w:pStyle w:val="6"/>
              <w:spacing w:before="65" w:line="274" w:lineRule="exact"/>
              <w:ind w:left="514"/>
            </w:pPr>
            <w:r>
              <w:rPr>
                <w:rFonts w:ascii="Times New Roman" w:hAnsi="Times New Roman" w:eastAsia="Times New Roman" w:cs="Times New Roman"/>
                <w:spacing w:val="1"/>
                <w:position w:val="2"/>
              </w:rPr>
              <w:t>1,</w:t>
            </w:r>
            <w:r>
              <w:rPr>
                <w:rFonts w:ascii="Times New Roman" w:hAnsi="Times New Roman" w:eastAsia="Times New Roman" w:cs="Times New Roman"/>
                <w:spacing w:val="-19"/>
                <w:position w:val="2"/>
              </w:rPr>
              <w:t xml:space="preserve"> </w:t>
            </w:r>
            <w:r>
              <w:rPr>
                <w:rFonts w:ascii="Times New Roman" w:hAnsi="Times New Roman" w:eastAsia="Times New Roman" w:cs="Times New Roman"/>
                <w:spacing w:val="1"/>
                <w:position w:val="2"/>
              </w:rPr>
              <w:t>1,2,2-</w:t>
            </w:r>
            <w:r>
              <w:rPr>
                <w:spacing w:val="1"/>
                <w:position w:val="2"/>
              </w:rPr>
              <w:t>四氯乙烷</w:t>
            </w:r>
          </w:p>
        </w:tc>
        <w:tc>
          <w:tcPr>
            <w:tcW w:w="2100" w:type="dxa"/>
            <w:vAlign w:val="top"/>
          </w:tcPr>
          <w:p w14:paraId="7AD5DADB">
            <w:pPr>
              <w:spacing w:before="65"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1674" w:type="dxa"/>
            <w:vAlign w:val="top"/>
          </w:tcPr>
          <w:p w14:paraId="792A25D5">
            <w:pPr>
              <w:spacing w:before="65"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1893" w:type="dxa"/>
            <w:vAlign w:val="top"/>
          </w:tcPr>
          <w:p w14:paraId="1833B3D9">
            <w:pPr>
              <w:spacing w:before="65"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711" w:type="dxa"/>
            <w:vAlign w:val="top"/>
          </w:tcPr>
          <w:p w14:paraId="5D7FE77C">
            <w:pPr>
              <w:spacing w:before="65" w:line="274" w:lineRule="exact"/>
              <w:ind w:left="23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6.8</w:t>
            </w:r>
          </w:p>
        </w:tc>
      </w:tr>
      <w:tr w14:paraId="0EC38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0BD26160">
            <w:pPr>
              <w:pStyle w:val="6"/>
              <w:spacing w:before="96" w:line="228" w:lineRule="auto"/>
              <w:ind w:left="841"/>
            </w:pPr>
            <w:r>
              <w:rPr>
                <w:spacing w:val="2"/>
              </w:rPr>
              <w:t>四氯乙烯</w:t>
            </w:r>
          </w:p>
        </w:tc>
        <w:tc>
          <w:tcPr>
            <w:tcW w:w="2100" w:type="dxa"/>
            <w:vAlign w:val="top"/>
          </w:tcPr>
          <w:p w14:paraId="7D0AC2EA">
            <w:pPr>
              <w:spacing w:before="65"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0.0008L</w:t>
            </w:r>
          </w:p>
        </w:tc>
        <w:tc>
          <w:tcPr>
            <w:tcW w:w="1674" w:type="dxa"/>
            <w:vAlign w:val="top"/>
          </w:tcPr>
          <w:p w14:paraId="006C5F74">
            <w:pPr>
              <w:spacing w:before="65"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0.0008L</w:t>
            </w:r>
          </w:p>
        </w:tc>
        <w:tc>
          <w:tcPr>
            <w:tcW w:w="1893" w:type="dxa"/>
            <w:vAlign w:val="top"/>
          </w:tcPr>
          <w:p w14:paraId="03C04E5F">
            <w:pPr>
              <w:spacing w:before="65"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0.0008L</w:t>
            </w:r>
          </w:p>
        </w:tc>
        <w:tc>
          <w:tcPr>
            <w:tcW w:w="711" w:type="dxa"/>
            <w:vAlign w:val="top"/>
          </w:tcPr>
          <w:p w14:paraId="2C8E5AE1">
            <w:pPr>
              <w:spacing w:before="65" w:line="274" w:lineRule="exact"/>
              <w:ind w:left="25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r>
      <w:tr w14:paraId="57D4D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02025709">
            <w:pPr>
              <w:pStyle w:val="6"/>
              <w:spacing w:before="66" w:line="274" w:lineRule="exact"/>
              <w:ind w:left="593"/>
            </w:pPr>
            <w:r>
              <w:rPr>
                <w:rFonts w:ascii="Times New Roman" w:hAnsi="Times New Roman" w:eastAsia="Times New Roman" w:cs="Times New Roman"/>
                <w:spacing w:val="-2"/>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2"/>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2"/>
                <w:position w:val="2"/>
              </w:rPr>
              <w:t>1-</w:t>
            </w:r>
            <w:r>
              <w:rPr>
                <w:spacing w:val="-2"/>
                <w:position w:val="2"/>
              </w:rPr>
              <w:t>三氯乙烷</w:t>
            </w:r>
          </w:p>
        </w:tc>
        <w:tc>
          <w:tcPr>
            <w:tcW w:w="2100" w:type="dxa"/>
            <w:vAlign w:val="top"/>
          </w:tcPr>
          <w:p w14:paraId="4F08E806">
            <w:pPr>
              <w:spacing w:before="66" w:line="274" w:lineRule="exact"/>
              <w:ind w:left="7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0.0011L</w:t>
            </w:r>
          </w:p>
        </w:tc>
        <w:tc>
          <w:tcPr>
            <w:tcW w:w="1674" w:type="dxa"/>
            <w:vAlign w:val="top"/>
          </w:tcPr>
          <w:p w14:paraId="223F2A85">
            <w:pPr>
              <w:spacing w:before="66" w:line="274" w:lineRule="exact"/>
              <w:ind w:left="4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0.0011L</w:t>
            </w:r>
          </w:p>
        </w:tc>
        <w:tc>
          <w:tcPr>
            <w:tcW w:w="1893" w:type="dxa"/>
            <w:vAlign w:val="top"/>
          </w:tcPr>
          <w:p w14:paraId="6D2B3CAF">
            <w:pPr>
              <w:spacing w:before="66"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0.0011L</w:t>
            </w:r>
          </w:p>
        </w:tc>
        <w:tc>
          <w:tcPr>
            <w:tcW w:w="711" w:type="dxa"/>
            <w:vAlign w:val="top"/>
          </w:tcPr>
          <w:p w14:paraId="45063228">
            <w:pPr>
              <w:spacing w:before="66" w:line="274" w:lineRule="exact"/>
              <w:ind w:left="2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840</w:t>
            </w:r>
          </w:p>
        </w:tc>
      </w:tr>
      <w:tr w14:paraId="0E5E4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4B74A018">
            <w:pPr>
              <w:pStyle w:val="6"/>
              <w:spacing w:before="64" w:line="274" w:lineRule="exact"/>
              <w:ind w:left="593"/>
            </w:pPr>
            <w:r>
              <w:rPr>
                <w:rFonts w:ascii="Times New Roman" w:hAnsi="Times New Roman" w:eastAsia="Times New Roman" w:cs="Times New Roman"/>
                <w:spacing w:val="1"/>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1"/>
                <w:position w:val="2"/>
              </w:rPr>
              <w:t>1,2-</w:t>
            </w:r>
            <w:r>
              <w:rPr>
                <w:spacing w:val="1"/>
                <w:position w:val="2"/>
              </w:rPr>
              <w:t>三氯乙烷</w:t>
            </w:r>
          </w:p>
        </w:tc>
        <w:tc>
          <w:tcPr>
            <w:tcW w:w="2100" w:type="dxa"/>
            <w:vAlign w:val="top"/>
          </w:tcPr>
          <w:p w14:paraId="7BD086C0">
            <w:pPr>
              <w:spacing w:before="64"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0.0014L</w:t>
            </w:r>
          </w:p>
        </w:tc>
        <w:tc>
          <w:tcPr>
            <w:tcW w:w="1674" w:type="dxa"/>
            <w:vAlign w:val="top"/>
          </w:tcPr>
          <w:p w14:paraId="3C615C51">
            <w:pPr>
              <w:spacing w:before="64"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0.0014L</w:t>
            </w:r>
          </w:p>
        </w:tc>
        <w:tc>
          <w:tcPr>
            <w:tcW w:w="1893" w:type="dxa"/>
            <w:vAlign w:val="top"/>
          </w:tcPr>
          <w:p w14:paraId="16AE30E9">
            <w:pPr>
              <w:spacing w:before="64"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0.0014L</w:t>
            </w:r>
          </w:p>
        </w:tc>
        <w:tc>
          <w:tcPr>
            <w:tcW w:w="711" w:type="dxa"/>
            <w:vAlign w:val="top"/>
          </w:tcPr>
          <w:p w14:paraId="63E07851">
            <w:pPr>
              <w:spacing w:before="64" w:line="274"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r>
      <w:tr w14:paraId="0FACB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6C6256B9">
            <w:pPr>
              <w:pStyle w:val="6"/>
              <w:spacing w:before="96" w:line="228" w:lineRule="auto"/>
              <w:ind w:left="821"/>
            </w:pPr>
            <w:r>
              <w:rPr>
                <w:spacing w:val="7"/>
              </w:rPr>
              <w:t>三氯乙烯</w:t>
            </w:r>
          </w:p>
        </w:tc>
        <w:tc>
          <w:tcPr>
            <w:tcW w:w="2100" w:type="dxa"/>
            <w:vAlign w:val="top"/>
          </w:tcPr>
          <w:p w14:paraId="322420CF">
            <w:pPr>
              <w:spacing w:before="65"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1674" w:type="dxa"/>
            <w:vAlign w:val="top"/>
          </w:tcPr>
          <w:p w14:paraId="0A50AC04">
            <w:pPr>
              <w:spacing w:before="65"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1893" w:type="dxa"/>
            <w:vAlign w:val="top"/>
          </w:tcPr>
          <w:p w14:paraId="0E6AF2D6">
            <w:pPr>
              <w:spacing w:before="65"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0.0009L</w:t>
            </w:r>
          </w:p>
        </w:tc>
        <w:tc>
          <w:tcPr>
            <w:tcW w:w="711" w:type="dxa"/>
            <w:vAlign w:val="top"/>
          </w:tcPr>
          <w:p w14:paraId="05C8ABDF">
            <w:pPr>
              <w:spacing w:before="65" w:line="274" w:lineRule="exact"/>
              <w:ind w:left="2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r>
      <w:tr w14:paraId="3A196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31FA8387">
            <w:pPr>
              <w:pStyle w:val="6"/>
              <w:spacing w:before="66" w:line="274" w:lineRule="exact"/>
              <w:ind w:left="593"/>
            </w:pPr>
            <w:r>
              <w:rPr>
                <w:rFonts w:ascii="Times New Roman" w:hAnsi="Times New Roman" w:eastAsia="Times New Roman" w:cs="Times New Roman"/>
                <w:spacing w:val="3"/>
                <w:position w:val="2"/>
              </w:rPr>
              <w:t>1,2,3-</w:t>
            </w:r>
            <w:r>
              <w:rPr>
                <w:spacing w:val="3"/>
                <w:position w:val="2"/>
              </w:rPr>
              <w:t>三氯丙烷</w:t>
            </w:r>
          </w:p>
        </w:tc>
        <w:tc>
          <w:tcPr>
            <w:tcW w:w="2100" w:type="dxa"/>
            <w:vAlign w:val="top"/>
          </w:tcPr>
          <w:p w14:paraId="150D01B0">
            <w:pPr>
              <w:spacing w:before="66"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1674" w:type="dxa"/>
            <w:vAlign w:val="top"/>
          </w:tcPr>
          <w:p w14:paraId="6023E3A6">
            <w:pPr>
              <w:spacing w:before="66"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1893" w:type="dxa"/>
            <w:vAlign w:val="top"/>
          </w:tcPr>
          <w:p w14:paraId="146343A5">
            <w:pPr>
              <w:spacing w:before="66"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711" w:type="dxa"/>
            <w:vAlign w:val="top"/>
          </w:tcPr>
          <w:p w14:paraId="76374E42">
            <w:pPr>
              <w:spacing w:before="66"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r>
      <w:tr w14:paraId="7041A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7F4CC4F4">
            <w:pPr>
              <w:pStyle w:val="6"/>
              <w:spacing w:before="96" w:line="228" w:lineRule="auto"/>
              <w:ind w:left="928"/>
            </w:pPr>
            <w:r>
              <w:rPr>
                <w:spacing w:val="5"/>
              </w:rPr>
              <w:t>氯乙烯</w:t>
            </w:r>
          </w:p>
        </w:tc>
        <w:tc>
          <w:tcPr>
            <w:tcW w:w="2100" w:type="dxa"/>
            <w:vAlign w:val="top"/>
          </w:tcPr>
          <w:p w14:paraId="13A8C263">
            <w:pPr>
              <w:spacing w:before="65"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0.0015L</w:t>
            </w:r>
          </w:p>
        </w:tc>
        <w:tc>
          <w:tcPr>
            <w:tcW w:w="1674" w:type="dxa"/>
            <w:vAlign w:val="top"/>
          </w:tcPr>
          <w:p w14:paraId="48DF6B34">
            <w:pPr>
              <w:spacing w:before="65"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0.0015L</w:t>
            </w:r>
          </w:p>
        </w:tc>
        <w:tc>
          <w:tcPr>
            <w:tcW w:w="1893" w:type="dxa"/>
            <w:vAlign w:val="top"/>
          </w:tcPr>
          <w:p w14:paraId="3448EDF0">
            <w:pPr>
              <w:spacing w:before="65"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0.0015L</w:t>
            </w:r>
          </w:p>
        </w:tc>
        <w:tc>
          <w:tcPr>
            <w:tcW w:w="711" w:type="dxa"/>
            <w:vAlign w:val="top"/>
          </w:tcPr>
          <w:p w14:paraId="50E6D00D">
            <w:pPr>
              <w:spacing w:before="65"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0.43</w:t>
            </w:r>
          </w:p>
        </w:tc>
      </w:tr>
      <w:tr w14:paraId="78A2A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6C97E1C0">
            <w:pPr>
              <w:pStyle w:val="6"/>
              <w:spacing w:before="96" w:line="228" w:lineRule="auto"/>
              <w:ind w:left="1138"/>
            </w:pPr>
            <w:r>
              <w:t>苯</w:t>
            </w:r>
          </w:p>
        </w:tc>
        <w:tc>
          <w:tcPr>
            <w:tcW w:w="2100" w:type="dxa"/>
            <w:vAlign w:val="top"/>
          </w:tcPr>
          <w:p w14:paraId="1A28E18A">
            <w:pPr>
              <w:spacing w:before="66"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1674" w:type="dxa"/>
            <w:vAlign w:val="top"/>
          </w:tcPr>
          <w:p w14:paraId="7CFB332B">
            <w:pPr>
              <w:spacing w:before="66"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1893" w:type="dxa"/>
            <w:vAlign w:val="top"/>
          </w:tcPr>
          <w:p w14:paraId="1E5DD294">
            <w:pPr>
              <w:spacing w:before="66"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711" w:type="dxa"/>
            <w:vAlign w:val="top"/>
          </w:tcPr>
          <w:p w14:paraId="0A5F495F">
            <w:pPr>
              <w:spacing w:before="66" w:line="274"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r>
      <w:tr w14:paraId="48D47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30EB1422">
            <w:pPr>
              <w:pStyle w:val="6"/>
              <w:spacing w:before="95" w:line="228" w:lineRule="auto"/>
              <w:ind w:left="1033"/>
            </w:pPr>
            <w:r>
              <w:rPr>
                <w:spacing w:val="3"/>
              </w:rPr>
              <w:t>氯苯</w:t>
            </w:r>
          </w:p>
        </w:tc>
        <w:tc>
          <w:tcPr>
            <w:tcW w:w="2100" w:type="dxa"/>
            <w:vAlign w:val="top"/>
          </w:tcPr>
          <w:p w14:paraId="7906E2A1">
            <w:pPr>
              <w:spacing w:before="64" w:line="275" w:lineRule="exact"/>
              <w:ind w:left="7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0.0011L</w:t>
            </w:r>
          </w:p>
        </w:tc>
        <w:tc>
          <w:tcPr>
            <w:tcW w:w="1674" w:type="dxa"/>
            <w:vAlign w:val="top"/>
          </w:tcPr>
          <w:p w14:paraId="715EC19F">
            <w:pPr>
              <w:spacing w:before="64" w:line="275" w:lineRule="exact"/>
              <w:ind w:left="4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0.0011L</w:t>
            </w:r>
          </w:p>
        </w:tc>
        <w:tc>
          <w:tcPr>
            <w:tcW w:w="1893" w:type="dxa"/>
            <w:vAlign w:val="top"/>
          </w:tcPr>
          <w:p w14:paraId="13BA62B2">
            <w:pPr>
              <w:spacing w:before="64" w:line="275"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0.0011L</w:t>
            </w:r>
          </w:p>
        </w:tc>
        <w:tc>
          <w:tcPr>
            <w:tcW w:w="711" w:type="dxa"/>
            <w:vAlign w:val="top"/>
          </w:tcPr>
          <w:p w14:paraId="1EA14096">
            <w:pPr>
              <w:spacing w:before="64" w:line="275" w:lineRule="exact"/>
              <w:ind w:left="2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270</w:t>
            </w:r>
          </w:p>
        </w:tc>
      </w:tr>
      <w:tr w14:paraId="53FA0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0B71C15F">
            <w:pPr>
              <w:pStyle w:val="6"/>
              <w:spacing w:before="65" w:line="275" w:lineRule="exact"/>
              <w:ind w:left="778"/>
            </w:pPr>
            <w:r>
              <w:rPr>
                <w:rFonts w:ascii="Times New Roman" w:hAnsi="Times New Roman" w:eastAsia="Times New Roman" w:cs="Times New Roman"/>
                <w:spacing w:val="2"/>
                <w:position w:val="2"/>
              </w:rPr>
              <w:t>1,2-</w:t>
            </w:r>
            <w:r>
              <w:rPr>
                <w:spacing w:val="2"/>
                <w:position w:val="2"/>
              </w:rPr>
              <w:t>二氯苯</w:t>
            </w:r>
          </w:p>
        </w:tc>
        <w:tc>
          <w:tcPr>
            <w:tcW w:w="2100" w:type="dxa"/>
            <w:vAlign w:val="top"/>
          </w:tcPr>
          <w:p w14:paraId="49E06AE3">
            <w:pPr>
              <w:spacing w:before="65" w:line="275"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1674" w:type="dxa"/>
            <w:vAlign w:val="top"/>
          </w:tcPr>
          <w:p w14:paraId="1F7A9451">
            <w:pPr>
              <w:spacing w:before="65" w:line="275"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1893" w:type="dxa"/>
            <w:vAlign w:val="top"/>
          </w:tcPr>
          <w:p w14:paraId="38CBC0DB">
            <w:pPr>
              <w:spacing w:before="65" w:line="275"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0.0010L</w:t>
            </w:r>
          </w:p>
        </w:tc>
        <w:tc>
          <w:tcPr>
            <w:tcW w:w="711" w:type="dxa"/>
            <w:vAlign w:val="top"/>
          </w:tcPr>
          <w:p w14:paraId="2E694DC0">
            <w:pPr>
              <w:spacing w:before="65" w:line="275"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560</w:t>
            </w:r>
          </w:p>
        </w:tc>
      </w:tr>
      <w:tr w14:paraId="2C965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1B18EFD0">
            <w:pPr>
              <w:pStyle w:val="6"/>
              <w:spacing w:before="64" w:line="274" w:lineRule="exact"/>
              <w:ind w:left="778"/>
            </w:pPr>
            <w:r>
              <w:rPr>
                <w:rFonts w:ascii="Times New Roman" w:hAnsi="Times New Roman" w:eastAsia="Times New Roman" w:cs="Times New Roman"/>
                <w:spacing w:val="2"/>
                <w:position w:val="2"/>
              </w:rPr>
              <w:t>1,4-</w:t>
            </w:r>
            <w:r>
              <w:rPr>
                <w:spacing w:val="2"/>
                <w:position w:val="2"/>
              </w:rPr>
              <w:t>二氯苯</w:t>
            </w:r>
          </w:p>
        </w:tc>
        <w:tc>
          <w:tcPr>
            <w:tcW w:w="2100" w:type="dxa"/>
            <w:vAlign w:val="top"/>
          </w:tcPr>
          <w:p w14:paraId="3A1754D3">
            <w:pPr>
              <w:spacing w:before="64"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0.0012L</w:t>
            </w:r>
          </w:p>
        </w:tc>
        <w:tc>
          <w:tcPr>
            <w:tcW w:w="1674" w:type="dxa"/>
            <w:vAlign w:val="top"/>
          </w:tcPr>
          <w:p w14:paraId="46724726">
            <w:pPr>
              <w:spacing w:before="64"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0.0012L</w:t>
            </w:r>
          </w:p>
        </w:tc>
        <w:tc>
          <w:tcPr>
            <w:tcW w:w="1893" w:type="dxa"/>
            <w:vAlign w:val="top"/>
          </w:tcPr>
          <w:p w14:paraId="73BD3022">
            <w:pPr>
              <w:spacing w:before="64"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0.0012L</w:t>
            </w:r>
          </w:p>
        </w:tc>
        <w:tc>
          <w:tcPr>
            <w:tcW w:w="711" w:type="dxa"/>
            <w:vAlign w:val="top"/>
          </w:tcPr>
          <w:p w14:paraId="2F8D5DA2">
            <w:pPr>
              <w:spacing w:before="64"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3DAA0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1A33BC77">
            <w:pPr>
              <w:pStyle w:val="6"/>
              <w:spacing w:before="95" w:line="228" w:lineRule="auto"/>
              <w:ind w:left="1047"/>
            </w:pPr>
            <w:r>
              <w:rPr>
                <w:spacing w:val="-4"/>
              </w:rPr>
              <w:t>乙苯</w:t>
            </w:r>
          </w:p>
        </w:tc>
        <w:tc>
          <w:tcPr>
            <w:tcW w:w="2100" w:type="dxa"/>
            <w:vAlign w:val="top"/>
          </w:tcPr>
          <w:p w14:paraId="4821DED7">
            <w:pPr>
              <w:spacing w:before="65"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0.0012L</w:t>
            </w:r>
          </w:p>
        </w:tc>
        <w:tc>
          <w:tcPr>
            <w:tcW w:w="1674" w:type="dxa"/>
            <w:vAlign w:val="top"/>
          </w:tcPr>
          <w:p w14:paraId="0E1634FE">
            <w:pPr>
              <w:spacing w:before="65"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0.0012L</w:t>
            </w:r>
          </w:p>
        </w:tc>
        <w:tc>
          <w:tcPr>
            <w:tcW w:w="1893" w:type="dxa"/>
            <w:vAlign w:val="top"/>
          </w:tcPr>
          <w:p w14:paraId="7DCB4240">
            <w:pPr>
              <w:spacing w:before="65"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0.0012L</w:t>
            </w:r>
          </w:p>
        </w:tc>
        <w:tc>
          <w:tcPr>
            <w:tcW w:w="711" w:type="dxa"/>
            <w:vAlign w:val="top"/>
          </w:tcPr>
          <w:p w14:paraId="00CAC41E">
            <w:pPr>
              <w:spacing w:before="65"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r>
      <w:tr w14:paraId="3D3B3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2209A8B3">
            <w:pPr>
              <w:pStyle w:val="6"/>
              <w:spacing w:before="96" w:line="228" w:lineRule="auto"/>
              <w:ind w:left="927"/>
            </w:pPr>
            <w:r>
              <w:rPr>
                <w:spacing w:val="6"/>
              </w:rPr>
              <w:t>苯乙烯</w:t>
            </w:r>
          </w:p>
        </w:tc>
        <w:tc>
          <w:tcPr>
            <w:tcW w:w="2100" w:type="dxa"/>
            <w:vAlign w:val="top"/>
          </w:tcPr>
          <w:p w14:paraId="41C5C182">
            <w:pPr>
              <w:spacing w:before="66"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1674" w:type="dxa"/>
            <w:vAlign w:val="top"/>
          </w:tcPr>
          <w:p w14:paraId="459E3163">
            <w:pPr>
              <w:spacing w:before="66"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1893" w:type="dxa"/>
            <w:vAlign w:val="top"/>
          </w:tcPr>
          <w:p w14:paraId="03623306">
            <w:pPr>
              <w:spacing w:before="66"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0.0016L</w:t>
            </w:r>
          </w:p>
        </w:tc>
        <w:tc>
          <w:tcPr>
            <w:tcW w:w="711" w:type="dxa"/>
            <w:vAlign w:val="top"/>
          </w:tcPr>
          <w:p w14:paraId="3B610BA3">
            <w:pPr>
              <w:spacing w:before="66"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1290</w:t>
            </w:r>
          </w:p>
        </w:tc>
      </w:tr>
      <w:tr w14:paraId="13975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3D024538">
            <w:pPr>
              <w:pStyle w:val="6"/>
              <w:spacing w:before="95" w:line="228" w:lineRule="auto"/>
              <w:ind w:left="1057"/>
            </w:pPr>
            <w:r>
              <w:rPr>
                <w:spacing w:val="-9"/>
              </w:rPr>
              <w:t>甲苯</w:t>
            </w:r>
          </w:p>
        </w:tc>
        <w:tc>
          <w:tcPr>
            <w:tcW w:w="2100" w:type="dxa"/>
            <w:vAlign w:val="top"/>
          </w:tcPr>
          <w:p w14:paraId="0B994EF4">
            <w:pPr>
              <w:spacing w:before="65"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0.0020L</w:t>
            </w:r>
          </w:p>
        </w:tc>
        <w:tc>
          <w:tcPr>
            <w:tcW w:w="1674" w:type="dxa"/>
            <w:vAlign w:val="top"/>
          </w:tcPr>
          <w:p w14:paraId="0FB111C1">
            <w:pPr>
              <w:spacing w:before="65"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0.0020L</w:t>
            </w:r>
          </w:p>
        </w:tc>
        <w:tc>
          <w:tcPr>
            <w:tcW w:w="1893" w:type="dxa"/>
            <w:vAlign w:val="top"/>
          </w:tcPr>
          <w:p w14:paraId="1F80CF4F">
            <w:pPr>
              <w:spacing w:before="65"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0.0020L</w:t>
            </w:r>
          </w:p>
        </w:tc>
        <w:tc>
          <w:tcPr>
            <w:tcW w:w="711" w:type="dxa"/>
            <w:vAlign w:val="top"/>
          </w:tcPr>
          <w:p w14:paraId="316ED78A">
            <w:pPr>
              <w:spacing w:before="65"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1200</w:t>
            </w:r>
          </w:p>
        </w:tc>
      </w:tr>
      <w:tr w14:paraId="53A6C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40861A00">
            <w:pPr>
              <w:pStyle w:val="6"/>
              <w:spacing w:before="66" w:line="274" w:lineRule="exact"/>
              <w:ind w:left="670"/>
            </w:pPr>
            <w:r>
              <w:rPr>
                <w:spacing w:val="4"/>
                <w:position w:val="1"/>
              </w:rPr>
              <w:t>间</w:t>
            </w:r>
            <w:r>
              <w:rPr>
                <w:rFonts w:ascii="Times New Roman" w:hAnsi="Times New Roman" w:eastAsia="Times New Roman" w:cs="Times New Roman"/>
                <w:spacing w:val="4"/>
                <w:position w:val="1"/>
              </w:rPr>
              <w:t>/</w:t>
            </w:r>
            <w:r>
              <w:rPr>
                <w:spacing w:val="4"/>
                <w:position w:val="1"/>
              </w:rPr>
              <w:t>对</w:t>
            </w:r>
            <w:r>
              <w:rPr>
                <w:rFonts w:ascii="Times New Roman" w:hAnsi="Times New Roman" w:eastAsia="Times New Roman" w:cs="Times New Roman"/>
                <w:spacing w:val="4"/>
                <w:position w:val="1"/>
              </w:rPr>
              <w:t>-</w:t>
            </w:r>
            <w:r>
              <w:rPr>
                <w:spacing w:val="4"/>
                <w:position w:val="1"/>
              </w:rPr>
              <w:t>二甲苯</w:t>
            </w:r>
          </w:p>
        </w:tc>
        <w:tc>
          <w:tcPr>
            <w:tcW w:w="2100" w:type="dxa"/>
            <w:vAlign w:val="top"/>
          </w:tcPr>
          <w:p w14:paraId="42E171F3">
            <w:pPr>
              <w:spacing w:before="66"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0.0036L</w:t>
            </w:r>
          </w:p>
        </w:tc>
        <w:tc>
          <w:tcPr>
            <w:tcW w:w="1674" w:type="dxa"/>
            <w:vAlign w:val="top"/>
          </w:tcPr>
          <w:p w14:paraId="16AAFC53">
            <w:pPr>
              <w:spacing w:before="66"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0.0036L</w:t>
            </w:r>
          </w:p>
        </w:tc>
        <w:tc>
          <w:tcPr>
            <w:tcW w:w="1893" w:type="dxa"/>
            <w:vAlign w:val="top"/>
          </w:tcPr>
          <w:p w14:paraId="7FE9796F">
            <w:pPr>
              <w:spacing w:before="66"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0.0036L</w:t>
            </w:r>
          </w:p>
        </w:tc>
        <w:tc>
          <w:tcPr>
            <w:tcW w:w="711" w:type="dxa"/>
            <w:vAlign w:val="top"/>
          </w:tcPr>
          <w:p w14:paraId="40005846">
            <w:pPr>
              <w:spacing w:before="66" w:line="27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570</w:t>
            </w:r>
          </w:p>
        </w:tc>
      </w:tr>
      <w:tr w14:paraId="68C68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7DE5F7EE">
            <w:pPr>
              <w:pStyle w:val="6"/>
              <w:spacing w:before="95" w:line="228" w:lineRule="auto"/>
              <w:ind w:left="784"/>
            </w:pPr>
            <w:r>
              <w:rPr>
                <w:spacing w:val="7"/>
              </w:rPr>
              <w:t>邻</w:t>
            </w:r>
            <w:r>
              <w:rPr>
                <w:rFonts w:ascii="Times New Roman" w:hAnsi="Times New Roman" w:eastAsia="Times New Roman" w:cs="Times New Roman"/>
                <w:spacing w:val="7"/>
              </w:rPr>
              <w:t>-</w:t>
            </w:r>
            <w:r>
              <w:rPr>
                <w:spacing w:val="7"/>
              </w:rPr>
              <w:t>二甲苯</w:t>
            </w:r>
          </w:p>
        </w:tc>
        <w:tc>
          <w:tcPr>
            <w:tcW w:w="2100" w:type="dxa"/>
            <w:vAlign w:val="top"/>
          </w:tcPr>
          <w:p w14:paraId="5DCC2703">
            <w:pPr>
              <w:spacing w:before="64"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0.0013L</w:t>
            </w:r>
          </w:p>
        </w:tc>
        <w:tc>
          <w:tcPr>
            <w:tcW w:w="1674" w:type="dxa"/>
            <w:vAlign w:val="top"/>
          </w:tcPr>
          <w:p w14:paraId="1C3B719D">
            <w:pPr>
              <w:spacing w:before="64" w:line="274" w:lineRule="exact"/>
              <w:ind w:left="4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0.0013L</w:t>
            </w:r>
          </w:p>
        </w:tc>
        <w:tc>
          <w:tcPr>
            <w:tcW w:w="1893" w:type="dxa"/>
            <w:vAlign w:val="top"/>
          </w:tcPr>
          <w:p w14:paraId="0BE510AB">
            <w:pPr>
              <w:spacing w:before="64"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0.0013L</w:t>
            </w:r>
          </w:p>
        </w:tc>
        <w:tc>
          <w:tcPr>
            <w:tcW w:w="711" w:type="dxa"/>
            <w:vAlign w:val="top"/>
          </w:tcPr>
          <w:p w14:paraId="03993B40">
            <w:pPr>
              <w:spacing w:before="64"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640</w:t>
            </w:r>
          </w:p>
        </w:tc>
      </w:tr>
      <w:tr w14:paraId="66A5F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0A92F209">
            <w:pPr>
              <w:pStyle w:val="6"/>
              <w:spacing w:before="96" w:line="228" w:lineRule="auto"/>
              <w:ind w:left="926"/>
            </w:pPr>
            <w:r>
              <w:rPr>
                <w:spacing w:val="6"/>
              </w:rPr>
              <w:t>硝基苯</w:t>
            </w:r>
          </w:p>
        </w:tc>
        <w:tc>
          <w:tcPr>
            <w:tcW w:w="2100" w:type="dxa"/>
            <w:vAlign w:val="top"/>
          </w:tcPr>
          <w:p w14:paraId="50ACF834">
            <w:pPr>
              <w:spacing w:before="65"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1674" w:type="dxa"/>
            <w:vAlign w:val="top"/>
          </w:tcPr>
          <w:p w14:paraId="59782FAB">
            <w:pPr>
              <w:spacing w:before="65" w:line="274" w:lineRule="exact"/>
              <w:ind w:left="5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1893" w:type="dxa"/>
            <w:vAlign w:val="top"/>
          </w:tcPr>
          <w:p w14:paraId="64A508D6">
            <w:pPr>
              <w:spacing w:before="65"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711" w:type="dxa"/>
            <w:vAlign w:val="top"/>
          </w:tcPr>
          <w:p w14:paraId="3B338EEC">
            <w:pPr>
              <w:spacing w:before="65" w:line="274"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76</w:t>
            </w:r>
          </w:p>
        </w:tc>
      </w:tr>
      <w:tr w14:paraId="51619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78DE06DB">
            <w:pPr>
              <w:pStyle w:val="6"/>
              <w:spacing w:before="97" w:line="228" w:lineRule="auto"/>
              <w:ind w:left="1033"/>
            </w:pPr>
            <w:r>
              <w:rPr>
                <w:spacing w:val="3"/>
              </w:rPr>
              <w:t>苯胺</w:t>
            </w:r>
          </w:p>
        </w:tc>
        <w:tc>
          <w:tcPr>
            <w:tcW w:w="2100" w:type="dxa"/>
            <w:vAlign w:val="top"/>
          </w:tcPr>
          <w:p w14:paraId="7C6AE9A2">
            <w:pPr>
              <w:spacing w:before="66"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0.92L</w:t>
            </w:r>
          </w:p>
        </w:tc>
        <w:tc>
          <w:tcPr>
            <w:tcW w:w="1674" w:type="dxa"/>
            <w:vAlign w:val="top"/>
          </w:tcPr>
          <w:p w14:paraId="36CF1EFA">
            <w:pPr>
              <w:spacing w:before="66" w:line="274" w:lineRule="exact"/>
              <w:ind w:left="5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0.92L</w:t>
            </w:r>
          </w:p>
        </w:tc>
        <w:tc>
          <w:tcPr>
            <w:tcW w:w="1893" w:type="dxa"/>
            <w:vAlign w:val="top"/>
          </w:tcPr>
          <w:p w14:paraId="36674593">
            <w:pPr>
              <w:spacing w:before="66"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0.92L</w:t>
            </w:r>
          </w:p>
        </w:tc>
        <w:tc>
          <w:tcPr>
            <w:tcW w:w="711" w:type="dxa"/>
            <w:vAlign w:val="top"/>
          </w:tcPr>
          <w:p w14:paraId="2656C7C5">
            <w:pPr>
              <w:spacing w:before="66" w:line="274" w:lineRule="exact"/>
              <w:ind w:left="2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260</w:t>
            </w:r>
          </w:p>
        </w:tc>
      </w:tr>
      <w:tr w14:paraId="1D5DD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58FB28AB">
            <w:pPr>
              <w:pStyle w:val="6"/>
              <w:spacing w:before="65" w:line="274" w:lineRule="exact"/>
              <w:ind w:left="940"/>
            </w:pPr>
            <w:r>
              <w:rPr>
                <w:rFonts w:ascii="Times New Roman" w:hAnsi="Times New Roman" w:eastAsia="Times New Roman" w:cs="Times New Roman"/>
                <w:spacing w:val="4"/>
                <w:position w:val="1"/>
              </w:rPr>
              <w:t>2-</w:t>
            </w:r>
            <w:r>
              <w:rPr>
                <w:spacing w:val="4"/>
                <w:position w:val="1"/>
              </w:rPr>
              <w:t>氯酚</w:t>
            </w:r>
          </w:p>
        </w:tc>
        <w:tc>
          <w:tcPr>
            <w:tcW w:w="2100" w:type="dxa"/>
            <w:vAlign w:val="top"/>
          </w:tcPr>
          <w:p w14:paraId="7FA09D1C">
            <w:pPr>
              <w:spacing w:before="65"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0.06L</w:t>
            </w:r>
          </w:p>
        </w:tc>
        <w:tc>
          <w:tcPr>
            <w:tcW w:w="1674" w:type="dxa"/>
            <w:vAlign w:val="top"/>
          </w:tcPr>
          <w:p w14:paraId="5B5B359B">
            <w:pPr>
              <w:spacing w:before="65" w:line="274" w:lineRule="exact"/>
              <w:ind w:left="5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0.06L</w:t>
            </w:r>
          </w:p>
        </w:tc>
        <w:tc>
          <w:tcPr>
            <w:tcW w:w="1893" w:type="dxa"/>
            <w:vAlign w:val="top"/>
          </w:tcPr>
          <w:p w14:paraId="59D35893">
            <w:pPr>
              <w:spacing w:before="65"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0.06L</w:t>
            </w:r>
          </w:p>
        </w:tc>
        <w:tc>
          <w:tcPr>
            <w:tcW w:w="711" w:type="dxa"/>
            <w:vAlign w:val="top"/>
          </w:tcPr>
          <w:p w14:paraId="1A9F82F2">
            <w:pPr>
              <w:spacing w:before="65"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2256</w:t>
            </w:r>
          </w:p>
        </w:tc>
      </w:tr>
      <w:tr w14:paraId="378FE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7F8DC9CC">
            <w:pPr>
              <w:pStyle w:val="6"/>
              <w:spacing w:before="66" w:line="274" w:lineRule="exact"/>
              <w:ind w:left="812"/>
            </w:pPr>
            <w:r>
              <w:rPr>
                <w:spacing w:val="5"/>
                <w:position w:val="2"/>
              </w:rPr>
              <w:t>苯并</w:t>
            </w:r>
            <w:r>
              <w:rPr>
                <w:rFonts w:ascii="Times New Roman" w:hAnsi="Times New Roman" w:eastAsia="Times New Roman" w:cs="Times New Roman"/>
                <w:spacing w:val="5"/>
                <w:position w:val="2"/>
              </w:rPr>
              <w:t>[a]</w:t>
            </w:r>
            <w:r>
              <w:rPr>
                <w:spacing w:val="5"/>
                <w:position w:val="2"/>
              </w:rPr>
              <w:t>蒽</w:t>
            </w:r>
          </w:p>
        </w:tc>
        <w:tc>
          <w:tcPr>
            <w:tcW w:w="2100" w:type="dxa"/>
            <w:vAlign w:val="top"/>
          </w:tcPr>
          <w:p w14:paraId="60DFD823">
            <w:pPr>
              <w:spacing w:before="66" w:line="274"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674" w:type="dxa"/>
            <w:vAlign w:val="top"/>
          </w:tcPr>
          <w:p w14:paraId="5857921C">
            <w:pPr>
              <w:spacing w:before="66" w:line="274"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893" w:type="dxa"/>
            <w:vAlign w:val="top"/>
          </w:tcPr>
          <w:p w14:paraId="2A378EBB">
            <w:pPr>
              <w:spacing w:before="66" w:line="274" w:lineRule="exact"/>
              <w:ind w:left="7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711" w:type="dxa"/>
            <w:vAlign w:val="top"/>
          </w:tcPr>
          <w:p w14:paraId="75069010">
            <w:pPr>
              <w:spacing w:before="66"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6C2CE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7B72EA5B">
            <w:pPr>
              <w:pStyle w:val="6"/>
              <w:spacing w:before="64" w:line="275" w:lineRule="exact"/>
              <w:ind w:left="812"/>
            </w:pPr>
            <w:r>
              <w:rPr>
                <w:spacing w:val="5"/>
                <w:position w:val="2"/>
              </w:rPr>
              <w:t>苯并</w:t>
            </w:r>
            <w:r>
              <w:rPr>
                <w:rFonts w:ascii="Times New Roman" w:hAnsi="Times New Roman" w:eastAsia="Times New Roman" w:cs="Times New Roman"/>
                <w:spacing w:val="5"/>
                <w:position w:val="2"/>
              </w:rPr>
              <w:t>[a]</w:t>
            </w:r>
            <w:r>
              <w:rPr>
                <w:spacing w:val="5"/>
                <w:position w:val="2"/>
              </w:rPr>
              <w:t>芘</w:t>
            </w:r>
          </w:p>
        </w:tc>
        <w:tc>
          <w:tcPr>
            <w:tcW w:w="2100" w:type="dxa"/>
            <w:vAlign w:val="top"/>
          </w:tcPr>
          <w:p w14:paraId="6E8E20DF">
            <w:pPr>
              <w:spacing w:before="64" w:line="275"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674" w:type="dxa"/>
            <w:vAlign w:val="top"/>
          </w:tcPr>
          <w:p w14:paraId="12E45CBD">
            <w:pPr>
              <w:spacing w:before="64" w:line="275"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893" w:type="dxa"/>
            <w:vAlign w:val="top"/>
          </w:tcPr>
          <w:p w14:paraId="3ADC859F">
            <w:pPr>
              <w:spacing w:before="64" w:line="275" w:lineRule="exact"/>
              <w:ind w:left="7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711" w:type="dxa"/>
            <w:vAlign w:val="top"/>
          </w:tcPr>
          <w:p w14:paraId="30407C18">
            <w:pPr>
              <w:spacing w:before="64" w:line="275"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r>
      <w:tr w14:paraId="3A212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6F405F1D">
            <w:pPr>
              <w:pStyle w:val="6"/>
              <w:spacing w:before="65" w:line="275" w:lineRule="exact"/>
              <w:ind w:left="701"/>
            </w:pPr>
            <w:r>
              <w:rPr>
                <w:spacing w:val="5"/>
                <w:position w:val="2"/>
              </w:rPr>
              <w:t>苯并</w:t>
            </w:r>
            <w:r>
              <w:rPr>
                <w:rFonts w:ascii="Times New Roman" w:hAnsi="Times New Roman" w:eastAsia="Times New Roman" w:cs="Times New Roman"/>
                <w:spacing w:val="5"/>
                <w:position w:val="2"/>
              </w:rPr>
              <w:t>[b]</w:t>
            </w:r>
            <w:r>
              <w:rPr>
                <w:spacing w:val="5"/>
                <w:position w:val="2"/>
              </w:rPr>
              <w:t>荧蒽</w:t>
            </w:r>
          </w:p>
        </w:tc>
        <w:tc>
          <w:tcPr>
            <w:tcW w:w="2100" w:type="dxa"/>
            <w:vAlign w:val="top"/>
          </w:tcPr>
          <w:p w14:paraId="1F836CCE">
            <w:pPr>
              <w:spacing w:before="65" w:line="275"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0.2L</w:t>
            </w:r>
          </w:p>
        </w:tc>
        <w:tc>
          <w:tcPr>
            <w:tcW w:w="1674" w:type="dxa"/>
            <w:vAlign w:val="top"/>
          </w:tcPr>
          <w:p w14:paraId="2E38EA65">
            <w:pPr>
              <w:spacing w:before="65" w:line="275"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0.2L</w:t>
            </w:r>
          </w:p>
        </w:tc>
        <w:tc>
          <w:tcPr>
            <w:tcW w:w="1893" w:type="dxa"/>
            <w:vAlign w:val="top"/>
          </w:tcPr>
          <w:p w14:paraId="24FE04EF">
            <w:pPr>
              <w:spacing w:before="65" w:line="275" w:lineRule="exact"/>
              <w:ind w:left="7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0.2L</w:t>
            </w:r>
          </w:p>
        </w:tc>
        <w:tc>
          <w:tcPr>
            <w:tcW w:w="711" w:type="dxa"/>
            <w:vAlign w:val="top"/>
          </w:tcPr>
          <w:p w14:paraId="1C739B27">
            <w:pPr>
              <w:spacing w:before="65" w:line="275"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36DD5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77F5636C">
            <w:pPr>
              <w:pStyle w:val="6"/>
              <w:spacing w:before="64" w:line="274" w:lineRule="exact"/>
              <w:ind w:left="701"/>
            </w:pPr>
            <w:r>
              <w:rPr>
                <w:spacing w:val="5"/>
                <w:position w:val="2"/>
              </w:rPr>
              <w:t>苯并</w:t>
            </w:r>
            <w:r>
              <w:rPr>
                <w:rFonts w:ascii="Times New Roman" w:hAnsi="Times New Roman" w:eastAsia="Times New Roman" w:cs="Times New Roman"/>
                <w:spacing w:val="5"/>
                <w:position w:val="2"/>
              </w:rPr>
              <w:t>[k]</w:t>
            </w:r>
            <w:r>
              <w:rPr>
                <w:spacing w:val="5"/>
                <w:position w:val="2"/>
              </w:rPr>
              <w:t>荧蒽</w:t>
            </w:r>
          </w:p>
        </w:tc>
        <w:tc>
          <w:tcPr>
            <w:tcW w:w="2100" w:type="dxa"/>
            <w:vAlign w:val="top"/>
          </w:tcPr>
          <w:p w14:paraId="15848021">
            <w:pPr>
              <w:spacing w:before="64" w:line="274"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674" w:type="dxa"/>
            <w:vAlign w:val="top"/>
          </w:tcPr>
          <w:p w14:paraId="4F6779F4">
            <w:pPr>
              <w:spacing w:before="64" w:line="274"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893" w:type="dxa"/>
            <w:vAlign w:val="top"/>
          </w:tcPr>
          <w:p w14:paraId="434FA9B9">
            <w:pPr>
              <w:spacing w:before="64" w:line="274" w:lineRule="exact"/>
              <w:ind w:left="7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711" w:type="dxa"/>
            <w:vAlign w:val="top"/>
          </w:tcPr>
          <w:p w14:paraId="0B53A42E">
            <w:pPr>
              <w:spacing w:before="64"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151</w:t>
            </w:r>
          </w:p>
        </w:tc>
      </w:tr>
      <w:tr w14:paraId="3CB1E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3B1761DD">
            <w:pPr>
              <w:pStyle w:val="6"/>
              <w:spacing w:before="96" w:line="230" w:lineRule="auto"/>
              <w:ind w:left="1134"/>
            </w:pPr>
            <w:r>
              <w:rPr>
                <w:spacing w:val="2"/>
              </w:rPr>
              <w:t>䓛</w:t>
            </w:r>
          </w:p>
        </w:tc>
        <w:tc>
          <w:tcPr>
            <w:tcW w:w="2100" w:type="dxa"/>
            <w:vAlign w:val="top"/>
          </w:tcPr>
          <w:p w14:paraId="2891230C">
            <w:pPr>
              <w:spacing w:before="65" w:line="274"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674" w:type="dxa"/>
            <w:vAlign w:val="top"/>
          </w:tcPr>
          <w:p w14:paraId="668018B2">
            <w:pPr>
              <w:spacing w:before="65" w:line="274"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893" w:type="dxa"/>
            <w:vAlign w:val="top"/>
          </w:tcPr>
          <w:p w14:paraId="1D1BFA69">
            <w:pPr>
              <w:spacing w:before="65" w:line="274" w:lineRule="exact"/>
              <w:ind w:left="7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711" w:type="dxa"/>
            <w:vAlign w:val="top"/>
          </w:tcPr>
          <w:p w14:paraId="73EB54A0">
            <w:pPr>
              <w:spacing w:before="65"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1293</w:t>
            </w:r>
          </w:p>
        </w:tc>
      </w:tr>
      <w:tr w14:paraId="0A392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77F5A1AE">
            <w:pPr>
              <w:pStyle w:val="6"/>
              <w:spacing w:before="66" w:line="274" w:lineRule="exact"/>
              <w:ind w:left="630"/>
            </w:pPr>
            <w:r>
              <w:rPr>
                <w:spacing w:val="5"/>
                <w:position w:val="2"/>
              </w:rPr>
              <w:t>二苯并</w:t>
            </w:r>
            <w:r>
              <w:rPr>
                <w:rFonts w:ascii="Times New Roman" w:hAnsi="Times New Roman" w:eastAsia="Times New Roman" w:cs="Times New Roman"/>
                <w:spacing w:val="5"/>
                <w:position w:val="2"/>
              </w:rPr>
              <w:t>[a,h]</w:t>
            </w:r>
            <w:r>
              <w:rPr>
                <w:spacing w:val="5"/>
                <w:position w:val="2"/>
              </w:rPr>
              <w:t>蒽</w:t>
            </w:r>
          </w:p>
        </w:tc>
        <w:tc>
          <w:tcPr>
            <w:tcW w:w="2100" w:type="dxa"/>
            <w:vAlign w:val="top"/>
          </w:tcPr>
          <w:p w14:paraId="4758B5CB">
            <w:pPr>
              <w:spacing w:before="66" w:line="274"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674" w:type="dxa"/>
            <w:vAlign w:val="top"/>
          </w:tcPr>
          <w:p w14:paraId="3E98E4FE">
            <w:pPr>
              <w:spacing w:before="66" w:line="274"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893" w:type="dxa"/>
            <w:vAlign w:val="top"/>
          </w:tcPr>
          <w:p w14:paraId="4925A8A2">
            <w:pPr>
              <w:spacing w:before="66" w:line="274" w:lineRule="exact"/>
              <w:ind w:left="7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711" w:type="dxa"/>
            <w:vAlign w:val="top"/>
          </w:tcPr>
          <w:p w14:paraId="71638FEC">
            <w:pPr>
              <w:spacing w:before="66"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r>
      <w:tr w14:paraId="47D45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321ADD2F">
            <w:pPr>
              <w:pStyle w:val="6"/>
              <w:spacing w:before="65" w:line="274" w:lineRule="exact"/>
              <w:ind w:left="518"/>
            </w:pPr>
            <w:r>
              <w:rPr>
                <w:spacing w:val="5"/>
                <w:position w:val="2"/>
              </w:rPr>
              <w:t>茚并</w:t>
            </w:r>
            <w:r>
              <w:rPr>
                <w:rFonts w:ascii="Times New Roman" w:hAnsi="Times New Roman" w:eastAsia="Times New Roman" w:cs="Times New Roman"/>
                <w:spacing w:val="5"/>
                <w:position w:val="2"/>
              </w:rPr>
              <w:t>[1,2,3-</w:t>
            </w:r>
            <w:r>
              <w:rPr>
                <w:rFonts w:ascii="Times New Roman" w:hAnsi="Times New Roman" w:eastAsia="Times New Roman" w:cs="Times New Roman"/>
                <w:position w:val="2"/>
              </w:rPr>
              <w:t>cd</w:t>
            </w:r>
            <w:r>
              <w:rPr>
                <w:rFonts w:ascii="Times New Roman" w:hAnsi="Times New Roman" w:eastAsia="Times New Roman" w:cs="Times New Roman"/>
                <w:spacing w:val="5"/>
                <w:position w:val="2"/>
              </w:rPr>
              <w:t>]</w:t>
            </w:r>
            <w:r>
              <w:rPr>
                <w:spacing w:val="5"/>
                <w:position w:val="2"/>
              </w:rPr>
              <w:t>芘</w:t>
            </w:r>
          </w:p>
        </w:tc>
        <w:tc>
          <w:tcPr>
            <w:tcW w:w="2100" w:type="dxa"/>
            <w:vAlign w:val="top"/>
          </w:tcPr>
          <w:p w14:paraId="0006EA5F">
            <w:pPr>
              <w:spacing w:before="65" w:line="274"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674" w:type="dxa"/>
            <w:vAlign w:val="top"/>
          </w:tcPr>
          <w:p w14:paraId="1FFDF9D0">
            <w:pPr>
              <w:spacing w:before="65" w:line="274" w:lineRule="exact"/>
              <w:ind w:left="6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1893" w:type="dxa"/>
            <w:vAlign w:val="top"/>
          </w:tcPr>
          <w:p w14:paraId="0F88C44A">
            <w:pPr>
              <w:spacing w:before="65" w:line="274" w:lineRule="exact"/>
              <w:ind w:left="7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0.1L</w:t>
            </w:r>
          </w:p>
        </w:tc>
        <w:tc>
          <w:tcPr>
            <w:tcW w:w="711" w:type="dxa"/>
            <w:vAlign w:val="top"/>
          </w:tcPr>
          <w:p w14:paraId="0687CFBB">
            <w:pPr>
              <w:spacing w:before="65"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30467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192BA400">
            <w:pPr>
              <w:pStyle w:val="6"/>
              <w:spacing w:before="97" w:line="229" w:lineRule="auto"/>
              <w:ind w:left="1136"/>
            </w:pPr>
            <w:r>
              <w:t>萘</w:t>
            </w:r>
          </w:p>
        </w:tc>
        <w:tc>
          <w:tcPr>
            <w:tcW w:w="2100" w:type="dxa"/>
            <w:vAlign w:val="top"/>
          </w:tcPr>
          <w:p w14:paraId="2D98341A">
            <w:pPr>
              <w:spacing w:before="67"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1674" w:type="dxa"/>
            <w:vAlign w:val="top"/>
          </w:tcPr>
          <w:p w14:paraId="28407094">
            <w:pPr>
              <w:spacing w:before="67" w:line="274" w:lineRule="exact"/>
              <w:ind w:left="5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1893" w:type="dxa"/>
            <w:vAlign w:val="top"/>
          </w:tcPr>
          <w:p w14:paraId="5E15DCAF">
            <w:pPr>
              <w:spacing w:before="67"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711" w:type="dxa"/>
            <w:vAlign w:val="top"/>
          </w:tcPr>
          <w:p w14:paraId="1B08586F">
            <w:pPr>
              <w:spacing w:before="67" w:line="274"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r>
      <w:tr w14:paraId="3257A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630FA37F">
            <w:pPr>
              <w:pStyle w:val="6"/>
              <w:spacing w:before="96" w:line="221" w:lineRule="auto"/>
              <w:ind w:left="733"/>
            </w:pPr>
            <w:r>
              <w:rPr>
                <w:rFonts w:ascii="Times New Roman" w:hAnsi="Times New Roman" w:eastAsia="Times New Roman" w:cs="Times New Roman"/>
                <w:spacing w:val="5"/>
              </w:rPr>
              <w:t>p,p'-</w:t>
            </w:r>
            <w:r>
              <w:rPr>
                <w:spacing w:val="5"/>
              </w:rPr>
              <w:t>滴滴滴</w:t>
            </w:r>
          </w:p>
        </w:tc>
        <w:tc>
          <w:tcPr>
            <w:tcW w:w="2100" w:type="dxa"/>
            <w:vAlign w:val="top"/>
          </w:tcPr>
          <w:p w14:paraId="0FA6F7D7">
            <w:pPr>
              <w:spacing w:before="65" w:line="274"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6B916496">
            <w:pPr>
              <w:spacing w:before="65"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4F9385C2">
            <w:pPr>
              <w:spacing w:before="65"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0.08L</w:t>
            </w:r>
          </w:p>
        </w:tc>
        <w:tc>
          <w:tcPr>
            <w:tcW w:w="711" w:type="dxa"/>
            <w:vAlign w:val="top"/>
          </w:tcPr>
          <w:p w14:paraId="005DB229">
            <w:pPr>
              <w:spacing w:before="65"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7.1</w:t>
            </w:r>
          </w:p>
        </w:tc>
      </w:tr>
      <w:tr w14:paraId="22A70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2107D462">
            <w:pPr>
              <w:pStyle w:val="6"/>
              <w:spacing w:before="98" w:line="221" w:lineRule="auto"/>
              <w:ind w:left="733"/>
            </w:pPr>
            <w:r>
              <w:rPr>
                <w:rFonts w:ascii="Times New Roman" w:hAnsi="Times New Roman" w:eastAsia="Times New Roman" w:cs="Times New Roman"/>
                <w:spacing w:val="5"/>
              </w:rPr>
              <w:t>p,p'-</w:t>
            </w:r>
            <w:r>
              <w:rPr>
                <w:spacing w:val="5"/>
              </w:rPr>
              <w:t>滴滴伊</w:t>
            </w:r>
          </w:p>
        </w:tc>
        <w:tc>
          <w:tcPr>
            <w:tcW w:w="2100" w:type="dxa"/>
            <w:vAlign w:val="top"/>
          </w:tcPr>
          <w:p w14:paraId="6E5ABD67">
            <w:pPr>
              <w:spacing w:before="67" w:line="274"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756D1ED0">
            <w:pPr>
              <w:spacing w:before="67"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43A28866">
            <w:pPr>
              <w:spacing w:before="67"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0.04L</w:t>
            </w:r>
          </w:p>
        </w:tc>
        <w:tc>
          <w:tcPr>
            <w:tcW w:w="711" w:type="dxa"/>
            <w:vAlign w:val="top"/>
          </w:tcPr>
          <w:p w14:paraId="40C658F6">
            <w:pPr>
              <w:spacing w:before="67"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r>
      <w:tr w14:paraId="72C55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470" w:type="dxa"/>
            <w:vAlign w:val="top"/>
          </w:tcPr>
          <w:p w14:paraId="250C363D">
            <w:pPr>
              <w:pStyle w:val="6"/>
              <w:spacing w:before="99" w:line="221" w:lineRule="auto"/>
              <w:ind w:left="741"/>
            </w:pPr>
            <w:r>
              <w:rPr>
                <w:rFonts w:ascii="Times New Roman" w:hAnsi="Times New Roman" w:eastAsia="Times New Roman" w:cs="Times New Roman"/>
                <w:spacing w:val="4"/>
              </w:rPr>
              <w:t>o,p'-</w:t>
            </w:r>
            <w:r>
              <w:rPr>
                <w:spacing w:val="4"/>
              </w:rPr>
              <w:t>滴滴涕</w:t>
            </w:r>
          </w:p>
        </w:tc>
        <w:tc>
          <w:tcPr>
            <w:tcW w:w="2100" w:type="dxa"/>
            <w:vAlign w:val="top"/>
          </w:tcPr>
          <w:p w14:paraId="30917A80">
            <w:pPr>
              <w:spacing w:before="68" w:line="274"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2B403776">
            <w:pPr>
              <w:spacing w:before="68"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7A693A59">
            <w:pPr>
              <w:spacing w:before="68"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0.08L</w:t>
            </w:r>
          </w:p>
        </w:tc>
        <w:tc>
          <w:tcPr>
            <w:tcW w:w="711" w:type="dxa"/>
            <w:vAlign w:val="top"/>
          </w:tcPr>
          <w:p w14:paraId="0BBDB568">
            <w:pPr>
              <w:spacing w:before="223" w:line="97" w:lineRule="exact"/>
              <w:ind w:left="3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bl>
    <w:p w14:paraId="27651452">
      <w:pPr>
        <w:pStyle w:val="2"/>
        <w:spacing w:line="79" w:lineRule="exact"/>
        <w:rPr>
          <w:sz w:val="6"/>
        </w:rPr>
      </w:pPr>
    </w:p>
    <w:p w14:paraId="7BB77258">
      <w:pPr>
        <w:spacing w:line="79" w:lineRule="exact"/>
        <w:rPr>
          <w:sz w:val="6"/>
          <w:szCs w:val="6"/>
        </w:rPr>
        <w:sectPr>
          <w:footerReference r:id="rId110" w:type="default"/>
          <w:pgSz w:w="11906" w:h="16839"/>
          <w:pgMar w:top="400" w:right="1526" w:bottom="1485" w:left="1526" w:header="0" w:footer="1249" w:gutter="0"/>
          <w:cols w:space="720" w:num="1"/>
        </w:sectPr>
      </w:pPr>
    </w:p>
    <w:p w14:paraId="294FC833">
      <w:pPr>
        <w:spacing w:before="13"/>
      </w:pPr>
    </w:p>
    <w:p w14:paraId="527B3E4A">
      <w:pPr>
        <w:spacing w:before="13"/>
      </w:pPr>
    </w:p>
    <w:p w14:paraId="6AD6C60C">
      <w:pPr>
        <w:spacing w:before="13"/>
      </w:pPr>
    </w:p>
    <w:p w14:paraId="2D1A47B8">
      <w:pPr>
        <w:spacing w:before="13"/>
      </w:pPr>
    </w:p>
    <w:tbl>
      <w:tblPr>
        <w:tblStyle w:val="5"/>
        <w:tblW w:w="88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0"/>
        <w:gridCol w:w="2100"/>
        <w:gridCol w:w="1674"/>
        <w:gridCol w:w="1893"/>
        <w:gridCol w:w="711"/>
      </w:tblGrid>
      <w:tr w14:paraId="6825C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470" w:type="dxa"/>
            <w:vAlign w:val="top"/>
          </w:tcPr>
          <w:p w14:paraId="7AD66F56">
            <w:pPr>
              <w:pStyle w:val="6"/>
              <w:spacing w:before="97" w:line="221" w:lineRule="auto"/>
              <w:ind w:left="733"/>
            </w:pPr>
            <w:r>
              <w:rPr>
                <w:rFonts w:ascii="Times New Roman" w:hAnsi="Times New Roman" w:eastAsia="Times New Roman" w:cs="Times New Roman"/>
                <w:spacing w:val="5"/>
              </w:rPr>
              <w:t>p,p'-</w:t>
            </w:r>
            <w:r>
              <w:rPr>
                <w:spacing w:val="5"/>
              </w:rPr>
              <w:t>滴滴涕</w:t>
            </w:r>
          </w:p>
        </w:tc>
        <w:tc>
          <w:tcPr>
            <w:tcW w:w="2100" w:type="dxa"/>
            <w:vAlign w:val="top"/>
          </w:tcPr>
          <w:p w14:paraId="48409855">
            <w:pPr>
              <w:spacing w:before="66" w:line="275"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7FA089D3">
            <w:pPr>
              <w:spacing w:before="66" w:line="275"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4EE59BE6">
            <w:pPr>
              <w:spacing w:before="66" w:line="275"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0.09L</w:t>
            </w:r>
          </w:p>
        </w:tc>
        <w:tc>
          <w:tcPr>
            <w:tcW w:w="711" w:type="dxa"/>
            <w:vAlign w:val="top"/>
          </w:tcPr>
          <w:p w14:paraId="2BFF9FD6">
            <w:pPr>
              <w:spacing w:before="221" w:line="97" w:lineRule="exact"/>
              <w:ind w:left="3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70C17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75FA0878">
            <w:pPr>
              <w:pStyle w:val="6"/>
              <w:spacing w:before="94" w:line="230" w:lineRule="auto"/>
              <w:ind w:left="926"/>
            </w:pPr>
            <w:r>
              <w:rPr>
                <w:spacing w:val="6"/>
              </w:rPr>
              <w:t>滴滴涕</w:t>
            </w:r>
          </w:p>
        </w:tc>
        <w:tc>
          <w:tcPr>
            <w:tcW w:w="2100" w:type="dxa"/>
            <w:vAlign w:val="top"/>
          </w:tcPr>
          <w:p w14:paraId="4BAA5A39">
            <w:pPr>
              <w:spacing w:before="63" w:line="275"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260DCFD1">
            <w:pPr>
              <w:spacing w:before="63" w:line="275"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3287824C">
            <w:pPr>
              <w:spacing w:before="63" w:line="275"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0.08L</w:t>
            </w:r>
          </w:p>
        </w:tc>
        <w:tc>
          <w:tcPr>
            <w:tcW w:w="711" w:type="dxa"/>
            <w:vAlign w:val="top"/>
          </w:tcPr>
          <w:p w14:paraId="1AB04976">
            <w:pPr>
              <w:spacing w:before="63" w:line="275" w:lineRule="exact"/>
              <w:ind w:left="23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6.7</w:t>
            </w:r>
          </w:p>
        </w:tc>
      </w:tr>
      <w:tr w14:paraId="7D265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277BFF91">
            <w:pPr>
              <w:pStyle w:val="6"/>
              <w:spacing w:before="93" w:line="233" w:lineRule="auto"/>
              <w:ind w:left="836"/>
            </w:pPr>
            <w:r>
              <w:rPr>
                <w:rFonts w:ascii="Times New Roman" w:hAnsi="Times New Roman" w:eastAsia="Times New Roman" w:cs="Times New Roman"/>
                <w:spacing w:val="5"/>
              </w:rPr>
              <w:t>α-</w:t>
            </w:r>
            <w:r>
              <w:rPr>
                <w:spacing w:val="5"/>
              </w:rPr>
              <w:t>六六六</w:t>
            </w:r>
          </w:p>
        </w:tc>
        <w:tc>
          <w:tcPr>
            <w:tcW w:w="2100" w:type="dxa"/>
            <w:vAlign w:val="top"/>
          </w:tcPr>
          <w:p w14:paraId="789CC10F">
            <w:pPr>
              <w:spacing w:before="63" w:line="274"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2650877D">
            <w:pPr>
              <w:spacing w:before="63"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6C413542">
            <w:pPr>
              <w:spacing w:before="63"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0.07L</w:t>
            </w:r>
          </w:p>
        </w:tc>
        <w:tc>
          <w:tcPr>
            <w:tcW w:w="711" w:type="dxa"/>
            <w:vAlign w:val="top"/>
          </w:tcPr>
          <w:p w14:paraId="2687583C">
            <w:pPr>
              <w:spacing w:before="63"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0.3</w:t>
            </w:r>
          </w:p>
        </w:tc>
      </w:tr>
      <w:tr w14:paraId="697C3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70" w:type="dxa"/>
            <w:vAlign w:val="top"/>
          </w:tcPr>
          <w:p w14:paraId="2AD5E05C">
            <w:pPr>
              <w:pStyle w:val="6"/>
              <w:spacing w:before="65" w:line="274" w:lineRule="exact"/>
              <w:ind w:left="841"/>
            </w:pPr>
            <w:r>
              <w:rPr>
                <w:rFonts w:ascii="Times New Roman" w:hAnsi="Times New Roman" w:eastAsia="Times New Roman" w:cs="Times New Roman"/>
                <w:spacing w:val="4"/>
                <w:position w:val="2"/>
              </w:rPr>
              <w:t>β-</w:t>
            </w:r>
            <w:r>
              <w:rPr>
                <w:spacing w:val="4"/>
                <w:position w:val="2"/>
              </w:rPr>
              <w:t>六六六</w:t>
            </w:r>
          </w:p>
        </w:tc>
        <w:tc>
          <w:tcPr>
            <w:tcW w:w="2100" w:type="dxa"/>
            <w:vAlign w:val="top"/>
          </w:tcPr>
          <w:p w14:paraId="35815C6C">
            <w:pPr>
              <w:spacing w:before="65" w:line="274"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559B53CC">
            <w:pPr>
              <w:spacing w:before="65"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5268224E">
            <w:pPr>
              <w:spacing w:before="65"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0.06L</w:t>
            </w:r>
          </w:p>
        </w:tc>
        <w:tc>
          <w:tcPr>
            <w:tcW w:w="711" w:type="dxa"/>
            <w:vAlign w:val="top"/>
          </w:tcPr>
          <w:p w14:paraId="151E8526">
            <w:pPr>
              <w:spacing w:before="65"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0.92</w:t>
            </w:r>
          </w:p>
        </w:tc>
      </w:tr>
      <w:tr w14:paraId="63C7A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4E9EA0FE">
            <w:pPr>
              <w:pStyle w:val="6"/>
              <w:spacing w:before="97" w:line="221" w:lineRule="auto"/>
              <w:ind w:left="837"/>
            </w:pPr>
            <w:r>
              <w:rPr>
                <w:rFonts w:ascii="Times New Roman" w:hAnsi="Times New Roman" w:eastAsia="Times New Roman" w:cs="Times New Roman"/>
                <w:spacing w:val="7"/>
              </w:rPr>
              <w:t>γ-</w:t>
            </w:r>
            <w:r>
              <w:rPr>
                <w:spacing w:val="7"/>
              </w:rPr>
              <w:t>六六六</w:t>
            </w:r>
          </w:p>
        </w:tc>
        <w:tc>
          <w:tcPr>
            <w:tcW w:w="2100" w:type="dxa"/>
            <w:vAlign w:val="top"/>
          </w:tcPr>
          <w:p w14:paraId="35839192">
            <w:pPr>
              <w:spacing w:before="66" w:line="274"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4318E2D9">
            <w:pPr>
              <w:spacing w:before="66"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26E4F061">
            <w:pPr>
              <w:spacing w:before="66"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0.06L</w:t>
            </w:r>
          </w:p>
        </w:tc>
        <w:tc>
          <w:tcPr>
            <w:tcW w:w="711" w:type="dxa"/>
            <w:vAlign w:val="top"/>
          </w:tcPr>
          <w:p w14:paraId="34261B4D">
            <w:pPr>
              <w:spacing w:before="66"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1.9</w:t>
            </w:r>
          </w:p>
        </w:tc>
      </w:tr>
      <w:tr w14:paraId="159DB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70" w:type="dxa"/>
            <w:vAlign w:val="top"/>
          </w:tcPr>
          <w:p w14:paraId="3C511DDF">
            <w:pPr>
              <w:pStyle w:val="6"/>
              <w:spacing w:before="66" w:line="274" w:lineRule="exact"/>
              <w:ind w:left="842"/>
            </w:pPr>
            <w:r>
              <w:rPr>
                <w:rFonts w:ascii="Times New Roman" w:hAnsi="Times New Roman" w:eastAsia="Times New Roman" w:cs="Times New Roman"/>
                <w:spacing w:val="5"/>
                <w:position w:val="1"/>
              </w:rPr>
              <w:t>δ-</w:t>
            </w:r>
            <w:r>
              <w:rPr>
                <w:spacing w:val="5"/>
                <w:position w:val="1"/>
              </w:rPr>
              <w:t>六六六</w:t>
            </w:r>
          </w:p>
        </w:tc>
        <w:tc>
          <w:tcPr>
            <w:tcW w:w="2100" w:type="dxa"/>
            <w:vAlign w:val="top"/>
          </w:tcPr>
          <w:p w14:paraId="15BE66BD">
            <w:pPr>
              <w:spacing w:before="66" w:line="274"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35BD7F92">
            <w:pPr>
              <w:spacing w:before="66"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397D69F1">
            <w:pPr>
              <w:spacing w:before="66"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0.10L</w:t>
            </w:r>
          </w:p>
        </w:tc>
        <w:tc>
          <w:tcPr>
            <w:tcW w:w="711" w:type="dxa"/>
            <w:vAlign w:val="top"/>
          </w:tcPr>
          <w:p w14:paraId="67539810">
            <w:pPr>
              <w:spacing w:before="221" w:line="96" w:lineRule="exact"/>
              <w:ind w:left="3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01101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470" w:type="dxa"/>
            <w:vAlign w:val="top"/>
          </w:tcPr>
          <w:p w14:paraId="6E423660">
            <w:pPr>
              <w:pStyle w:val="6"/>
              <w:spacing w:before="98" w:line="233" w:lineRule="auto"/>
              <w:ind w:left="717"/>
            </w:pPr>
            <w:r>
              <w:rPr>
                <w:spacing w:val="7"/>
              </w:rPr>
              <w:t>六六六总量</w:t>
            </w:r>
          </w:p>
        </w:tc>
        <w:tc>
          <w:tcPr>
            <w:tcW w:w="2100" w:type="dxa"/>
            <w:vAlign w:val="top"/>
          </w:tcPr>
          <w:p w14:paraId="672B19DF">
            <w:pPr>
              <w:spacing w:before="68" w:line="274" w:lineRule="exact"/>
              <w:ind w:left="10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74" w:type="dxa"/>
            <w:vAlign w:val="top"/>
          </w:tcPr>
          <w:p w14:paraId="54223423">
            <w:pPr>
              <w:spacing w:before="68" w:line="274" w:lineRule="exact"/>
              <w:ind w:left="8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93" w:type="dxa"/>
            <w:vAlign w:val="top"/>
          </w:tcPr>
          <w:p w14:paraId="554B33EE">
            <w:pPr>
              <w:spacing w:before="68" w:line="274" w:lineRule="exact"/>
              <w:ind w:left="7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0.06L</w:t>
            </w:r>
          </w:p>
        </w:tc>
        <w:tc>
          <w:tcPr>
            <w:tcW w:w="711" w:type="dxa"/>
            <w:vAlign w:val="top"/>
          </w:tcPr>
          <w:p w14:paraId="7DE303D2">
            <w:pPr>
              <w:spacing w:before="223" w:line="96" w:lineRule="exact"/>
              <w:ind w:left="3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bl>
    <w:p w14:paraId="5F4C0621">
      <w:pPr>
        <w:pStyle w:val="2"/>
        <w:spacing w:line="249" w:lineRule="auto"/>
      </w:pPr>
    </w:p>
    <w:p w14:paraId="42763C15">
      <w:pPr>
        <w:spacing w:before="59" w:line="270" w:lineRule="exact"/>
        <w:ind w:left="69"/>
        <w:rPr>
          <w:rFonts w:ascii="宋体" w:hAnsi="宋体" w:eastAsia="宋体" w:cs="宋体"/>
          <w:sz w:val="18"/>
          <w:szCs w:val="18"/>
        </w:rPr>
      </w:pPr>
      <w:r>
        <w:rPr>
          <w:rFonts w:ascii="宋体" w:hAnsi="宋体" w:eastAsia="宋体" w:cs="宋体"/>
          <w:spacing w:val="-1"/>
          <w:position w:val="2"/>
          <w:sz w:val="18"/>
          <w:szCs w:val="18"/>
        </w:rPr>
        <w:t>注：</w:t>
      </w:r>
      <w:r>
        <w:rPr>
          <w:rFonts w:ascii="Times New Roman" w:hAnsi="Times New Roman" w:eastAsia="Times New Roman" w:cs="Times New Roman"/>
          <w:spacing w:val="-1"/>
          <w:position w:val="2"/>
          <w:sz w:val="18"/>
          <w:szCs w:val="18"/>
        </w:rPr>
        <w:t>1</w:t>
      </w:r>
      <w:r>
        <w:rPr>
          <w:rFonts w:ascii="Times New Roman" w:hAnsi="Times New Roman" w:eastAsia="Times New Roman" w:cs="Times New Roman"/>
          <w:spacing w:val="-26"/>
          <w:position w:val="2"/>
          <w:sz w:val="18"/>
          <w:szCs w:val="18"/>
        </w:rPr>
        <w:t xml:space="preserve"> </w:t>
      </w:r>
      <w:r>
        <w:rPr>
          <w:rFonts w:ascii="宋体" w:hAnsi="宋体" w:eastAsia="宋体" w:cs="宋体"/>
          <w:spacing w:val="-1"/>
          <w:position w:val="2"/>
          <w:sz w:val="18"/>
          <w:szCs w:val="18"/>
        </w:rPr>
        <w:t>、</w:t>
      </w:r>
      <w:r>
        <w:rPr>
          <w:rFonts w:ascii="Times New Roman" w:hAnsi="Times New Roman" w:eastAsia="Times New Roman" w:cs="Times New Roman"/>
          <w:spacing w:val="-1"/>
          <w:position w:val="2"/>
          <w:sz w:val="18"/>
          <w:szCs w:val="18"/>
        </w:rPr>
        <w:t>“L”</w:t>
      </w:r>
      <w:r>
        <w:rPr>
          <w:rFonts w:ascii="宋体" w:hAnsi="宋体" w:eastAsia="宋体" w:cs="宋体"/>
          <w:spacing w:val="-1"/>
          <w:position w:val="2"/>
          <w:sz w:val="18"/>
          <w:szCs w:val="18"/>
        </w:rPr>
        <w:t>表示检测浓度低于检出限，以方法检出限加</w:t>
      </w:r>
      <w:r>
        <w:rPr>
          <w:rFonts w:ascii="宋体" w:hAnsi="宋体" w:eastAsia="宋体" w:cs="宋体"/>
          <w:spacing w:val="-41"/>
          <w:position w:val="2"/>
          <w:sz w:val="18"/>
          <w:szCs w:val="18"/>
        </w:rPr>
        <w:t xml:space="preserve"> </w:t>
      </w:r>
      <w:r>
        <w:rPr>
          <w:rFonts w:ascii="Times New Roman" w:hAnsi="Times New Roman" w:eastAsia="Times New Roman" w:cs="Times New Roman"/>
          <w:spacing w:val="-1"/>
          <w:position w:val="2"/>
          <w:sz w:val="18"/>
          <w:szCs w:val="18"/>
        </w:rPr>
        <w:t xml:space="preserve">L </w:t>
      </w:r>
      <w:r>
        <w:rPr>
          <w:rFonts w:ascii="宋体" w:hAnsi="宋体" w:eastAsia="宋体" w:cs="宋体"/>
          <w:spacing w:val="-1"/>
          <w:position w:val="2"/>
          <w:sz w:val="18"/>
          <w:szCs w:val="18"/>
        </w:rPr>
        <w:t>报结果。</w:t>
      </w:r>
    </w:p>
    <w:p w14:paraId="77C7F8E0">
      <w:pPr>
        <w:spacing w:before="80" w:line="303" w:lineRule="auto"/>
        <w:ind w:left="755" w:hanging="276"/>
        <w:rPr>
          <w:rFonts w:ascii="宋体" w:hAnsi="宋体" w:eastAsia="宋体" w:cs="宋体"/>
          <w:sz w:val="18"/>
          <w:szCs w:val="18"/>
        </w:rPr>
      </w:pPr>
      <w:r>
        <w:rPr>
          <w:rFonts w:ascii="Times New Roman" w:hAnsi="Times New Roman" w:eastAsia="Times New Roman" w:cs="Times New Roman"/>
          <w:spacing w:val="-2"/>
          <w:sz w:val="18"/>
          <w:szCs w:val="18"/>
        </w:rPr>
        <w:t>2</w:t>
      </w:r>
      <w:r>
        <w:rPr>
          <w:rFonts w:ascii="Times New Roman" w:hAnsi="Times New Roman" w:eastAsia="Times New Roman" w:cs="Times New Roman"/>
          <w:spacing w:val="-26"/>
          <w:sz w:val="18"/>
          <w:szCs w:val="18"/>
        </w:rPr>
        <w:t xml:space="preserve"> </w:t>
      </w:r>
      <w:r>
        <w:rPr>
          <w:rFonts w:ascii="宋体" w:hAnsi="宋体" w:eastAsia="宋体" w:cs="宋体"/>
          <w:spacing w:val="-2"/>
          <w:sz w:val="18"/>
          <w:szCs w:val="18"/>
        </w:rPr>
        <w:t>、</w:t>
      </w:r>
      <w:r>
        <w:rPr>
          <w:rFonts w:ascii="Times New Roman" w:hAnsi="Times New Roman" w:eastAsia="Times New Roman" w:cs="Times New Roman"/>
          <w:spacing w:val="-2"/>
          <w:sz w:val="18"/>
          <w:szCs w:val="18"/>
        </w:rPr>
        <w:t>“c”</w:t>
      </w:r>
      <w:r>
        <w:rPr>
          <w:rFonts w:ascii="宋体" w:hAnsi="宋体" w:eastAsia="宋体" w:cs="宋体"/>
          <w:spacing w:val="-2"/>
          <w:sz w:val="18"/>
          <w:szCs w:val="18"/>
        </w:rPr>
        <w:t>表示执行《土壤环境质量建设用地土壤污染风险管控标准（</w:t>
      </w:r>
      <w:r>
        <w:rPr>
          <w:rFonts w:ascii="宋体" w:hAnsi="宋体" w:eastAsia="宋体" w:cs="宋体"/>
          <w:spacing w:val="-3"/>
          <w:sz w:val="18"/>
          <w:szCs w:val="18"/>
        </w:rPr>
        <w:t>试行）》（</w:t>
      </w:r>
      <w:r>
        <w:rPr>
          <w:rFonts w:ascii="Times New Roman" w:hAnsi="Times New Roman" w:eastAsia="Times New Roman" w:cs="Times New Roman"/>
          <w:spacing w:val="-3"/>
          <w:sz w:val="18"/>
          <w:szCs w:val="18"/>
        </w:rPr>
        <w:t>GB 36600-2018</w:t>
      </w:r>
      <w:r>
        <w:rPr>
          <w:rFonts w:ascii="宋体" w:hAnsi="宋体" w:eastAsia="宋体" w:cs="宋体"/>
          <w:spacing w:val="-3"/>
          <w:sz w:val="18"/>
          <w:szCs w:val="18"/>
        </w:rPr>
        <w:t>）表</w:t>
      </w:r>
      <w:r>
        <w:rPr>
          <w:rFonts w:ascii="宋体" w:hAnsi="宋体" w:eastAsia="宋体" w:cs="宋体"/>
          <w:spacing w:val="-26"/>
          <w:sz w:val="18"/>
          <w:szCs w:val="18"/>
        </w:rPr>
        <w:t xml:space="preserve"> </w:t>
      </w:r>
      <w:r>
        <w:rPr>
          <w:rFonts w:ascii="Times New Roman" w:hAnsi="Times New Roman" w:eastAsia="Times New Roman" w:cs="Times New Roman"/>
          <w:spacing w:val="-3"/>
          <w:sz w:val="18"/>
          <w:szCs w:val="18"/>
        </w:rPr>
        <w:t>1</w:t>
      </w:r>
      <w:r>
        <w:rPr>
          <w:rFonts w:ascii="Times New Roman" w:hAnsi="Times New Roman" w:eastAsia="Times New Roman" w:cs="Times New Roman"/>
          <w:spacing w:val="-24"/>
          <w:sz w:val="18"/>
          <w:szCs w:val="18"/>
        </w:rPr>
        <w:t xml:space="preserve"> </w:t>
      </w:r>
      <w:r>
        <w:rPr>
          <w:rFonts w:ascii="宋体" w:hAnsi="宋体" w:eastAsia="宋体" w:cs="宋体"/>
          <w:spacing w:val="-3"/>
          <w:sz w:val="18"/>
          <w:szCs w:val="18"/>
        </w:rPr>
        <w:t>、表</w:t>
      </w:r>
      <w:r>
        <w:rPr>
          <w:rFonts w:ascii="宋体" w:hAnsi="宋体" w:eastAsia="宋体" w:cs="宋体"/>
          <w:spacing w:val="-41"/>
          <w:sz w:val="18"/>
          <w:szCs w:val="18"/>
        </w:rPr>
        <w:t xml:space="preserve"> </w:t>
      </w:r>
      <w:r>
        <w:rPr>
          <w:rFonts w:ascii="Times New Roman" w:hAnsi="Times New Roman" w:eastAsia="Times New Roman" w:cs="Times New Roman"/>
          <w:spacing w:val="-3"/>
          <w:sz w:val="18"/>
          <w:szCs w:val="18"/>
        </w:rPr>
        <w:t xml:space="preserve">2 </w:t>
      </w:r>
      <w:r>
        <w:rPr>
          <w:rFonts w:ascii="宋体" w:hAnsi="宋体" w:eastAsia="宋体" w:cs="宋体"/>
          <w:spacing w:val="-3"/>
          <w:sz w:val="18"/>
          <w:szCs w:val="18"/>
        </w:rPr>
        <w:t>筛选</w:t>
      </w:r>
      <w:r>
        <w:rPr>
          <w:rFonts w:ascii="宋体" w:hAnsi="宋体" w:eastAsia="宋体" w:cs="宋体"/>
          <w:sz w:val="18"/>
          <w:szCs w:val="18"/>
        </w:rPr>
        <w:t xml:space="preserve"> </w:t>
      </w:r>
      <w:r>
        <w:rPr>
          <w:rFonts w:ascii="宋体" w:hAnsi="宋体" w:eastAsia="宋体" w:cs="宋体"/>
          <w:spacing w:val="-1"/>
          <w:sz w:val="18"/>
          <w:szCs w:val="18"/>
        </w:rPr>
        <w:t>值第二类用地限值。</w:t>
      </w:r>
    </w:p>
    <w:p w14:paraId="501F948A">
      <w:pPr>
        <w:spacing w:before="108" w:line="303" w:lineRule="auto"/>
        <w:ind w:left="756" w:right="1" w:hanging="27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w:t>
      </w:r>
      <w:r>
        <w:rPr>
          <w:rFonts w:ascii="Times New Roman" w:hAnsi="Times New Roman" w:eastAsia="Times New Roman" w:cs="Times New Roman"/>
          <w:spacing w:val="-1"/>
          <w:sz w:val="18"/>
          <w:szCs w:val="18"/>
        </w:rPr>
        <w:t>“-”</w:t>
      </w:r>
      <w:r>
        <w:rPr>
          <w:rFonts w:ascii="宋体" w:hAnsi="宋体" w:eastAsia="宋体" w:cs="宋体"/>
          <w:spacing w:val="-1"/>
          <w:sz w:val="18"/>
          <w:szCs w:val="18"/>
        </w:rPr>
        <w:t>表示该项目在《土壤环境质量建设用地土壤污染风险管控标准</w:t>
      </w:r>
      <w:r>
        <w:rPr>
          <w:rFonts w:ascii="宋体" w:hAnsi="宋体" w:eastAsia="宋体" w:cs="宋体"/>
          <w:spacing w:val="-2"/>
          <w:sz w:val="18"/>
          <w:szCs w:val="18"/>
        </w:rPr>
        <w:t>（试行）》（</w:t>
      </w:r>
      <w:r>
        <w:rPr>
          <w:rFonts w:ascii="Times New Roman" w:hAnsi="Times New Roman" w:eastAsia="Times New Roman" w:cs="Times New Roman"/>
          <w:spacing w:val="-2"/>
          <w:sz w:val="18"/>
          <w:szCs w:val="18"/>
        </w:rPr>
        <w:t>GB 36600-2018</w:t>
      </w:r>
      <w:r>
        <w:rPr>
          <w:rFonts w:ascii="宋体" w:hAnsi="宋体" w:eastAsia="宋体" w:cs="宋体"/>
          <w:spacing w:val="-2"/>
          <w:sz w:val="18"/>
          <w:szCs w:val="18"/>
        </w:rPr>
        <w:t>）表</w:t>
      </w:r>
      <w:r>
        <w:rPr>
          <w:rFonts w:ascii="宋体" w:hAnsi="宋体" w:eastAsia="宋体" w:cs="宋体"/>
          <w:spacing w:val="-23"/>
          <w:sz w:val="18"/>
          <w:szCs w:val="18"/>
        </w:rPr>
        <w:t xml:space="preserve"> </w:t>
      </w:r>
      <w:r>
        <w:rPr>
          <w:rFonts w:ascii="Times New Roman" w:hAnsi="Times New Roman" w:eastAsia="Times New Roman" w:cs="Times New Roman"/>
          <w:spacing w:val="-2"/>
          <w:sz w:val="18"/>
          <w:szCs w:val="18"/>
        </w:rPr>
        <w:t>1</w:t>
      </w:r>
      <w:r>
        <w:rPr>
          <w:rFonts w:ascii="Times New Roman" w:hAnsi="Times New Roman" w:eastAsia="Times New Roman" w:cs="Times New Roman"/>
          <w:spacing w:val="-27"/>
          <w:sz w:val="18"/>
          <w:szCs w:val="18"/>
        </w:rPr>
        <w:t xml:space="preserve"> </w:t>
      </w:r>
      <w:r>
        <w:rPr>
          <w:rFonts w:ascii="宋体" w:hAnsi="宋体" w:eastAsia="宋体" w:cs="宋体"/>
          <w:spacing w:val="-2"/>
          <w:sz w:val="18"/>
          <w:szCs w:val="18"/>
        </w:rPr>
        <w:t>、表</w:t>
      </w:r>
      <w:r>
        <w:rPr>
          <w:rFonts w:ascii="宋体" w:hAnsi="宋体" w:eastAsia="宋体" w:cs="宋体"/>
          <w:spacing w:val="-41"/>
          <w:sz w:val="18"/>
          <w:szCs w:val="18"/>
        </w:rPr>
        <w:t xml:space="preserve"> </w:t>
      </w:r>
      <w:r>
        <w:rPr>
          <w:rFonts w:ascii="Times New Roman" w:hAnsi="Times New Roman" w:eastAsia="Times New Roman" w:cs="Times New Roman"/>
          <w:spacing w:val="-2"/>
          <w:sz w:val="18"/>
          <w:szCs w:val="18"/>
        </w:rPr>
        <w:t>2</w:t>
      </w:r>
      <w:r>
        <w:rPr>
          <w:rFonts w:ascii="Times New Roman" w:hAnsi="Times New Roman" w:eastAsia="Times New Roman" w:cs="Times New Roman"/>
          <w:sz w:val="18"/>
          <w:szCs w:val="18"/>
        </w:rPr>
        <w:t xml:space="preserve"> </w:t>
      </w:r>
      <w:r>
        <w:rPr>
          <w:rFonts w:ascii="宋体" w:hAnsi="宋体" w:eastAsia="宋体" w:cs="宋体"/>
          <w:spacing w:val="-1"/>
          <w:sz w:val="18"/>
          <w:szCs w:val="18"/>
        </w:rPr>
        <w:t>筛选值第二类用地中没有评价限值。</w:t>
      </w:r>
    </w:p>
    <w:p w14:paraId="227123FA">
      <w:pPr>
        <w:spacing w:before="110" w:line="250" w:lineRule="exact"/>
        <w:ind w:left="478"/>
        <w:rPr>
          <w:rFonts w:ascii="宋体" w:hAnsi="宋体" w:eastAsia="宋体" w:cs="宋体"/>
          <w:sz w:val="18"/>
          <w:szCs w:val="18"/>
        </w:rPr>
      </w:pPr>
      <w:r>
        <w:rPr>
          <w:rFonts w:ascii="Times New Roman" w:hAnsi="Times New Roman" w:eastAsia="Times New Roman" w:cs="Times New Roman"/>
          <w:spacing w:val="-1"/>
          <w:position w:val="2"/>
          <w:sz w:val="18"/>
          <w:szCs w:val="18"/>
        </w:rPr>
        <w:t>4</w:t>
      </w:r>
      <w:r>
        <w:rPr>
          <w:rFonts w:ascii="Times New Roman" w:hAnsi="Times New Roman" w:eastAsia="Times New Roman" w:cs="Times New Roman"/>
          <w:spacing w:val="-26"/>
          <w:position w:val="2"/>
          <w:sz w:val="18"/>
          <w:szCs w:val="18"/>
        </w:rPr>
        <w:t xml:space="preserve"> </w:t>
      </w:r>
      <w:r>
        <w:rPr>
          <w:rFonts w:ascii="宋体" w:hAnsi="宋体" w:eastAsia="宋体" w:cs="宋体"/>
          <w:spacing w:val="-1"/>
          <w:position w:val="2"/>
          <w:sz w:val="18"/>
          <w:szCs w:val="18"/>
        </w:rPr>
        <w:t>、滴滴涕为</w:t>
      </w:r>
      <w:r>
        <w:rPr>
          <w:rFonts w:ascii="宋体" w:hAnsi="宋体" w:eastAsia="宋体" w:cs="宋体"/>
          <w:spacing w:val="-38"/>
          <w:position w:val="2"/>
          <w:sz w:val="18"/>
          <w:szCs w:val="18"/>
        </w:rPr>
        <w:t xml:space="preserve"> </w:t>
      </w:r>
      <w:r>
        <w:rPr>
          <w:rFonts w:ascii="Times New Roman" w:hAnsi="Times New Roman" w:eastAsia="Times New Roman" w:cs="Times New Roman"/>
          <w:spacing w:val="-1"/>
          <w:position w:val="2"/>
          <w:sz w:val="18"/>
          <w:szCs w:val="18"/>
        </w:rPr>
        <w:t>o,p'-</w:t>
      </w:r>
      <w:r>
        <w:rPr>
          <w:rFonts w:ascii="宋体" w:hAnsi="宋体" w:eastAsia="宋体" w:cs="宋体"/>
          <w:spacing w:val="-1"/>
          <w:position w:val="2"/>
          <w:sz w:val="18"/>
          <w:szCs w:val="18"/>
        </w:rPr>
        <w:t>滴滴涕、</w:t>
      </w:r>
      <w:r>
        <w:rPr>
          <w:rFonts w:ascii="Times New Roman" w:hAnsi="Times New Roman" w:eastAsia="Times New Roman" w:cs="Times New Roman"/>
          <w:spacing w:val="-1"/>
          <w:position w:val="2"/>
          <w:sz w:val="18"/>
          <w:szCs w:val="18"/>
        </w:rPr>
        <w:t>p,p'-</w:t>
      </w:r>
      <w:r>
        <w:rPr>
          <w:rFonts w:ascii="宋体" w:hAnsi="宋体" w:eastAsia="宋体" w:cs="宋体"/>
          <w:spacing w:val="-1"/>
          <w:position w:val="2"/>
          <w:sz w:val="18"/>
          <w:szCs w:val="18"/>
        </w:rPr>
        <w:t>滴滴涕两种物质含量总和。</w:t>
      </w:r>
    </w:p>
    <w:p w14:paraId="240E92B1">
      <w:pPr>
        <w:spacing w:line="250" w:lineRule="exact"/>
        <w:rPr>
          <w:rFonts w:ascii="宋体" w:hAnsi="宋体" w:eastAsia="宋体" w:cs="宋体"/>
          <w:sz w:val="18"/>
          <w:szCs w:val="18"/>
        </w:rPr>
        <w:sectPr>
          <w:footerReference r:id="rId111" w:type="default"/>
          <w:pgSz w:w="11906" w:h="16839"/>
          <w:pgMar w:top="400" w:right="1329" w:bottom="1485" w:left="1526" w:header="0" w:footer="1249" w:gutter="0"/>
          <w:cols w:space="720" w:num="1"/>
        </w:sectPr>
      </w:pPr>
    </w:p>
    <w:p w14:paraId="254AEB1D">
      <w:pPr>
        <w:pStyle w:val="2"/>
        <w:spacing w:line="270" w:lineRule="auto"/>
      </w:pPr>
    </w:p>
    <w:p w14:paraId="42F27B96">
      <w:pPr>
        <w:pStyle w:val="2"/>
        <w:spacing w:line="270" w:lineRule="auto"/>
      </w:pPr>
    </w:p>
    <w:p w14:paraId="787AEEA8">
      <w:pPr>
        <w:pStyle w:val="2"/>
        <w:spacing w:line="270" w:lineRule="auto"/>
      </w:pPr>
    </w:p>
    <w:p w14:paraId="08CCE8B3">
      <w:pPr>
        <w:pStyle w:val="2"/>
        <w:spacing w:line="271" w:lineRule="auto"/>
      </w:pPr>
    </w:p>
    <w:p w14:paraId="0076731C">
      <w:pPr>
        <w:pStyle w:val="2"/>
        <w:spacing w:line="271" w:lineRule="auto"/>
      </w:pPr>
    </w:p>
    <w:p w14:paraId="1B8424C9">
      <w:pPr>
        <w:spacing w:before="78" w:line="219" w:lineRule="auto"/>
        <w:ind w:left="68"/>
        <w:outlineLvl w:val="2"/>
        <w:rPr>
          <w:rFonts w:ascii="宋体" w:hAnsi="宋体" w:eastAsia="宋体" w:cs="宋体"/>
          <w:sz w:val="24"/>
          <w:szCs w:val="24"/>
        </w:rPr>
      </w:pPr>
      <w:r>
        <w:rPr>
          <w:rFonts w:ascii="Times New Roman" w:hAnsi="Times New Roman" w:eastAsia="Times New Roman" w:cs="Times New Roman"/>
          <w:b/>
          <w:bCs/>
          <w:spacing w:val="-2"/>
          <w:sz w:val="24"/>
          <w:szCs w:val="24"/>
        </w:rPr>
        <w:t>4.5.2</w:t>
      </w:r>
      <w:r>
        <w:rPr>
          <w:rFonts w:ascii="宋体" w:hAnsi="宋体" w:eastAsia="宋体" w:cs="宋体"/>
          <w:b/>
          <w:bCs/>
          <w:spacing w:val="-2"/>
          <w:sz w:val="24"/>
          <w:szCs w:val="24"/>
        </w:rPr>
        <w:t>土壤环境质量评价</w:t>
      </w:r>
    </w:p>
    <w:p w14:paraId="41902001">
      <w:pPr>
        <w:pStyle w:val="2"/>
        <w:spacing w:line="246" w:lineRule="auto"/>
      </w:pPr>
    </w:p>
    <w:p w14:paraId="79316DA4">
      <w:pPr>
        <w:spacing w:before="78" w:line="358" w:lineRule="exact"/>
        <w:ind w:left="570"/>
        <w:rPr>
          <w:rFonts w:ascii="宋体" w:hAnsi="宋体" w:eastAsia="宋体" w:cs="宋体"/>
          <w:sz w:val="24"/>
          <w:szCs w:val="24"/>
        </w:rPr>
      </w:pPr>
      <w:r>
        <w:rPr>
          <w:rFonts w:ascii="Times New Roman" w:hAnsi="Times New Roman" w:eastAsia="Times New Roman" w:cs="Times New Roman"/>
          <w:spacing w:val="-10"/>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10"/>
          <w:position w:val="2"/>
          <w:sz w:val="24"/>
          <w:szCs w:val="24"/>
        </w:rPr>
        <w:t>、评价标准</w:t>
      </w:r>
    </w:p>
    <w:p w14:paraId="45BD8D89">
      <w:pPr>
        <w:spacing w:before="166" w:line="362" w:lineRule="auto"/>
        <w:ind w:left="83" w:firstLine="469"/>
        <w:rPr>
          <w:rFonts w:ascii="宋体" w:hAnsi="宋体" w:eastAsia="宋体" w:cs="宋体"/>
          <w:sz w:val="24"/>
          <w:szCs w:val="24"/>
        </w:rPr>
      </w:pPr>
      <w:r>
        <w:rPr>
          <w:rFonts w:ascii="宋体" w:hAnsi="宋体" w:eastAsia="宋体" w:cs="宋体"/>
          <w:spacing w:val="-2"/>
          <w:sz w:val="24"/>
          <w:szCs w:val="24"/>
        </w:rPr>
        <w:t>本项目土壤环境质量执行《土壤环境质量标准建设用地土壤污染风险管控标准》</w:t>
      </w:r>
      <w:r>
        <w:rPr>
          <w:rFonts w:ascii="宋体" w:hAnsi="宋体" w:eastAsia="宋体" w:cs="宋体"/>
          <w:spacing w:val="13"/>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GB36600-2018</w:t>
      </w:r>
      <w:r>
        <w:rPr>
          <w:rFonts w:ascii="宋体" w:hAnsi="宋体" w:eastAsia="宋体" w:cs="宋体"/>
          <w:spacing w:val="-1"/>
          <w:sz w:val="24"/>
          <w:szCs w:val="24"/>
        </w:rPr>
        <w:t>）中的第二类用地筛选值。</w:t>
      </w:r>
    </w:p>
    <w:p w14:paraId="40C47353">
      <w:pPr>
        <w:spacing w:line="358" w:lineRule="exact"/>
        <w:ind w:left="547"/>
        <w:rPr>
          <w:rFonts w:ascii="宋体" w:hAnsi="宋体" w:eastAsia="宋体" w:cs="宋体"/>
          <w:sz w:val="24"/>
          <w:szCs w:val="24"/>
        </w:rPr>
      </w:pPr>
      <w:r>
        <w:rPr>
          <w:rFonts w:ascii="Times New Roman" w:hAnsi="Times New Roman" w:eastAsia="Times New Roman" w:cs="Times New Roman"/>
          <w:spacing w:val="-6"/>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6"/>
          <w:position w:val="2"/>
          <w:sz w:val="24"/>
          <w:szCs w:val="24"/>
        </w:rPr>
        <w:t>、评价方法</w:t>
      </w:r>
    </w:p>
    <w:p w14:paraId="354B3BC3">
      <w:pPr>
        <w:spacing w:before="132" w:line="376" w:lineRule="auto"/>
        <w:ind w:left="71" w:right="103" w:firstLine="480"/>
        <w:rPr>
          <w:rFonts w:ascii="宋体" w:hAnsi="宋体" w:eastAsia="宋体" w:cs="宋体"/>
          <w:sz w:val="24"/>
          <w:szCs w:val="24"/>
        </w:rPr>
      </w:pPr>
      <w:r>
        <w:rPr>
          <w:rFonts w:ascii="宋体" w:hAnsi="宋体" w:eastAsia="宋体" w:cs="宋体"/>
          <w:spacing w:val="2"/>
          <w:sz w:val="24"/>
          <w:szCs w:val="24"/>
        </w:rPr>
        <w:t>根据《环境影响评价技术导则土壤环境（试行）》（</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964-2018</w:t>
      </w:r>
      <w:r>
        <w:rPr>
          <w:rFonts w:ascii="宋体" w:hAnsi="宋体" w:eastAsia="宋体" w:cs="宋体"/>
          <w:spacing w:val="12"/>
          <w:sz w:val="24"/>
          <w:szCs w:val="24"/>
        </w:rPr>
        <w:t>），</w:t>
      </w:r>
      <w:r>
        <w:rPr>
          <w:rFonts w:ascii="宋体" w:hAnsi="宋体" w:eastAsia="宋体" w:cs="宋体"/>
          <w:spacing w:val="2"/>
          <w:sz w:val="24"/>
          <w:szCs w:val="24"/>
        </w:rPr>
        <w:t>土壤环境</w:t>
      </w:r>
      <w:r>
        <w:rPr>
          <w:rFonts w:ascii="宋体" w:hAnsi="宋体" w:eastAsia="宋体" w:cs="宋体"/>
          <w:sz w:val="24"/>
          <w:szCs w:val="24"/>
        </w:rPr>
        <w:t xml:space="preserve"> </w:t>
      </w:r>
      <w:r>
        <w:rPr>
          <w:rFonts w:ascii="宋体" w:hAnsi="宋体" w:eastAsia="宋体" w:cs="宋体"/>
          <w:spacing w:val="2"/>
          <w:sz w:val="24"/>
          <w:szCs w:val="24"/>
        </w:rPr>
        <w:t>质量现状评价应采用标准指数法，并进行统计分析，给出样本数量、最大值、最小</w:t>
      </w:r>
      <w:r>
        <w:rPr>
          <w:rFonts w:ascii="宋体" w:hAnsi="宋体" w:eastAsia="宋体" w:cs="宋体"/>
          <w:spacing w:val="6"/>
          <w:sz w:val="24"/>
          <w:szCs w:val="24"/>
        </w:rPr>
        <w:t xml:space="preserve"> </w:t>
      </w:r>
      <w:r>
        <w:rPr>
          <w:rFonts w:ascii="宋体" w:hAnsi="宋体" w:eastAsia="宋体" w:cs="宋体"/>
          <w:spacing w:val="-1"/>
          <w:sz w:val="24"/>
          <w:szCs w:val="24"/>
        </w:rPr>
        <w:t>值、均值、标准差、检出率和超标率、最大超标倍数等。</w:t>
      </w:r>
    </w:p>
    <w:p w14:paraId="164538AA">
      <w:pPr>
        <w:spacing w:line="358" w:lineRule="exact"/>
        <w:ind w:left="552"/>
        <w:rPr>
          <w:rFonts w:ascii="宋体" w:hAnsi="宋体" w:eastAsia="宋体" w:cs="宋体"/>
          <w:sz w:val="24"/>
          <w:szCs w:val="24"/>
        </w:rPr>
      </w:pPr>
      <w:r>
        <w:rPr>
          <w:rFonts w:ascii="Times New Roman" w:hAnsi="Times New Roman" w:eastAsia="Times New Roman" w:cs="Times New Roman"/>
          <w:spacing w:val="-6"/>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6"/>
          <w:position w:val="2"/>
          <w:sz w:val="24"/>
          <w:szCs w:val="24"/>
        </w:rPr>
        <w:t>、评价结果</w:t>
      </w:r>
    </w:p>
    <w:p w14:paraId="3E84339B">
      <w:pPr>
        <w:spacing w:before="167" w:line="382" w:lineRule="auto"/>
        <w:ind w:left="76" w:right="105" w:firstLine="477"/>
        <w:rPr>
          <w:rFonts w:ascii="宋体" w:hAnsi="宋体" w:eastAsia="宋体" w:cs="宋体"/>
          <w:sz w:val="24"/>
          <w:szCs w:val="24"/>
        </w:rPr>
      </w:pPr>
      <w:r>
        <w:rPr>
          <w:rFonts w:ascii="宋体" w:hAnsi="宋体" w:eastAsia="宋体" w:cs="宋体"/>
          <w:spacing w:val="2"/>
          <w:sz w:val="24"/>
          <w:szCs w:val="24"/>
        </w:rPr>
        <w:t>经计算，可得到评价区域土壤环境各个监测点监测指标的标准指数值，具体结</w:t>
      </w:r>
      <w:r>
        <w:rPr>
          <w:rFonts w:ascii="宋体" w:hAnsi="宋体" w:eastAsia="宋体" w:cs="宋体"/>
          <w:spacing w:val="8"/>
          <w:sz w:val="24"/>
          <w:szCs w:val="24"/>
        </w:rPr>
        <w:t xml:space="preserve"> </w:t>
      </w:r>
      <w:r>
        <w:rPr>
          <w:rFonts w:ascii="宋体" w:hAnsi="宋体" w:eastAsia="宋体" w:cs="宋体"/>
          <w:spacing w:val="-2"/>
          <w:sz w:val="24"/>
          <w:szCs w:val="24"/>
        </w:rPr>
        <w:t>果详见</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4.5-5</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，其他统计分析具体见表</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4.5-6</w:t>
      </w:r>
      <w:r>
        <w:rPr>
          <w:rFonts w:ascii="宋体" w:hAnsi="宋体" w:eastAsia="宋体" w:cs="宋体"/>
          <w:spacing w:val="-2"/>
          <w:sz w:val="24"/>
          <w:szCs w:val="24"/>
        </w:rPr>
        <w:t>。</w:t>
      </w:r>
    </w:p>
    <w:p w14:paraId="20240F59">
      <w:pPr>
        <w:spacing w:before="1" w:line="228" w:lineRule="auto"/>
        <w:ind w:left="2481"/>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3"/>
          <w:sz w:val="20"/>
          <w:szCs w:val="20"/>
        </w:rPr>
        <w:t xml:space="preserve"> </w:t>
      </w:r>
      <w:r>
        <w:rPr>
          <w:rFonts w:ascii="Times New Roman" w:hAnsi="Times New Roman" w:eastAsia="Times New Roman" w:cs="Times New Roman"/>
          <w:b/>
          <w:bCs/>
          <w:spacing w:val="6"/>
          <w:sz w:val="20"/>
          <w:szCs w:val="20"/>
        </w:rPr>
        <w:t xml:space="preserve">4.5-5 </w:t>
      </w:r>
      <w:r>
        <w:rPr>
          <w:rFonts w:ascii="宋体" w:hAnsi="宋体" w:eastAsia="宋体" w:cs="宋体"/>
          <w:b/>
          <w:bCs/>
          <w:spacing w:val="6"/>
          <w:sz w:val="20"/>
          <w:szCs w:val="20"/>
        </w:rPr>
        <w:t>项目土壤环境各检测数据的标准指数值</w:t>
      </w:r>
    </w:p>
    <w:p w14:paraId="33EBB6E6">
      <w:pPr>
        <w:spacing w:line="102" w:lineRule="exact"/>
      </w:pPr>
    </w:p>
    <w:tbl>
      <w:tblPr>
        <w:tblStyle w:val="5"/>
        <w:tblW w:w="88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50"/>
        <w:gridCol w:w="2187"/>
        <w:gridCol w:w="2157"/>
        <w:gridCol w:w="2154"/>
      </w:tblGrid>
      <w:tr w14:paraId="0B620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2350" w:type="dxa"/>
            <w:vMerge w:val="restart"/>
            <w:tcBorders>
              <w:bottom w:val="nil"/>
            </w:tcBorders>
            <w:vAlign w:val="top"/>
          </w:tcPr>
          <w:p w14:paraId="21C0B4D5">
            <w:pPr>
              <w:spacing w:line="278" w:lineRule="auto"/>
              <w:rPr>
                <w:rFonts w:ascii="Arial"/>
                <w:sz w:val="21"/>
              </w:rPr>
            </w:pPr>
          </w:p>
          <w:p w14:paraId="5688B08D">
            <w:pPr>
              <w:pStyle w:val="6"/>
              <w:spacing w:before="65" w:line="228" w:lineRule="auto"/>
              <w:ind w:left="864"/>
            </w:pPr>
            <w:r>
              <w:rPr>
                <w:b/>
                <w:bCs/>
                <w:spacing w:val="5"/>
              </w:rPr>
              <w:t>采样点</w:t>
            </w:r>
          </w:p>
        </w:tc>
        <w:tc>
          <w:tcPr>
            <w:tcW w:w="6498" w:type="dxa"/>
            <w:gridSpan w:val="3"/>
            <w:vAlign w:val="top"/>
          </w:tcPr>
          <w:p w14:paraId="3CE3F210">
            <w:pPr>
              <w:pStyle w:val="6"/>
              <w:spacing w:before="120" w:line="228" w:lineRule="auto"/>
              <w:ind w:left="2727"/>
            </w:pPr>
            <w:r>
              <w:rPr>
                <w:b/>
                <w:bCs/>
                <w:spacing w:val="6"/>
              </w:rPr>
              <w:t>标准指标值</w:t>
            </w:r>
          </w:p>
        </w:tc>
      </w:tr>
      <w:tr w14:paraId="71EA5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350" w:type="dxa"/>
            <w:vMerge w:val="continue"/>
            <w:tcBorders>
              <w:top w:val="nil"/>
            </w:tcBorders>
            <w:vAlign w:val="top"/>
          </w:tcPr>
          <w:p w14:paraId="12E178CD">
            <w:pPr>
              <w:rPr>
                <w:rFonts w:ascii="Arial"/>
                <w:sz w:val="21"/>
              </w:rPr>
            </w:pPr>
          </w:p>
        </w:tc>
        <w:tc>
          <w:tcPr>
            <w:tcW w:w="2187" w:type="dxa"/>
            <w:vAlign w:val="top"/>
          </w:tcPr>
          <w:p w14:paraId="65588ECF">
            <w:pPr>
              <w:spacing w:before="151" w:line="195" w:lineRule="auto"/>
              <w:ind w:left="97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T1</w:t>
            </w:r>
          </w:p>
        </w:tc>
        <w:tc>
          <w:tcPr>
            <w:tcW w:w="2157" w:type="dxa"/>
            <w:vAlign w:val="top"/>
          </w:tcPr>
          <w:p w14:paraId="33E4A4AD">
            <w:pPr>
              <w:spacing w:before="151" w:line="195" w:lineRule="auto"/>
              <w:ind w:left="96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T2</w:t>
            </w:r>
          </w:p>
        </w:tc>
        <w:tc>
          <w:tcPr>
            <w:tcW w:w="2154" w:type="dxa"/>
            <w:vAlign w:val="top"/>
          </w:tcPr>
          <w:p w14:paraId="392E28DC">
            <w:pPr>
              <w:spacing w:before="151" w:line="195" w:lineRule="auto"/>
              <w:ind w:left="959"/>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T3</w:t>
            </w:r>
          </w:p>
        </w:tc>
      </w:tr>
      <w:tr w14:paraId="4C824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350" w:type="dxa"/>
            <w:vAlign w:val="top"/>
          </w:tcPr>
          <w:p w14:paraId="41A19492">
            <w:pPr>
              <w:pStyle w:val="6"/>
              <w:spacing w:before="117" w:line="228" w:lineRule="auto"/>
              <w:ind w:left="468"/>
            </w:pPr>
            <w:r>
              <w:rPr>
                <w:spacing w:val="7"/>
              </w:rPr>
              <w:t>采样深度（</w:t>
            </w:r>
            <w:r>
              <w:rPr>
                <w:rFonts w:ascii="Times New Roman" w:hAnsi="Times New Roman" w:eastAsia="Times New Roman" w:cs="Times New Roman"/>
                <w:spacing w:val="7"/>
              </w:rPr>
              <w:t>m</w:t>
            </w:r>
            <w:r>
              <w:rPr>
                <w:spacing w:val="7"/>
              </w:rPr>
              <w:t>）</w:t>
            </w:r>
          </w:p>
        </w:tc>
        <w:tc>
          <w:tcPr>
            <w:tcW w:w="2187" w:type="dxa"/>
            <w:vAlign w:val="top"/>
          </w:tcPr>
          <w:p w14:paraId="117BBD8D">
            <w:pPr>
              <w:spacing w:before="87" w:line="274"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2157" w:type="dxa"/>
            <w:vAlign w:val="top"/>
          </w:tcPr>
          <w:p w14:paraId="342B5B45">
            <w:pPr>
              <w:spacing w:before="87" w:line="274" w:lineRule="exact"/>
              <w:ind w:left="8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w:t>
            </w:r>
          </w:p>
        </w:tc>
        <w:tc>
          <w:tcPr>
            <w:tcW w:w="2154" w:type="dxa"/>
            <w:vAlign w:val="top"/>
          </w:tcPr>
          <w:p w14:paraId="5F8E2FBF">
            <w:pPr>
              <w:spacing w:before="87" w:line="274" w:lineRule="exact"/>
              <w:ind w:left="84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r>
      <w:tr w14:paraId="11915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44DA0137">
            <w:pPr>
              <w:spacing w:before="99" w:line="194" w:lineRule="auto"/>
              <w:ind w:left="104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2187" w:type="dxa"/>
            <w:vAlign w:val="top"/>
          </w:tcPr>
          <w:p w14:paraId="5D7EA062">
            <w:pPr>
              <w:spacing w:before="63" w:line="274" w:lineRule="exact"/>
              <w:ind w:left="106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157" w:type="dxa"/>
            <w:vAlign w:val="top"/>
          </w:tcPr>
          <w:p w14:paraId="6360D884">
            <w:pPr>
              <w:spacing w:before="63" w:line="274" w:lineRule="exact"/>
              <w:ind w:left="104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154" w:type="dxa"/>
            <w:vAlign w:val="top"/>
          </w:tcPr>
          <w:p w14:paraId="6FF22AB6">
            <w:pPr>
              <w:spacing w:before="63" w:line="274" w:lineRule="exact"/>
              <w:ind w:left="10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F7C6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51A488B4">
            <w:pPr>
              <w:pStyle w:val="6"/>
              <w:spacing w:before="95" w:line="229" w:lineRule="auto"/>
              <w:ind w:left="1075"/>
            </w:pPr>
            <w:r>
              <w:rPr>
                <w:spacing w:val="1"/>
              </w:rPr>
              <w:t>砷</w:t>
            </w:r>
          </w:p>
        </w:tc>
        <w:tc>
          <w:tcPr>
            <w:tcW w:w="2187" w:type="dxa"/>
            <w:vAlign w:val="top"/>
          </w:tcPr>
          <w:p w14:paraId="698B60FE">
            <w:pPr>
              <w:spacing w:before="64"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0.2467</w:t>
            </w:r>
          </w:p>
        </w:tc>
        <w:tc>
          <w:tcPr>
            <w:tcW w:w="2157" w:type="dxa"/>
            <w:vAlign w:val="top"/>
          </w:tcPr>
          <w:p w14:paraId="410A4407">
            <w:pPr>
              <w:spacing w:before="64"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0.4467</w:t>
            </w:r>
          </w:p>
        </w:tc>
        <w:tc>
          <w:tcPr>
            <w:tcW w:w="2154" w:type="dxa"/>
            <w:vAlign w:val="top"/>
          </w:tcPr>
          <w:p w14:paraId="32673FF1">
            <w:pPr>
              <w:spacing w:before="64"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0.1235</w:t>
            </w:r>
          </w:p>
        </w:tc>
      </w:tr>
      <w:tr w14:paraId="2F7CD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51E36FEF">
            <w:pPr>
              <w:pStyle w:val="6"/>
              <w:spacing w:before="96" w:line="231" w:lineRule="auto"/>
              <w:ind w:left="1074"/>
            </w:pPr>
            <w:r>
              <w:rPr>
                <w:spacing w:val="2"/>
              </w:rPr>
              <w:t>镉</w:t>
            </w:r>
          </w:p>
        </w:tc>
        <w:tc>
          <w:tcPr>
            <w:tcW w:w="2187" w:type="dxa"/>
            <w:vAlign w:val="top"/>
          </w:tcPr>
          <w:p w14:paraId="32A79940">
            <w:pPr>
              <w:spacing w:before="65"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0.0014</w:t>
            </w:r>
          </w:p>
        </w:tc>
        <w:tc>
          <w:tcPr>
            <w:tcW w:w="2157" w:type="dxa"/>
            <w:vAlign w:val="top"/>
          </w:tcPr>
          <w:p w14:paraId="798744BE">
            <w:pPr>
              <w:spacing w:before="65"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0.0014</w:t>
            </w:r>
          </w:p>
        </w:tc>
        <w:tc>
          <w:tcPr>
            <w:tcW w:w="2154" w:type="dxa"/>
            <w:vAlign w:val="top"/>
          </w:tcPr>
          <w:p w14:paraId="3A3C999D">
            <w:pPr>
              <w:spacing w:before="65"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0.0015</w:t>
            </w:r>
          </w:p>
        </w:tc>
      </w:tr>
      <w:tr w14:paraId="33147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767ADCD6">
            <w:pPr>
              <w:pStyle w:val="6"/>
              <w:spacing w:before="94" w:line="227" w:lineRule="auto"/>
              <w:ind w:left="655"/>
            </w:pPr>
            <w:r>
              <w:rPr>
                <w:spacing w:val="6"/>
              </w:rPr>
              <w:t>铬（六价）</w:t>
            </w:r>
          </w:p>
        </w:tc>
        <w:tc>
          <w:tcPr>
            <w:tcW w:w="2187" w:type="dxa"/>
            <w:vAlign w:val="top"/>
          </w:tcPr>
          <w:p w14:paraId="5130B894">
            <w:pPr>
              <w:spacing w:before="64"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0.0877</w:t>
            </w:r>
          </w:p>
        </w:tc>
        <w:tc>
          <w:tcPr>
            <w:tcW w:w="2157" w:type="dxa"/>
            <w:vAlign w:val="top"/>
          </w:tcPr>
          <w:p w14:paraId="0B75E764">
            <w:pPr>
              <w:spacing w:before="64"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0.0877</w:t>
            </w:r>
          </w:p>
        </w:tc>
        <w:tc>
          <w:tcPr>
            <w:tcW w:w="2154" w:type="dxa"/>
            <w:vAlign w:val="top"/>
          </w:tcPr>
          <w:p w14:paraId="2798CC9A">
            <w:pPr>
              <w:spacing w:before="64"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0.0877</w:t>
            </w:r>
          </w:p>
        </w:tc>
      </w:tr>
      <w:tr w14:paraId="3D24A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50" w:type="dxa"/>
            <w:vAlign w:val="top"/>
          </w:tcPr>
          <w:p w14:paraId="14FD5A70">
            <w:pPr>
              <w:pStyle w:val="6"/>
              <w:spacing w:before="95" w:line="230" w:lineRule="auto"/>
              <w:ind w:left="1076"/>
            </w:pPr>
            <w:r>
              <w:t>铜</w:t>
            </w:r>
          </w:p>
        </w:tc>
        <w:tc>
          <w:tcPr>
            <w:tcW w:w="2187" w:type="dxa"/>
            <w:vAlign w:val="top"/>
          </w:tcPr>
          <w:p w14:paraId="69B62458">
            <w:pPr>
              <w:spacing w:before="65"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2157" w:type="dxa"/>
            <w:vAlign w:val="top"/>
          </w:tcPr>
          <w:p w14:paraId="2EF46BFE">
            <w:pPr>
              <w:spacing w:before="65" w:line="274" w:lineRule="exact"/>
              <w:ind w:left="7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w:t>
            </w:r>
          </w:p>
        </w:tc>
        <w:tc>
          <w:tcPr>
            <w:tcW w:w="2154" w:type="dxa"/>
            <w:vAlign w:val="top"/>
          </w:tcPr>
          <w:p w14:paraId="1718B0B1">
            <w:pPr>
              <w:spacing w:before="65"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0.0010</w:t>
            </w:r>
          </w:p>
        </w:tc>
      </w:tr>
      <w:tr w14:paraId="57242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3EB1C2CB">
            <w:pPr>
              <w:pStyle w:val="6"/>
              <w:spacing w:before="95" w:line="233" w:lineRule="auto"/>
              <w:ind w:left="1076"/>
            </w:pPr>
            <w:r>
              <w:t>铅</w:t>
            </w:r>
          </w:p>
        </w:tc>
        <w:tc>
          <w:tcPr>
            <w:tcW w:w="2187" w:type="dxa"/>
            <w:vAlign w:val="top"/>
          </w:tcPr>
          <w:p w14:paraId="3F537E3F">
            <w:pPr>
              <w:spacing w:before="64"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0.0125</w:t>
            </w:r>
          </w:p>
        </w:tc>
        <w:tc>
          <w:tcPr>
            <w:tcW w:w="2157" w:type="dxa"/>
            <w:vAlign w:val="top"/>
          </w:tcPr>
          <w:p w14:paraId="5213E927">
            <w:pPr>
              <w:spacing w:before="64"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0.0213</w:t>
            </w:r>
          </w:p>
        </w:tc>
        <w:tc>
          <w:tcPr>
            <w:tcW w:w="2154" w:type="dxa"/>
            <w:vAlign w:val="top"/>
          </w:tcPr>
          <w:p w14:paraId="7876643C">
            <w:pPr>
              <w:spacing w:before="64"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0.0200</w:t>
            </w:r>
          </w:p>
        </w:tc>
      </w:tr>
      <w:tr w14:paraId="61161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750ECBD9">
            <w:pPr>
              <w:pStyle w:val="6"/>
              <w:spacing w:before="96" w:line="229" w:lineRule="auto"/>
              <w:ind w:left="1076"/>
            </w:pPr>
            <w:r>
              <w:t>汞</w:t>
            </w:r>
          </w:p>
        </w:tc>
        <w:tc>
          <w:tcPr>
            <w:tcW w:w="2187" w:type="dxa"/>
            <w:vAlign w:val="top"/>
          </w:tcPr>
          <w:p w14:paraId="1276F975">
            <w:pPr>
              <w:spacing w:before="65"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0.0040</w:t>
            </w:r>
          </w:p>
        </w:tc>
        <w:tc>
          <w:tcPr>
            <w:tcW w:w="2157" w:type="dxa"/>
            <w:vAlign w:val="top"/>
          </w:tcPr>
          <w:p w14:paraId="1232AF9F">
            <w:pPr>
              <w:spacing w:before="65"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0.0051</w:t>
            </w:r>
          </w:p>
        </w:tc>
        <w:tc>
          <w:tcPr>
            <w:tcW w:w="2154" w:type="dxa"/>
            <w:vAlign w:val="top"/>
          </w:tcPr>
          <w:p w14:paraId="455833A4">
            <w:pPr>
              <w:spacing w:before="65"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0.0040</w:t>
            </w:r>
          </w:p>
        </w:tc>
      </w:tr>
      <w:tr w14:paraId="274D7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1CA9E865">
            <w:pPr>
              <w:pStyle w:val="6"/>
              <w:spacing w:before="97" w:line="229" w:lineRule="auto"/>
              <w:ind w:left="1075"/>
            </w:pPr>
            <w:r>
              <w:rPr>
                <w:spacing w:val="1"/>
              </w:rPr>
              <w:t>镍</w:t>
            </w:r>
          </w:p>
        </w:tc>
        <w:tc>
          <w:tcPr>
            <w:tcW w:w="2187" w:type="dxa"/>
            <w:vAlign w:val="top"/>
          </w:tcPr>
          <w:p w14:paraId="1A7C1745">
            <w:pPr>
              <w:spacing w:before="66"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0.0067</w:t>
            </w:r>
          </w:p>
        </w:tc>
        <w:tc>
          <w:tcPr>
            <w:tcW w:w="2157" w:type="dxa"/>
            <w:vAlign w:val="top"/>
          </w:tcPr>
          <w:p w14:paraId="5C7A3239">
            <w:pPr>
              <w:spacing w:before="66"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0.0133</w:t>
            </w:r>
          </w:p>
        </w:tc>
        <w:tc>
          <w:tcPr>
            <w:tcW w:w="2154" w:type="dxa"/>
            <w:vAlign w:val="top"/>
          </w:tcPr>
          <w:p w14:paraId="7AEB9462">
            <w:pPr>
              <w:spacing w:before="66"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0.0078</w:t>
            </w:r>
          </w:p>
        </w:tc>
      </w:tr>
      <w:tr w14:paraId="26842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385A4CE1">
            <w:pPr>
              <w:pStyle w:val="6"/>
              <w:spacing w:before="96" w:line="229" w:lineRule="auto"/>
              <w:ind w:left="781"/>
            </w:pPr>
            <w:r>
              <w:rPr>
                <w:spacing w:val="2"/>
              </w:rPr>
              <w:t>四氯化碳</w:t>
            </w:r>
          </w:p>
        </w:tc>
        <w:tc>
          <w:tcPr>
            <w:tcW w:w="2187" w:type="dxa"/>
            <w:vAlign w:val="top"/>
          </w:tcPr>
          <w:p w14:paraId="226763E7">
            <w:pPr>
              <w:spacing w:before="65"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c>
          <w:tcPr>
            <w:tcW w:w="2157" w:type="dxa"/>
            <w:vAlign w:val="top"/>
          </w:tcPr>
          <w:p w14:paraId="0C270568">
            <w:pPr>
              <w:spacing w:before="65"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c>
          <w:tcPr>
            <w:tcW w:w="2154" w:type="dxa"/>
            <w:vAlign w:val="top"/>
          </w:tcPr>
          <w:p w14:paraId="2B2FD731">
            <w:pPr>
              <w:spacing w:before="65"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r>
      <w:tr w14:paraId="0723B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5AB82F52">
            <w:pPr>
              <w:pStyle w:val="6"/>
              <w:spacing w:before="61" w:line="229" w:lineRule="auto"/>
              <w:ind w:left="973"/>
            </w:pPr>
            <w:r>
              <w:rPr>
                <w:spacing w:val="3"/>
              </w:rPr>
              <w:t>氯仿</w:t>
            </w:r>
          </w:p>
        </w:tc>
        <w:tc>
          <w:tcPr>
            <w:tcW w:w="2187" w:type="dxa"/>
            <w:vAlign w:val="top"/>
          </w:tcPr>
          <w:p w14:paraId="5139C6F4">
            <w:pPr>
              <w:spacing w:before="66"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2157" w:type="dxa"/>
            <w:vAlign w:val="top"/>
          </w:tcPr>
          <w:p w14:paraId="2C9482A9">
            <w:pPr>
              <w:spacing w:before="66"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2154" w:type="dxa"/>
            <w:vAlign w:val="top"/>
          </w:tcPr>
          <w:p w14:paraId="59D08E1C">
            <w:pPr>
              <w:spacing w:before="66"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r>
      <w:tr w14:paraId="1FCFD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2E85542C">
            <w:pPr>
              <w:pStyle w:val="6"/>
              <w:spacing w:before="62" w:line="229" w:lineRule="auto"/>
              <w:ind w:left="868"/>
            </w:pPr>
            <w:r>
              <w:rPr>
                <w:spacing w:val="5"/>
              </w:rPr>
              <w:t>氯甲烷</w:t>
            </w:r>
          </w:p>
        </w:tc>
        <w:tc>
          <w:tcPr>
            <w:tcW w:w="2187" w:type="dxa"/>
            <w:vAlign w:val="top"/>
          </w:tcPr>
          <w:p w14:paraId="0999E3CF">
            <w:pPr>
              <w:spacing w:before="64" w:line="275"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2157" w:type="dxa"/>
            <w:vAlign w:val="top"/>
          </w:tcPr>
          <w:p w14:paraId="7868C7F4">
            <w:pPr>
              <w:spacing w:before="64" w:line="275"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2154" w:type="dxa"/>
            <w:vAlign w:val="top"/>
          </w:tcPr>
          <w:p w14:paraId="581200E0">
            <w:pPr>
              <w:spacing w:before="64" w:line="275"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r>
      <w:tr w14:paraId="39E04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26CB2109">
            <w:pPr>
              <w:pStyle w:val="6"/>
              <w:spacing w:before="29" w:line="275" w:lineRule="exact"/>
              <w:ind w:left="612"/>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二氯乙烷</w:t>
            </w:r>
          </w:p>
        </w:tc>
        <w:tc>
          <w:tcPr>
            <w:tcW w:w="2187" w:type="dxa"/>
            <w:vAlign w:val="top"/>
          </w:tcPr>
          <w:p w14:paraId="0AB128F0">
            <w:pPr>
              <w:spacing w:before="65" w:line="275"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0.00009</w:t>
            </w:r>
          </w:p>
        </w:tc>
        <w:tc>
          <w:tcPr>
            <w:tcW w:w="2157" w:type="dxa"/>
            <w:vAlign w:val="top"/>
          </w:tcPr>
          <w:p w14:paraId="6D938413">
            <w:pPr>
              <w:spacing w:before="65" w:line="275"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0.00009</w:t>
            </w:r>
          </w:p>
        </w:tc>
        <w:tc>
          <w:tcPr>
            <w:tcW w:w="2154" w:type="dxa"/>
            <w:vAlign w:val="top"/>
          </w:tcPr>
          <w:p w14:paraId="3D791519">
            <w:pPr>
              <w:spacing w:before="65" w:line="275"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0.00009</w:t>
            </w:r>
          </w:p>
        </w:tc>
      </w:tr>
      <w:tr w14:paraId="61C13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50" w:type="dxa"/>
            <w:vAlign w:val="top"/>
          </w:tcPr>
          <w:p w14:paraId="62296FE0">
            <w:pPr>
              <w:pStyle w:val="6"/>
              <w:spacing w:before="30" w:line="275" w:lineRule="exact"/>
              <w:ind w:left="612"/>
            </w:pPr>
            <w:r>
              <w:rPr>
                <w:rFonts w:ascii="Times New Roman" w:hAnsi="Times New Roman" w:eastAsia="Times New Roman" w:cs="Times New Roman"/>
                <w:spacing w:val="3"/>
                <w:position w:val="2"/>
              </w:rPr>
              <w:t>1,2-</w:t>
            </w:r>
            <w:r>
              <w:rPr>
                <w:spacing w:val="3"/>
                <w:position w:val="2"/>
              </w:rPr>
              <w:t>二氯乙烷</w:t>
            </w:r>
          </w:p>
        </w:tc>
        <w:tc>
          <w:tcPr>
            <w:tcW w:w="2187" w:type="dxa"/>
            <w:vAlign w:val="top"/>
          </w:tcPr>
          <w:p w14:paraId="5EBCD62B">
            <w:pPr>
              <w:spacing w:before="64"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0.00013</w:t>
            </w:r>
          </w:p>
        </w:tc>
        <w:tc>
          <w:tcPr>
            <w:tcW w:w="2157" w:type="dxa"/>
            <w:vAlign w:val="top"/>
          </w:tcPr>
          <w:p w14:paraId="1633B185">
            <w:pPr>
              <w:spacing w:before="64"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0.00013</w:t>
            </w:r>
          </w:p>
        </w:tc>
        <w:tc>
          <w:tcPr>
            <w:tcW w:w="2154" w:type="dxa"/>
            <w:vAlign w:val="top"/>
          </w:tcPr>
          <w:p w14:paraId="79FFADA4">
            <w:pPr>
              <w:spacing w:before="64"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0.00013</w:t>
            </w:r>
          </w:p>
        </w:tc>
      </w:tr>
      <w:tr w14:paraId="4B93A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0237BEE7">
            <w:pPr>
              <w:pStyle w:val="6"/>
              <w:spacing w:before="30" w:line="274" w:lineRule="exact"/>
              <w:ind w:left="612"/>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二氯乙烯</w:t>
            </w:r>
          </w:p>
        </w:tc>
        <w:tc>
          <w:tcPr>
            <w:tcW w:w="2187" w:type="dxa"/>
            <w:vAlign w:val="top"/>
          </w:tcPr>
          <w:p w14:paraId="6BC0F5A7">
            <w:pPr>
              <w:spacing w:before="66"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2157" w:type="dxa"/>
            <w:vAlign w:val="top"/>
          </w:tcPr>
          <w:p w14:paraId="52B74908">
            <w:pPr>
              <w:spacing w:before="66"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2154" w:type="dxa"/>
            <w:vAlign w:val="top"/>
          </w:tcPr>
          <w:p w14:paraId="6816969C">
            <w:pPr>
              <w:spacing w:before="66"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r>
      <w:tr w14:paraId="52B83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350" w:type="dxa"/>
            <w:vAlign w:val="top"/>
          </w:tcPr>
          <w:p w14:paraId="004F8D08">
            <w:pPr>
              <w:pStyle w:val="6"/>
              <w:spacing w:before="67" w:line="274" w:lineRule="exact"/>
              <w:ind w:left="352"/>
            </w:pPr>
            <w:r>
              <w:rPr>
                <w:spacing w:val="6"/>
                <w:position w:val="2"/>
              </w:rPr>
              <w:t>顺式</w:t>
            </w:r>
            <w:r>
              <w:rPr>
                <w:rFonts w:ascii="Times New Roman" w:hAnsi="Times New Roman" w:eastAsia="Times New Roman" w:cs="Times New Roman"/>
                <w:spacing w:val="6"/>
                <w:position w:val="2"/>
              </w:rPr>
              <w:t>-1,2-</w:t>
            </w:r>
            <w:r>
              <w:rPr>
                <w:spacing w:val="6"/>
                <w:position w:val="2"/>
              </w:rPr>
              <w:t>二氯乙烯</w:t>
            </w:r>
          </w:p>
        </w:tc>
        <w:tc>
          <w:tcPr>
            <w:tcW w:w="2187" w:type="dxa"/>
            <w:vAlign w:val="top"/>
          </w:tcPr>
          <w:p w14:paraId="1531ACB7">
            <w:pPr>
              <w:spacing w:before="67"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7" w:type="dxa"/>
            <w:vAlign w:val="top"/>
          </w:tcPr>
          <w:p w14:paraId="62F1F020">
            <w:pPr>
              <w:spacing w:before="67"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4" w:type="dxa"/>
            <w:vAlign w:val="top"/>
          </w:tcPr>
          <w:p w14:paraId="58EF5ABB">
            <w:pPr>
              <w:spacing w:before="67" w:line="274"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r>
    </w:tbl>
    <w:p w14:paraId="51A2857F">
      <w:pPr>
        <w:pStyle w:val="2"/>
        <w:spacing w:line="133" w:lineRule="exact"/>
        <w:rPr>
          <w:sz w:val="11"/>
        </w:rPr>
      </w:pPr>
    </w:p>
    <w:p w14:paraId="08275F14">
      <w:pPr>
        <w:spacing w:line="133" w:lineRule="exact"/>
        <w:rPr>
          <w:sz w:val="11"/>
          <w:szCs w:val="11"/>
        </w:rPr>
        <w:sectPr>
          <w:footerReference r:id="rId112" w:type="default"/>
          <w:pgSz w:w="11906" w:h="16839"/>
          <w:pgMar w:top="400" w:right="1482" w:bottom="1485" w:left="1526" w:header="0" w:footer="1249" w:gutter="0"/>
          <w:cols w:space="720" w:num="1"/>
        </w:sectPr>
      </w:pPr>
    </w:p>
    <w:p w14:paraId="54C7382A">
      <w:pPr>
        <w:spacing w:before="13"/>
      </w:pPr>
    </w:p>
    <w:p w14:paraId="79584C9E">
      <w:pPr>
        <w:spacing w:before="13"/>
      </w:pPr>
    </w:p>
    <w:p w14:paraId="108F09CB">
      <w:pPr>
        <w:spacing w:before="13"/>
      </w:pPr>
    </w:p>
    <w:p w14:paraId="717497CD">
      <w:pPr>
        <w:spacing w:before="13"/>
      </w:pPr>
    </w:p>
    <w:tbl>
      <w:tblPr>
        <w:tblStyle w:val="5"/>
        <w:tblW w:w="88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50"/>
        <w:gridCol w:w="2187"/>
        <w:gridCol w:w="2157"/>
        <w:gridCol w:w="2154"/>
      </w:tblGrid>
      <w:tr w14:paraId="40527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350" w:type="dxa"/>
            <w:vAlign w:val="top"/>
          </w:tcPr>
          <w:p w14:paraId="5CA90CAB">
            <w:pPr>
              <w:pStyle w:val="6"/>
              <w:spacing w:before="33" w:line="274" w:lineRule="exact"/>
              <w:ind w:left="352"/>
            </w:pPr>
            <w:r>
              <w:rPr>
                <w:spacing w:val="6"/>
                <w:position w:val="2"/>
              </w:rPr>
              <w:t>反式</w:t>
            </w:r>
            <w:r>
              <w:rPr>
                <w:rFonts w:ascii="Times New Roman" w:hAnsi="Times New Roman" w:eastAsia="Times New Roman" w:cs="Times New Roman"/>
                <w:spacing w:val="6"/>
                <w:position w:val="2"/>
              </w:rPr>
              <w:t>-1,2-</w:t>
            </w:r>
            <w:r>
              <w:rPr>
                <w:spacing w:val="6"/>
                <w:position w:val="2"/>
              </w:rPr>
              <w:t>二氯乙烯</w:t>
            </w:r>
          </w:p>
        </w:tc>
        <w:tc>
          <w:tcPr>
            <w:tcW w:w="2187" w:type="dxa"/>
            <w:vAlign w:val="top"/>
          </w:tcPr>
          <w:p w14:paraId="70D6ECFC">
            <w:pPr>
              <w:spacing w:before="66" w:line="275"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2157" w:type="dxa"/>
            <w:vAlign w:val="top"/>
          </w:tcPr>
          <w:p w14:paraId="00EC4EAA">
            <w:pPr>
              <w:spacing w:before="66" w:line="275"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2154" w:type="dxa"/>
            <w:vAlign w:val="top"/>
          </w:tcPr>
          <w:p w14:paraId="261D3326">
            <w:pPr>
              <w:spacing w:before="66" w:line="275"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r>
      <w:tr w14:paraId="04543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50" w:type="dxa"/>
            <w:vAlign w:val="top"/>
          </w:tcPr>
          <w:p w14:paraId="44FB833B">
            <w:pPr>
              <w:pStyle w:val="6"/>
              <w:spacing w:before="58" w:line="229" w:lineRule="auto"/>
              <w:ind w:left="765"/>
            </w:pPr>
            <w:r>
              <w:rPr>
                <w:spacing w:val="6"/>
              </w:rPr>
              <w:t>二氯甲烷</w:t>
            </w:r>
          </w:p>
        </w:tc>
        <w:tc>
          <w:tcPr>
            <w:tcW w:w="2187" w:type="dxa"/>
            <w:vAlign w:val="top"/>
          </w:tcPr>
          <w:p w14:paraId="3AA15FB4">
            <w:pPr>
              <w:spacing w:before="63" w:line="275"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0.000002</w:t>
            </w:r>
          </w:p>
        </w:tc>
        <w:tc>
          <w:tcPr>
            <w:tcW w:w="2157" w:type="dxa"/>
            <w:vAlign w:val="top"/>
          </w:tcPr>
          <w:p w14:paraId="18222BEB">
            <w:pPr>
              <w:spacing w:before="63" w:line="275"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0.000002</w:t>
            </w:r>
          </w:p>
        </w:tc>
        <w:tc>
          <w:tcPr>
            <w:tcW w:w="2154" w:type="dxa"/>
            <w:vAlign w:val="top"/>
          </w:tcPr>
          <w:p w14:paraId="658EB387">
            <w:pPr>
              <w:spacing w:before="63" w:line="275"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0.000002</w:t>
            </w:r>
          </w:p>
        </w:tc>
      </w:tr>
      <w:tr w14:paraId="00FA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67F66471">
            <w:pPr>
              <w:pStyle w:val="6"/>
              <w:spacing w:before="29" w:line="275" w:lineRule="exact"/>
              <w:ind w:left="612"/>
            </w:pPr>
            <w:r>
              <w:rPr>
                <w:rFonts w:ascii="Times New Roman" w:hAnsi="Times New Roman" w:eastAsia="Times New Roman" w:cs="Times New Roman"/>
                <w:spacing w:val="3"/>
                <w:position w:val="2"/>
              </w:rPr>
              <w:t>1,2-</w:t>
            </w:r>
            <w:r>
              <w:rPr>
                <w:spacing w:val="3"/>
                <w:position w:val="2"/>
              </w:rPr>
              <w:t>二氯丙烷</w:t>
            </w:r>
          </w:p>
        </w:tc>
        <w:tc>
          <w:tcPr>
            <w:tcW w:w="2187" w:type="dxa"/>
            <w:vAlign w:val="top"/>
          </w:tcPr>
          <w:p w14:paraId="5B0CC51E">
            <w:pPr>
              <w:spacing w:before="63"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0.00019</w:t>
            </w:r>
          </w:p>
        </w:tc>
        <w:tc>
          <w:tcPr>
            <w:tcW w:w="2157" w:type="dxa"/>
            <w:vAlign w:val="top"/>
          </w:tcPr>
          <w:p w14:paraId="67EF727A">
            <w:pPr>
              <w:spacing w:before="63"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0.00019</w:t>
            </w:r>
          </w:p>
        </w:tc>
        <w:tc>
          <w:tcPr>
            <w:tcW w:w="2154" w:type="dxa"/>
            <w:vAlign w:val="top"/>
          </w:tcPr>
          <w:p w14:paraId="7B1ACCEA">
            <w:pPr>
              <w:spacing w:before="63"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0.00019</w:t>
            </w:r>
          </w:p>
        </w:tc>
      </w:tr>
      <w:tr w14:paraId="168E2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1FBAF992">
            <w:pPr>
              <w:pStyle w:val="6"/>
              <w:spacing w:before="28" w:line="274" w:lineRule="exact"/>
              <w:ind w:left="454"/>
            </w:pPr>
            <w:r>
              <w:rPr>
                <w:rFonts w:ascii="Times New Roman" w:hAnsi="Times New Roman" w:eastAsia="Times New Roman" w:cs="Times New Roman"/>
                <w:spacing w:val="-1"/>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1"/>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1"/>
                <w:position w:val="2"/>
              </w:rPr>
              <w:t>1,2-</w:t>
            </w:r>
            <w:r>
              <w:rPr>
                <w:spacing w:val="-1"/>
                <w:position w:val="2"/>
              </w:rPr>
              <w:t>四氯乙烷</w:t>
            </w:r>
          </w:p>
        </w:tc>
        <w:tc>
          <w:tcPr>
            <w:tcW w:w="2187" w:type="dxa"/>
            <w:vAlign w:val="top"/>
          </w:tcPr>
          <w:p w14:paraId="3A3A0958">
            <w:pPr>
              <w:spacing w:before="64"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0.00005</w:t>
            </w:r>
          </w:p>
        </w:tc>
        <w:tc>
          <w:tcPr>
            <w:tcW w:w="2157" w:type="dxa"/>
            <w:vAlign w:val="top"/>
          </w:tcPr>
          <w:p w14:paraId="39F479D9">
            <w:pPr>
              <w:spacing w:before="64"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0.00005</w:t>
            </w:r>
          </w:p>
        </w:tc>
        <w:tc>
          <w:tcPr>
            <w:tcW w:w="2154" w:type="dxa"/>
            <w:vAlign w:val="top"/>
          </w:tcPr>
          <w:p w14:paraId="4693D72B">
            <w:pPr>
              <w:spacing w:before="64"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0.00005</w:t>
            </w:r>
          </w:p>
        </w:tc>
      </w:tr>
      <w:tr w14:paraId="5896F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50" w:type="dxa"/>
            <w:vAlign w:val="top"/>
          </w:tcPr>
          <w:p w14:paraId="7DF7691D">
            <w:pPr>
              <w:pStyle w:val="6"/>
              <w:spacing w:before="29" w:line="274" w:lineRule="exact"/>
              <w:ind w:left="454"/>
            </w:pPr>
            <w:r>
              <w:rPr>
                <w:rFonts w:ascii="Times New Roman" w:hAnsi="Times New Roman" w:eastAsia="Times New Roman" w:cs="Times New Roman"/>
                <w:spacing w:val="1"/>
                <w:position w:val="2"/>
              </w:rPr>
              <w:t>1,</w:t>
            </w:r>
            <w:r>
              <w:rPr>
                <w:rFonts w:ascii="Times New Roman" w:hAnsi="Times New Roman" w:eastAsia="Times New Roman" w:cs="Times New Roman"/>
                <w:spacing w:val="-19"/>
                <w:position w:val="2"/>
              </w:rPr>
              <w:t xml:space="preserve"> </w:t>
            </w:r>
            <w:r>
              <w:rPr>
                <w:rFonts w:ascii="Times New Roman" w:hAnsi="Times New Roman" w:eastAsia="Times New Roman" w:cs="Times New Roman"/>
                <w:spacing w:val="1"/>
                <w:position w:val="2"/>
              </w:rPr>
              <w:t>1,2,2-</w:t>
            </w:r>
            <w:r>
              <w:rPr>
                <w:spacing w:val="1"/>
                <w:position w:val="2"/>
              </w:rPr>
              <w:t>四氯乙烷</w:t>
            </w:r>
          </w:p>
        </w:tc>
        <w:tc>
          <w:tcPr>
            <w:tcW w:w="2187" w:type="dxa"/>
            <w:vAlign w:val="top"/>
          </w:tcPr>
          <w:p w14:paraId="2D27DFBC">
            <w:pPr>
              <w:spacing w:before="65"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0.00007</w:t>
            </w:r>
          </w:p>
        </w:tc>
        <w:tc>
          <w:tcPr>
            <w:tcW w:w="2157" w:type="dxa"/>
            <w:vAlign w:val="top"/>
          </w:tcPr>
          <w:p w14:paraId="046754C9">
            <w:pPr>
              <w:spacing w:before="65"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0.00007</w:t>
            </w:r>
          </w:p>
        </w:tc>
        <w:tc>
          <w:tcPr>
            <w:tcW w:w="2154" w:type="dxa"/>
            <w:vAlign w:val="top"/>
          </w:tcPr>
          <w:p w14:paraId="29D774E3">
            <w:pPr>
              <w:spacing w:before="65"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0.00007</w:t>
            </w:r>
          </w:p>
        </w:tc>
      </w:tr>
      <w:tr w14:paraId="5C83F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50" w:type="dxa"/>
            <w:vAlign w:val="top"/>
          </w:tcPr>
          <w:p w14:paraId="5BC66D52">
            <w:pPr>
              <w:pStyle w:val="6"/>
              <w:spacing w:before="62" w:line="228" w:lineRule="auto"/>
              <w:ind w:left="781"/>
            </w:pPr>
            <w:r>
              <w:rPr>
                <w:spacing w:val="2"/>
              </w:rPr>
              <w:t>四氯乙烯</w:t>
            </w:r>
          </w:p>
        </w:tc>
        <w:tc>
          <w:tcPr>
            <w:tcW w:w="2187" w:type="dxa"/>
            <w:vAlign w:val="top"/>
          </w:tcPr>
          <w:p w14:paraId="6D5DBE34">
            <w:pPr>
              <w:spacing w:before="65"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0.00004</w:t>
            </w:r>
          </w:p>
        </w:tc>
        <w:tc>
          <w:tcPr>
            <w:tcW w:w="2157" w:type="dxa"/>
            <w:vAlign w:val="top"/>
          </w:tcPr>
          <w:p w14:paraId="53D369C4">
            <w:pPr>
              <w:spacing w:before="65"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0.00004</w:t>
            </w:r>
          </w:p>
        </w:tc>
        <w:tc>
          <w:tcPr>
            <w:tcW w:w="2154" w:type="dxa"/>
            <w:vAlign w:val="top"/>
          </w:tcPr>
          <w:p w14:paraId="33A9BDDA">
            <w:pPr>
              <w:spacing w:before="31"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0.00003</w:t>
            </w:r>
          </w:p>
        </w:tc>
      </w:tr>
      <w:tr w14:paraId="77442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459152CB">
            <w:pPr>
              <w:pStyle w:val="6"/>
              <w:spacing w:before="67" w:line="274" w:lineRule="exact"/>
              <w:ind w:left="533"/>
            </w:pPr>
            <w:r>
              <w:rPr>
                <w:rFonts w:ascii="Times New Roman" w:hAnsi="Times New Roman" w:eastAsia="Times New Roman" w:cs="Times New Roman"/>
                <w:spacing w:val="-2"/>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2"/>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2"/>
                <w:position w:val="2"/>
              </w:rPr>
              <w:t>1-</w:t>
            </w:r>
            <w:r>
              <w:rPr>
                <w:spacing w:val="-2"/>
                <w:position w:val="2"/>
              </w:rPr>
              <w:t>三氯乙烷</w:t>
            </w:r>
          </w:p>
        </w:tc>
        <w:tc>
          <w:tcPr>
            <w:tcW w:w="2187" w:type="dxa"/>
            <w:vAlign w:val="top"/>
          </w:tcPr>
          <w:p w14:paraId="795CFA26">
            <w:pPr>
              <w:spacing w:before="67"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7" w:type="dxa"/>
            <w:vAlign w:val="top"/>
          </w:tcPr>
          <w:p w14:paraId="5C7155B2">
            <w:pPr>
              <w:spacing w:before="67"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4" w:type="dxa"/>
            <w:vAlign w:val="top"/>
          </w:tcPr>
          <w:p w14:paraId="11C0FAA6">
            <w:pPr>
              <w:spacing w:before="67" w:line="274"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r>
      <w:tr w14:paraId="4DD14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31ECCA6F">
            <w:pPr>
              <w:pStyle w:val="6"/>
              <w:spacing w:before="32" w:line="274" w:lineRule="exact"/>
              <w:ind w:left="533"/>
            </w:pPr>
            <w:r>
              <w:rPr>
                <w:rFonts w:ascii="Times New Roman" w:hAnsi="Times New Roman" w:eastAsia="Times New Roman" w:cs="Times New Roman"/>
                <w:spacing w:val="1"/>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1"/>
                <w:position w:val="2"/>
              </w:rPr>
              <w:t>1,2-</w:t>
            </w:r>
            <w:r>
              <w:rPr>
                <w:spacing w:val="1"/>
                <w:position w:val="2"/>
              </w:rPr>
              <w:t>三氯乙烷</w:t>
            </w:r>
          </w:p>
        </w:tc>
        <w:tc>
          <w:tcPr>
            <w:tcW w:w="2187" w:type="dxa"/>
            <w:vAlign w:val="top"/>
          </w:tcPr>
          <w:p w14:paraId="596F40D0">
            <w:pPr>
              <w:spacing w:before="65"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0.00025</w:t>
            </w:r>
          </w:p>
        </w:tc>
        <w:tc>
          <w:tcPr>
            <w:tcW w:w="2157" w:type="dxa"/>
            <w:vAlign w:val="top"/>
          </w:tcPr>
          <w:p w14:paraId="490FE168">
            <w:pPr>
              <w:spacing w:before="65"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0.00025</w:t>
            </w:r>
          </w:p>
        </w:tc>
        <w:tc>
          <w:tcPr>
            <w:tcW w:w="2154" w:type="dxa"/>
            <w:vAlign w:val="top"/>
          </w:tcPr>
          <w:p w14:paraId="105A3220">
            <w:pPr>
              <w:spacing w:before="65"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0.00025</w:t>
            </w:r>
          </w:p>
        </w:tc>
      </w:tr>
      <w:tr w14:paraId="55101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7C377FD1">
            <w:pPr>
              <w:pStyle w:val="6"/>
              <w:spacing w:before="61" w:line="228" w:lineRule="auto"/>
              <w:ind w:left="761"/>
            </w:pPr>
            <w:r>
              <w:rPr>
                <w:spacing w:val="7"/>
              </w:rPr>
              <w:t>三氯乙烯</w:t>
            </w:r>
          </w:p>
        </w:tc>
        <w:tc>
          <w:tcPr>
            <w:tcW w:w="2187" w:type="dxa"/>
            <w:vAlign w:val="top"/>
          </w:tcPr>
          <w:p w14:paraId="2956342F">
            <w:pPr>
              <w:spacing w:before="66"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0.00016</w:t>
            </w:r>
          </w:p>
        </w:tc>
        <w:tc>
          <w:tcPr>
            <w:tcW w:w="2157" w:type="dxa"/>
            <w:vAlign w:val="top"/>
          </w:tcPr>
          <w:p w14:paraId="0D00E767">
            <w:pPr>
              <w:spacing w:before="66"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0.00016</w:t>
            </w:r>
          </w:p>
        </w:tc>
        <w:tc>
          <w:tcPr>
            <w:tcW w:w="2154" w:type="dxa"/>
            <w:vAlign w:val="top"/>
          </w:tcPr>
          <w:p w14:paraId="6AD8E24A">
            <w:pPr>
              <w:spacing w:before="66"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0.00016</w:t>
            </w:r>
          </w:p>
        </w:tc>
      </w:tr>
      <w:tr w14:paraId="616F5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17A96F54">
            <w:pPr>
              <w:pStyle w:val="6"/>
              <w:spacing w:before="31" w:line="274" w:lineRule="exact"/>
              <w:ind w:left="533"/>
            </w:pPr>
            <w:r>
              <w:rPr>
                <w:rFonts w:ascii="Times New Roman" w:hAnsi="Times New Roman" w:eastAsia="Times New Roman" w:cs="Times New Roman"/>
                <w:spacing w:val="3"/>
                <w:position w:val="2"/>
              </w:rPr>
              <w:t>1,2,3-</w:t>
            </w:r>
            <w:r>
              <w:rPr>
                <w:spacing w:val="3"/>
                <w:position w:val="2"/>
              </w:rPr>
              <w:t>三氯丙烷</w:t>
            </w:r>
          </w:p>
        </w:tc>
        <w:tc>
          <w:tcPr>
            <w:tcW w:w="2187" w:type="dxa"/>
            <w:vAlign w:val="top"/>
          </w:tcPr>
          <w:p w14:paraId="5ED36CCA">
            <w:pPr>
              <w:spacing w:before="67" w:line="274" w:lineRule="exact"/>
              <w:ind w:left="8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w:t>
            </w:r>
          </w:p>
        </w:tc>
        <w:tc>
          <w:tcPr>
            <w:tcW w:w="2157" w:type="dxa"/>
            <w:vAlign w:val="top"/>
          </w:tcPr>
          <w:p w14:paraId="64FB1C54">
            <w:pPr>
              <w:spacing w:before="67" w:line="274" w:lineRule="exact"/>
              <w:ind w:left="8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w:t>
            </w:r>
          </w:p>
        </w:tc>
        <w:tc>
          <w:tcPr>
            <w:tcW w:w="2154" w:type="dxa"/>
            <w:vAlign w:val="top"/>
          </w:tcPr>
          <w:p w14:paraId="210003E2">
            <w:pPr>
              <w:spacing w:before="67" w:line="274" w:lineRule="exact"/>
              <w:ind w:left="8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w:t>
            </w:r>
          </w:p>
        </w:tc>
      </w:tr>
      <w:tr w14:paraId="7FCD4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46C2CD34">
            <w:pPr>
              <w:pStyle w:val="6"/>
              <w:spacing w:before="63" w:line="228" w:lineRule="auto"/>
              <w:ind w:left="868"/>
            </w:pPr>
            <w:r>
              <w:rPr>
                <w:spacing w:val="5"/>
              </w:rPr>
              <w:t>氯乙烯</w:t>
            </w:r>
          </w:p>
        </w:tc>
        <w:tc>
          <w:tcPr>
            <w:tcW w:w="2187" w:type="dxa"/>
            <w:vAlign w:val="top"/>
          </w:tcPr>
          <w:p w14:paraId="63B79FA6">
            <w:pPr>
              <w:spacing w:before="66"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0.0017</w:t>
            </w:r>
          </w:p>
        </w:tc>
        <w:tc>
          <w:tcPr>
            <w:tcW w:w="2157" w:type="dxa"/>
            <w:vAlign w:val="top"/>
          </w:tcPr>
          <w:p w14:paraId="1B4E23F4">
            <w:pPr>
              <w:spacing w:before="66"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0.0017</w:t>
            </w:r>
          </w:p>
        </w:tc>
        <w:tc>
          <w:tcPr>
            <w:tcW w:w="2154" w:type="dxa"/>
            <w:vAlign w:val="top"/>
          </w:tcPr>
          <w:p w14:paraId="0A38871A">
            <w:pPr>
              <w:spacing w:before="66"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0.0017</w:t>
            </w:r>
          </w:p>
        </w:tc>
      </w:tr>
      <w:tr w14:paraId="2946F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4D03D9A7">
            <w:pPr>
              <w:pStyle w:val="6"/>
              <w:spacing w:before="61" w:line="228" w:lineRule="auto"/>
              <w:ind w:left="1078"/>
            </w:pPr>
            <w:r>
              <w:t>苯</w:t>
            </w:r>
          </w:p>
        </w:tc>
        <w:tc>
          <w:tcPr>
            <w:tcW w:w="2187" w:type="dxa"/>
            <w:vAlign w:val="top"/>
          </w:tcPr>
          <w:p w14:paraId="6BC855C4">
            <w:pPr>
              <w:spacing w:before="67"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c>
          <w:tcPr>
            <w:tcW w:w="2157" w:type="dxa"/>
            <w:vAlign w:val="top"/>
          </w:tcPr>
          <w:p w14:paraId="6867908A">
            <w:pPr>
              <w:spacing w:before="67"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c>
          <w:tcPr>
            <w:tcW w:w="2154" w:type="dxa"/>
            <w:vAlign w:val="top"/>
          </w:tcPr>
          <w:p w14:paraId="4FC91D3E">
            <w:pPr>
              <w:spacing w:before="67"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r>
      <w:tr w14:paraId="256FB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31FBB048">
            <w:pPr>
              <w:pStyle w:val="6"/>
              <w:spacing w:before="62" w:line="228" w:lineRule="auto"/>
              <w:ind w:left="973"/>
            </w:pPr>
            <w:r>
              <w:rPr>
                <w:spacing w:val="3"/>
              </w:rPr>
              <w:t>氯苯</w:t>
            </w:r>
          </w:p>
        </w:tc>
        <w:tc>
          <w:tcPr>
            <w:tcW w:w="2187" w:type="dxa"/>
            <w:vAlign w:val="top"/>
          </w:tcPr>
          <w:p w14:paraId="2CA5AED5">
            <w:pPr>
              <w:spacing w:before="65" w:line="275"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0.000002</w:t>
            </w:r>
          </w:p>
        </w:tc>
        <w:tc>
          <w:tcPr>
            <w:tcW w:w="2157" w:type="dxa"/>
            <w:vAlign w:val="top"/>
          </w:tcPr>
          <w:p w14:paraId="65F42BA8">
            <w:pPr>
              <w:spacing w:before="65" w:line="275"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0.000002</w:t>
            </w:r>
          </w:p>
        </w:tc>
        <w:tc>
          <w:tcPr>
            <w:tcW w:w="2154" w:type="dxa"/>
            <w:vAlign w:val="top"/>
          </w:tcPr>
          <w:p w14:paraId="7EC033A1">
            <w:pPr>
              <w:spacing w:before="65" w:line="275"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0.000002</w:t>
            </w:r>
          </w:p>
        </w:tc>
      </w:tr>
      <w:tr w14:paraId="64308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04BA1265">
            <w:pPr>
              <w:pStyle w:val="6"/>
              <w:spacing w:before="30" w:line="275" w:lineRule="exact"/>
              <w:ind w:left="718"/>
            </w:pPr>
            <w:r>
              <w:rPr>
                <w:rFonts w:ascii="Times New Roman" w:hAnsi="Times New Roman" w:eastAsia="Times New Roman" w:cs="Times New Roman"/>
                <w:spacing w:val="2"/>
                <w:position w:val="2"/>
              </w:rPr>
              <w:t>1,2-</w:t>
            </w:r>
            <w:r>
              <w:rPr>
                <w:spacing w:val="2"/>
                <w:position w:val="2"/>
              </w:rPr>
              <w:t>二氯苯</w:t>
            </w:r>
          </w:p>
        </w:tc>
        <w:tc>
          <w:tcPr>
            <w:tcW w:w="2187" w:type="dxa"/>
            <w:vAlign w:val="top"/>
          </w:tcPr>
          <w:p w14:paraId="4037329B">
            <w:pPr>
              <w:spacing w:before="66" w:line="275"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7" w:type="dxa"/>
            <w:vAlign w:val="top"/>
          </w:tcPr>
          <w:p w14:paraId="1D727D7C">
            <w:pPr>
              <w:spacing w:before="66" w:line="275"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4" w:type="dxa"/>
            <w:vAlign w:val="top"/>
          </w:tcPr>
          <w:p w14:paraId="12C52E6B">
            <w:pPr>
              <w:spacing w:before="66" w:line="275"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r>
      <w:tr w14:paraId="4D9D2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6EA21AB0">
            <w:pPr>
              <w:pStyle w:val="6"/>
              <w:spacing w:before="31" w:line="275" w:lineRule="exact"/>
              <w:ind w:left="718"/>
            </w:pPr>
            <w:r>
              <w:rPr>
                <w:rFonts w:ascii="Times New Roman" w:hAnsi="Times New Roman" w:eastAsia="Times New Roman" w:cs="Times New Roman"/>
                <w:spacing w:val="2"/>
                <w:position w:val="2"/>
              </w:rPr>
              <w:t>1,4-</w:t>
            </w:r>
            <w:r>
              <w:rPr>
                <w:spacing w:val="2"/>
                <w:position w:val="2"/>
              </w:rPr>
              <w:t>二氯苯</w:t>
            </w:r>
          </w:p>
        </w:tc>
        <w:tc>
          <w:tcPr>
            <w:tcW w:w="2187" w:type="dxa"/>
            <w:vAlign w:val="top"/>
          </w:tcPr>
          <w:p w14:paraId="0D092E0B">
            <w:pPr>
              <w:spacing w:before="65"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0.00003</w:t>
            </w:r>
          </w:p>
        </w:tc>
        <w:tc>
          <w:tcPr>
            <w:tcW w:w="2157" w:type="dxa"/>
            <w:vAlign w:val="top"/>
          </w:tcPr>
          <w:p w14:paraId="437D9DE7">
            <w:pPr>
              <w:spacing w:before="65"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0.00003</w:t>
            </w:r>
          </w:p>
        </w:tc>
        <w:tc>
          <w:tcPr>
            <w:tcW w:w="2154" w:type="dxa"/>
            <w:vAlign w:val="top"/>
          </w:tcPr>
          <w:p w14:paraId="5F28A190">
            <w:pPr>
              <w:spacing w:before="65"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0.00003</w:t>
            </w:r>
          </w:p>
        </w:tc>
      </w:tr>
      <w:tr w14:paraId="66DE5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5ADA63AC">
            <w:pPr>
              <w:pStyle w:val="6"/>
              <w:spacing w:before="60" w:line="228" w:lineRule="auto"/>
              <w:ind w:left="987"/>
            </w:pPr>
            <w:r>
              <w:rPr>
                <w:spacing w:val="-4"/>
              </w:rPr>
              <w:t>乙苯</w:t>
            </w:r>
          </w:p>
        </w:tc>
        <w:tc>
          <w:tcPr>
            <w:tcW w:w="2187" w:type="dxa"/>
            <w:vAlign w:val="top"/>
          </w:tcPr>
          <w:p w14:paraId="3EA5EC0C">
            <w:pPr>
              <w:spacing w:before="66"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c>
          <w:tcPr>
            <w:tcW w:w="2157" w:type="dxa"/>
            <w:vAlign w:val="top"/>
          </w:tcPr>
          <w:p w14:paraId="50A57703">
            <w:pPr>
              <w:spacing w:before="66"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c>
          <w:tcPr>
            <w:tcW w:w="2154" w:type="dxa"/>
            <w:vAlign w:val="top"/>
          </w:tcPr>
          <w:p w14:paraId="4D1351C2">
            <w:pPr>
              <w:spacing w:before="66"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r>
      <w:tr w14:paraId="36900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2AC7D4A1">
            <w:pPr>
              <w:pStyle w:val="6"/>
              <w:spacing w:before="61" w:line="228" w:lineRule="auto"/>
              <w:ind w:left="867"/>
            </w:pPr>
            <w:r>
              <w:rPr>
                <w:spacing w:val="6"/>
              </w:rPr>
              <w:t>苯乙烯</w:t>
            </w:r>
          </w:p>
        </w:tc>
        <w:tc>
          <w:tcPr>
            <w:tcW w:w="2187" w:type="dxa"/>
            <w:vAlign w:val="top"/>
          </w:tcPr>
          <w:p w14:paraId="0A1E8A2E">
            <w:pPr>
              <w:spacing w:before="67"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7" w:type="dxa"/>
            <w:vAlign w:val="top"/>
          </w:tcPr>
          <w:p w14:paraId="0D06F868">
            <w:pPr>
              <w:spacing w:before="67"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4" w:type="dxa"/>
            <w:vAlign w:val="top"/>
          </w:tcPr>
          <w:p w14:paraId="2D7596C1">
            <w:pPr>
              <w:spacing w:before="67" w:line="274"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r>
      <w:tr w14:paraId="70643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0BE217A0">
            <w:pPr>
              <w:pStyle w:val="6"/>
              <w:spacing w:before="62" w:line="228" w:lineRule="auto"/>
              <w:ind w:left="997"/>
            </w:pPr>
            <w:r>
              <w:rPr>
                <w:spacing w:val="-9"/>
              </w:rPr>
              <w:t>甲苯</w:t>
            </w:r>
          </w:p>
        </w:tc>
        <w:tc>
          <w:tcPr>
            <w:tcW w:w="2187" w:type="dxa"/>
            <w:vAlign w:val="top"/>
          </w:tcPr>
          <w:p w14:paraId="2359E8A5">
            <w:pPr>
              <w:spacing w:before="66"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7" w:type="dxa"/>
            <w:vAlign w:val="top"/>
          </w:tcPr>
          <w:p w14:paraId="119B048D">
            <w:pPr>
              <w:spacing w:before="66"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4" w:type="dxa"/>
            <w:vAlign w:val="top"/>
          </w:tcPr>
          <w:p w14:paraId="1E540660">
            <w:pPr>
              <w:spacing w:before="66" w:line="274"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r>
      <w:tr w14:paraId="40E23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12E6E9D1">
            <w:pPr>
              <w:pStyle w:val="6"/>
              <w:spacing w:before="61" w:line="228" w:lineRule="auto"/>
              <w:ind w:left="298"/>
            </w:pPr>
            <w:r>
              <w:rPr>
                <w:spacing w:val="6"/>
              </w:rPr>
              <w:t>间二甲苯</w:t>
            </w:r>
            <w:r>
              <w:rPr>
                <w:rFonts w:ascii="Times New Roman" w:hAnsi="Times New Roman" w:eastAsia="Times New Roman" w:cs="Times New Roman"/>
                <w:spacing w:val="6"/>
              </w:rPr>
              <w:t>+</w:t>
            </w:r>
            <w:r>
              <w:rPr>
                <w:spacing w:val="6"/>
              </w:rPr>
              <w:t>对二甲苯</w:t>
            </w:r>
          </w:p>
        </w:tc>
        <w:tc>
          <w:tcPr>
            <w:tcW w:w="2187" w:type="dxa"/>
            <w:vAlign w:val="top"/>
          </w:tcPr>
          <w:p w14:paraId="27B5BA0F">
            <w:pPr>
              <w:spacing w:before="67"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0.000003</w:t>
            </w:r>
          </w:p>
        </w:tc>
        <w:tc>
          <w:tcPr>
            <w:tcW w:w="2157" w:type="dxa"/>
            <w:vAlign w:val="top"/>
          </w:tcPr>
          <w:p w14:paraId="44C22742">
            <w:pPr>
              <w:spacing w:before="67"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0.000003</w:t>
            </w:r>
          </w:p>
        </w:tc>
        <w:tc>
          <w:tcPr>
            <w:tcW w:w="2154" w:type="dxa"/>
            <w:vAlign w:val="top"/>
          </w:tcPr>
          <w:p w14:paraId="36A8443F">
            <w:pPr>
              <w:spacing w:before="67" w:line="274"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0.000003</w:t>
            </w:r>
          </w:p>
        </w:tc>
      </w:tr>
      <w:tr w14:paraId="5F2E7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4B03C0F3">
            <w:pPr>
              <w:pStyle w:val="6"/>
              <w:spacing w:before="62" w:line="228" w:lineRule="auto"/>
              <w:ind w:left="760"/>
            </w:pPr>
            <w:r>
              <w:rPr>
                <w:spacing w:val="7"/>
              </w:rPr>
              <w:t>邻二甲苯</w:t>
            </w:r>
          </w:p>
        </w:tc>
        <w:tc>
          <w:tcPr>
            <w:tcW w:w="2187" w:type="dxa"/>
            <w:vAlign w:val="top"/>
          </w:tcPr>
          <w:p w14:paraId="448AF8E7">
            <w:pPr>
              <w:spacing w:before="65" w:line="274" w:lineRule="exact"/>
              <w:ind w:left="7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7" w:type="dxa"/>
            <w:vAlign w:val="top"/>
          </w:tcPr>
          <w:p w14:paraId="5593C932">
            <w:pPr>
              <w:spacing w:before="65" w:line="274" w:lineRule="exact"/>
              <w:ind w:left="6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c>
          <w:tcPr>
            <w:tcW w:w="2154" w:type="dxa"/>
            <w:vAlign w:val="top"/>
          </w:tcPr>
          <w:p w14:paraId="16D6E041">
            <w:pPr>
              <w:spacing w:before="65" w:line="274"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0.000001</w:t>
            </w:r>
          </w:p>
        </w:tc>
      </w:tr>
      <w:tr w14:paraId="6154D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5BEDBBE1">
            <w:pPr>
              <w:pStyle w:val="6"/>
              <w:spacing w:before="61" w:line="228" w:lineRule="auto"/>
              <w:ind w:left="866"/>
            </w:pPr>
            <w:r>
              <w:rPr>
                <w:spacing w:val="6"/>
              </w:rPr>
              <w:t>硝基苯</w:t>
            </w:r>
          </w:p>
        </w:tc>
        <w:tc>
          <w:tcPr>
            <w:tcW w:w="2187" w:type="dxa"/>
            <w:vAlign w:val="top"/>
          </w:tcPr>
          <w:p w14:paraId="628DB668">
            <w:pPr>
              <w:spacing w:before="66"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0.00059</w:t>
            </w:r>
          </w:p>
        </w:tc>
        <w:tc>
          <w:tcPr>
            <w:tcW w:w="2157" w:type="dxa"/>
            <w:vAlign w:val="top"/>
          </w:tcPr>
          <w:p w14:paraId="696A1B70">
            <w:pPr>
              <w:spacing w:before="66"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0.00059</w:t>
            </w:r>
          </w:p>
        </w:tc>
        <w:tc>
          <w:tcPr>
            <w:tcW w:w="2154" w:type="dxa"/>
            <w:vAlign w:val="top"/>
          </w:tcPr>
          <w:p w14:paraId="4A4B2850">
            <w:pPr>
              <w:spacing w:before="66"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0.00059</w:t>
            </w:r>
          </w:p>
        </w:tc>
      </w:tr>
      <w:tr w14:paraId="3206C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08A4C969">
            <w:pPr>
              <w:pStyle w:val="6"/>
              <w:spacing w:before="62" w:line="228" w:lineRule="auto"/>
              <w:ind w:left="973"/>
            </w:pPr>
            <w:r>
              <w:rPr>
                <w:spacing w:val="3"/>
              </w:rPr>
              <w:t>苯胺</w:t>
            </w:r>
          </w:p>
        </w:tc>
        <w:tc>
          <w:tcPr>
            <w:tcW w:w="2187" w:type="dxa"/>
            <w:vAlign w:val="top"/>
          </w:tcPr>
          <w:p w14:paraId="1F662AAC">
            <w:pPr>
              <w:spacing w:before="67"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0.00019</w:t>
            </w:r>
          </w:p>
        </w:tc>
        <w:tc>
          <w:tcPr>
            <w:tcW w:w="2157" w:type="dxa"/>
            <w:vAlign w:val="top"/>
          </w:tcPr>
          <w:p w14:paraId="02F157C9">
            <w:pPr>
              <w:spacing w:before="67"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0.00019</w:t>
            </w:r>
          </w:p>
        </w:tc>
        <w:tc>
          <w:tcPr>
            <w:tcW w:w="2154" w:type="dxa"/>
            <w:vAlign w:val="top"/>
          </w:tcPr>
          <w:p w14:paraId="5062C4AB">
            <w:pPr>
              <w:spacing w:before="67"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0.00019</w:t>
            </w:r>
          </w:p>
        </w:tc>
      </w:tr>
      <w:tr w14:paraId="29B98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289849F9">
            <w:pPr>
              <w:pStyle w:val="6"/>
              <w:spacing w:before="32" w:line="274" w:lineRule="exact"/>
              <w:ind w:left="880"/>
            </w:pPr>
            <w:r>
              <w:rPr>
                <w:rFonts w:ascii="Times New Roman" w:hAnsi="Times New Roman" w:eastAsia="Times New Roman" w:cs="Times New Roman"/>
                <w:spacing w:val="4"/>
                <w:position w:val="1"/>
              </w:rPr>
              <w:t>2-</w:t>
            </w:r>
            <w:r>
              <w:rPr>
                <w:spacing w:val="4"/>
                <w:position w:val="1"/>
              </w:rPr>
              <w:t>氯酚</w:t>
            </w:r>
          </w:p>
        </w:tc>
        <w:tc>
          <w:tcPr>
            <w:tcW w:w="2187" w:type="dxa"/>
            <w:vAlign w:val="top"/>
          </w:tcPr>
          <w:p w14:paraId="350F21E6">
            <w:pPr>
              <w:spacing w:before="66"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2157" w:type="dxa"/>
            <w:vAlign w:val="top"/>
          </w:tcPr>
          <w:p w14:paraId="2A7A9D41">
            <w:pPr>
              <w:spacing w:before="66"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c>
          <w:tcPr>
            <w:tcW w:w="2154" w:type="dxa"/>
            <w:vAlign w:val="top"/>
          </w:tcPr>
          <w:p w14:paraId="6FB8D068">
            <w:pPr>
              <w:spacing w:before="66"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0.00001</w:t>
            </w:r>
          </w:p>
        </w:tc>
      </w:tr>
      <w:tr w14:paraId="0033A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7940D07C">
            <w:pPr>
              <w:pStyle w:val="6"/>
              <w:spacing w:before="31" w:line="274" w:lineRule="exact"/>
              <w:ind w:left="752"/>
            </w:pPr>
            <w:r>
              <w:rPr>
                <w:spacing w:val="5"/>
                <w:position w:val="2"/>
              </w:rPr>
              <w:t>苯并</w:t>
            </w:r>
            <w:r>
              <w:rPr>
                <w:rFonts w:ascii="Times New Roman" w:hAnsi="Times New Roman" w:eastAsia="Times New Roman" w:cs="Times New Roman"/>
                <w:spacing w:val="5"/>
                <w:position w:val="2"/>
              </w:rPr>
              <w:t>(a)</w:t>
            </w:r>
            <w:r>
              <w:rPr>
                <w:spacing w:val="5"/>
                <w:position w:val="2"/>
              </w:rPr>
              <w:t>蒽</w:t>
            </w:r>
          </w:p>
        </w:tc>
        <w:tc>
          <w:tcPr>
            <w:tcW w:w="2187" w:type="dxa"/>
            <w:vAlign w:val="top"/>
          </w:tcPr>
          <w:p w14:paraId="0B9053BD">
            <w:pPr>
              <w:spacing w:before="67" w:line="274" w:lineRule="exact"/>
              <w:ind w:left="8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w:t>
            </w:r>
          </w:p>
        </w:tc>
        <w:tc>
          <w:tcPr>
            <w:tcW w:w="2157" w:type="dxa"/>
            <w:vAlign w:val="top"/>
          </w:tcPr>
          <w:p w14:paraId="173588DF">
            <w:pPr>
              <w:spacing w:before="67" w:line="274" w:lineRule="exact"/>
              <w:ind w:left="8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0.004</w:t>
            </w:r>
          </w:p>
        </w:tc>
        <w:tc>
          <w:tcPr>
            <w:tcW w:w="2154" w:type="dxa"/>
            <w:vAlign w:val="top"/>
          </w:tcPr>
          <w:p w14:paraId="33196D5F">
            <w:pPr>
              <w:spacing w:before="67" w:line="274" w:lineRule="exact"/>
              <w:ind w:left="8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w:t>
            </w:r>
          </w:p>
        </w:tc>
      </w:tr>
      <w:tr w14:paraId="3F9BC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2085CCCF">
            <w:pPr>
              <w:pStyle w:val="6"/>
              <w:spacing w:before="32" w:line="274" w:lineRule="exact"/>
              <w:ind w:left="752"/>
            </w:pPr>
            <w:r>
              <w:rPr>
                <w:spacing w:val="5"/>
                <w:position w:val="2"/>
              </w:rPr>
              <w:t>苯并</w:t>
            </w:r>
            <w:r>
              <w:rPr>
                <w:rFonts w:ascii="Times New Roman" w:hAnsi="Times New Roman" w:eastAsia="Times New Roman" w:cs="Times New Roman"/>
                <w:spacing w:val="5"/>
                <w:position w:val="2"/>
              </w:rPr>
              <w:t>(a)</w:t>
            </w:r>
            <w:r>
              <w:rPr>
                <w:spacing w:val="5"/>
                <w:position w:val="2"/>
              </w:rPr>
              <w:t>芘</w:t>
            </w:r>
          </w:p>
        </w:tc>
        <w:tc>
          <w:tcPr>
            <w:tcW w:w="2187" w:type="dxa"/>
            <w:vAlign w:val="top"/>
          </w:tcPr>
          <w:p w14:paraId="0D4760FF">
            <w:pPr>
              <w:spacing w:before="65" w:line="275" w:lineRule="exact"/>
              <w:ind w:left="9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2157" w:type="dxa"/>
            <w:vAlign w:val="top"/>
          </w:tcPr>
          <w:p w14:paraId="3D10D570">
            <w:pPr>
              <w:spacing w:before="65" w:line="275" w:lineRule="exact"/>
              <w:ind w:left="8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2154" w:type="dxa"/>
            <w:vAlign w:val="top"/>
          </w:tcPr>
          <w:p w14:paraId="2097C0FA">
            <w:pPr>
              <w:spacing w:before="65" w:line="275" w:lineRule="exact"/>
              <w:ind w:left="8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r>
      <w:tr w14:paraId="014A8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06738CC0">
            <w:pPr>
              <w:pStyle w:val="6"/>
              <w:spacing w:before="30" w:line="275" w:lineRule="exact"/>
              <w:ind w:left="641"/>
            </w:pPr>
            <w:r>
              <w:rPr>
                <w:spacing w:val="5"/>
                <w:position w:val="2"/>
              </w:rPr>
              <w:t>苯并</w:t>
            </w:r>
            <w:r>
              <w:rPr>
                <w:rFonts w:ascii="Times New Roman" w:hAnsi="Times New Roman" w:eastAsia="Times New Roman" w:cs="Times New Roman"/>
                <w:spacing w:val="5"/>
                <w:position w:val="2"/>
              </w:rPr>
              <w:t>(b)</w:t>
            </w:r>
            <w:r>
              <w:rPr>
                <w:spacing w:val="5"/>
                <w:position w:val="2"/>
              </w:rPr>
              <w:t>荧蒽</w:t>
            </w:r>
          </w:p>
        </w:tc>
        <w:tc>
          <w:tcPr>
            <w:tcW w:w="2187" w:type="dxa"/>
            <w:vAlign w:val="top"/>
          </w:tcPr>
          <w:p w14:paraId="061D815C">
            <w:pPr>
              <w:spacing w:before="66" w:line="275" w:lineRule="exact"/>
              <w:ind w:left="8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0.006</w:t>
            </w:r>
          </w:p>
        </w:tc>
        <w:tc>
          <w:tcPr>
            <w:tcW w:w="2157" w:type="dxa"/>
            <w:vAlign w:val="top"/>
          </w:tcPr>
          <w:p w14:paraId="0B934E8D">
            <w:pPr>
              <w:spacing w:before="66" w:line="275" w:lineRule="exact"/>
              <w:ind w:left="8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0.006</w:t>
            </w:r>
          </w:p>
        </w:tc>
        <w:tc>
          <w:tcPr>
            <w:tcW w:w="2154" w:type="dxa"/>
            <w:vAlign w:val="top"/>
          </w:tcPr>
          <w:p w14:paraId="66A9262E">
            <w:pPr>
              <w:spacing w:before="66" w:line="275" w:lineRule="exact"/>
              <w:ind w:left="8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0.006</w:t>
            </w:r>
          </w:p>
        </w:tc>
      </w:tr>
      <w:tr w14:paraId="3C68B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2C64F442">
            <w:pPr>
              <w:pStyle w:val="6"/>
              <w:spacing w:before="31" w:line="275" w:lineRule="exact"/>
              <w:ind w:left="641"/>
            </w:pPr>
            <w:r>
              <w:rPr>
                <w:spacing w:val="5"/>
                <w:position w:val="2"/>
              </w:rPr>
              <w:t>苯并</w:t>
            </w:r>
            <w:r>
              <w:rPr>
                <w:rFonts w:ascii="Times New Roman" w:hAnsi="Times New Roman" w:eastAsia="Times New Roman" w:cs="Times New Roman"/>
                <w:spacing w:val="5"/>
                <w:position w:val="2"/>
              </w:rPr>
              <w:t>(k)</w:t>
            </w:r>
            <w:r>
              <w:rPr>
                <w:spacing w:val="5"/>
                <w:position w:val="2"/>
              </w:rPr>
              <w:t>荧蒽</w:t>
            </w:r>
          </w:p>
        </w:tc>
        <w:tc>
          <w:tcPr>
            <w:tcW w:w="2187" w:type="dxa"/>
            <w:vAlign w:val="top"/>
          </w:tcPr>
          <w:p w14:paraId="1A251262">
            <w:pPr>
              <w:spacing w:before="65"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c>
          <w:tcPr>
            <w:tcW w:w="2157" w:type="dxa"/>
            <w:vAlign w:val="top"/>
          </w:tcPr>
          <w:p w14:paraId="7BC93FB8">
            <w:pPr>
              <w:spacing w:before="65" w:line="274" w:lineRule="exact"/>
              <w:ind w:left="79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c>
          <w:tcPr>
            <w:tcW w:w="2154" w:type="dxa"/>
            <w:vAlign w:val="top"/>
          </w:tcPr>
          <w:p w14:paraId="4512214C">
            <w:pPr>
              <w:spacing w:before="65"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r>
      <w:tr w14:paraId="74884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2F998636">
            <w:pPr>
              <w:pStyle w:val="6"/>
              <w:spacing w:before="61" w:line="230" w:lineRule="auto"/>
              <w:ind w:left="1074"/>
            </w:pPr>
            <w:r>
              <w:rPr>
                <w:spacing w:val="2"/>
              </w:rPr>
              <w:t>䓛</w:t>
            </w:r>
          </w:p>
        </w:tc>
        <w:tc>
          <w:tcPr>
            <w:tcW w:w="2187" w:type="dxa"/>
            <w:vAlign w:val="top"/>
          </w:tcPr>
          <w:p w14:paraId="7C1BEB90">
            <w:pPr>
              <w:spacing w:before="66"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0.00005</w:t>
            </w:r>
          </w:p>
        </w:tc>
        <w:tc>
          <w:tcPr>
            <w:tcW w:w="2157" w:type="dxa"/>
            <w:vAlign w:val="top"/>
          </w:tcPr>
          <w:p w14:paraId="04A24EDF">
            <w:pPr>
              <w:spacing w:before="66"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0.00005</w:t>
            </w:r>
          </w:p>
        </w:tc>
        <w:tc>
          <w:tcPr>
            <w:tcW w:w="2154" w:type="dxa"/>
            <w:vAlign w:val="top"/>
          </w:tcPr>
          <w:p w14:paraId="25E9150C">
            <w:pPr>
              <w:spacing w:before="66"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0.00005</w:t>
            </w:r>
          </w:p>
        </w:tc>
      </w:tr>
      <w:tr w14:paraId="650DB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350" w:type="dxa"/>
            <w:vAlign w:val="top"/>
          </w:tcPr>
          <w:p w14:paraId="1BC5BF85">
            <w:pPr>
              <w:pStyle w:val="6"/>
              <w:spacing w:before="31" w:line="274" w:lineRule="exact"/>
              <w:ind w:left="570"/>
            </w:pPr>
            <w:r>
              <w:rPr>
                <w:spacing w:val="5"/>
                <w:position w:val="2"/>
              </w:rPr>
              <w:t>二苯并</w:t>
            </w:r>
            <w:r>
              <w:rPr>
                <w:rFonts w:ascii="Times New Roman" w:hAnsi="Times New Roman" w:eastAsia="Times New Roman" w:cs="Times New Roman"/>
                <w:spacing w:val="5"/>
                <w:position w:val="2"/>
              </w:rPr>
              <w:t>[a,h]</w:t>
            </w:r>
            <w:r>
              <w:rPr>
                <w:spacing w:val="5"/>
                <w:position w:val="2"/>
              </w:rPr>
              <w:t>蒽</w:t>
            </w:r>
          </w:p>
        </w:tc>
        <w:tc>
          <w:tcPr>
            <w:tcW w:w="2187" w:type="dxa"/>
            <w:vAlign w:val="top"/>
          </w:tcPr>
          <w:p w14:paraId="17ACD9F4">
            <w:pPr>
              <w:spacing w:before="67" w:line="274" w:lineRule="exact"/>
              <w:ind w:left="9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2157" w:type="dxa"/>
            <w:vAlign w:val="top"/>
          </w:tcPr>
          <w:p w14:paraId="470C316E">
            <w:pPr>
              <w:spacing w:before="67" w:line="274" w:lineRule="exact"/>
              <w:ind w:left="8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2154" w:type="dxa"/>
            <w:vAlign w:val="top"/>
          </w:tcPr>
          <w:p w14:paraId="76F2AD75">
            <w:pPr>
              <w:spacing w:before="67" w:line="274" w:lineRule="exact"/>
              <w:ind w:left="8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55AB7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50" w:type="dxa"/>
            <w:vAlign w:val="top"/>
          </w:tcPr>
          <w:p w14:paraId="256DBAB0">
            <w:pPr>
              <w:pStyle w:val="6"/>
              <w:spacing w:before="32" w:line="274" w:lineRule="exact"/>
              <w:ind w:left="458"/>
            </w:pPr>
            <w:r>
              <w:rPr>
                <w:spacing w:val="5"/>
                <w:position w:val="2"/>
              </w:rPr>
              <w:t>茚并</w:t>
            </w:r>
            <w:r>
              <w:rPr>
                <w:rFonts w:ascii="Times New Roman" w:hAnsi="Times New Roman" w:eastAsia="Times New Roman" w:cs="Times New Roman"/>
                <w:spacing w:val="5"/>
                <w:position w:val="2"/>
              </w:rPr>
              <w:t>[1,2,3-</w:t>
            </w:r>
            <w:r>
              <w:rPr>
                <w:rFonts w:ascii="Times New Roman" w:hAnsi="Times New Roman" w:eastAsia="Times New Roman" w:cs="Times New Roman"/>
                <w:position w:val="2"/>
              </w:rPr>
              <w:t>cd</w:t>
            </w:r>
            <w:r>
              <w:rPr>
                <w:rFonts w:ascii="Times New Roman" w:hAnsi="Times New Roman" w:eastAsia="Times New Roman" w:cs="Times New Roman"/>
                <w:spacing w:val="5"/>
                <w:position w:val="2"/>
              </w:rPr>
              <w:t>]</w:t>
            </w:r>
            <w:r>
              <w:rPr>
                <w:spacing w:val="5"/>
                <w:position w:val="2"/>
              </w:rPr>
              <w:t>芘</w:t>
            </w:r>
          </w:p>
        </w:tc>
        <w:tc>
          <w:tcPr>
            <w:tcW w:w="2187" w:type="dxa"/>
            <w:vAlign w:val="top"/>
          </w:tcPr>
          <w:p w14:paraId="50C082FF">
            <w:pPr>
              <w:spacing w:before="66" w:line="274" w:lineRule="exact"/>
              <w:ind w:left="8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w:t>
            </w:r>
          </w:p>
        </w:tc>
        <w:tc>
          <w:tcPr>
            <w:tcW w:w="2157" w:type="dxa"/>
            <w:vAlign w:val="top"/>
          </w:tcPr>
          <w:p w14:paraId="0B8E77FE">
            <w:pPr>
              <w:spacing w:before="66" w:line="274" w:lineRule="exact"/>
              <w:ind w:left="8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0.004</w:t>
            </w:r>
          </w:p>
        </w:tc>
        <w:tc>
          <w:tcPr>
            <w:tcW w:w="2154" w:type="dxa"/>
            <w:vAlign w:val="top"/>
          </w:tcPr>
          <w:p w14:paraId="4BCD87F8">
            <w:pPr>
              <w:spacing w:before="66" w:line="274" w:lineRule="exact"/>
              <w:ind w:left="8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w:t>
            </w:r>
          </w:p>
        </w:tc>
      </w:tr>
      <w:tr w14:paraId="040AB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350" w:type="dxa"/>
            <w:vAlign w:val="top"/>
          </w:tcPr>
          <w:p w14:paraId="0E491DCA">
            <w:pPr>
              <w:pStyle w:val="6"/>
              <w:spacing w:before="62" w:line="229" w:lineRule="auto"/>
              <w:ind w:left="1076"/>
            </w:pPr>
            <w:r>
              <w:t>萘</w:t>
            </w:r>
          </w:p>
        </w:tc>
        <w:tc>
          <w:tcPr>
            <w:tcW w:w="2187" w:type="dxa"/>
            <w:vAlign w:val="top"/>
          </w:tcPr>
          <w:p w14:paraId="70E8532E">
            <w:pPr>
              <w:spacing w:before="68"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0.00064</w:t>
            </w:r>
          </w:p>
        </w:tc>
        <w:tc>
          <w:tcPr>
            <w:tcW w:w="2157" w:type="dxa"/>
            <w:vAlign w:val="top"/>
          </w:tcPr>
          <w:p w14:paraId="18E4DCF1">
            <w:pPr>
              <w:spacing w:before="68"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0.00064</w:t>
            </w:r>
          </w:p>
        </w:tc>
        <w:tc>
          <w:tcPr>
            <w:tcW w:w="2154" w:type="dxa"/>
            <w:vAlign w:val="top"/>
          </w:tcPr>
          <w:p w14:paraId="6C2B1D0F">
            <w:pPr>
              <w:spacing w:before="68" w:line="274" w:lineRule="exact"/>
              <w:ind w:left="7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0.00064</w:t>
            </w:r>
          </w:p>
        </w:tc>
      </w:tr>
    </w:tbl>
    <w:p w14:paraId="6E57EDED">
      <w:pPr>
        <w:pStyle w:val="2"/>
      </w:pPr>
    </w:p>
    <w:p w14:paraId="3C197A86">
      <w:pPr>
        <w:sectPr>
          <w:footerReference r:id="rId113" w:type="default"/>
          <w:pgSz w:w="11906" w:h="16839"/>
          <w:pgMar w:top="400" w:right="1526" w:bottom="1485" w:left="1526" w:header="0" w:footer="1249" w:gutter="0"/>
          <w:cols w:space="720" w:num="1"/>
        </w:sectPr>
      </w:pPr>
    </w:p>
    <w:p w14:paraId="057BCB3B">
      <w:pPr>
        <w:pStyle w:val="2"/>
        <w:spacing w:line="258" w:lineRule="auto"/>
      </w:pPr>
    </w:p>
    <w:p w14:paraId="5E58BFEE">
      <w:pPr>
        <w:pStyle w:val="2"/>
        <w:spacing w:line="258" w:lineRule="auto"/>
      </w:pPr>
    </w:p>
    <w:p w14:paraId="48BE682A">
      <w:pPr>
        <w:pStyle w:val="2"/>
        <w:spacing w:line="258" w:lineRule="auto"/>
      </w:pPr>
    </w:p>
    <w:p w14:paraId="53DE8215">
      <w:pPr>
        <w:pStyle w:val="2"/>
        <w:spacing w:line="258" w:lineRule="auto"/>
      </w:pPr>
    </w:p>
    <w:p w14:paraId="7A57D865">
      <w:pPr>
        <w:pStyle w:val="2"/>
        <w:spacing w:line="259" w:lineRule="auto"/>
      </w:pPr>
    </w:p>
    <w:p w14:paraId="7B3AE824">
      <w:pPr>
        <w:pStyle w:val="2"/>
        <w:spacing w:line="259" w:lineRule="auto"/>
      </w:pPr>
    </w:p>
    <w:p w14:paraId="11BF5B77">
      <w:pPr>
        <w:pStyle w:val="2"/>
        <w:spacing w:line="259" w:lineRule="auto"/>
      </w:pPr>
    </w:p>
    <w:p w14:paraId="22354B35">
      <w:pPr>
        <w:pStyle w:val="2"/>
        <w:spacing w:line="259" w:lineRule="auto"/>
      </w:pPr>
    </w:p>
    <w:p w14:paraId="77A6D819">
      <w:pPr>
        <w:spacing w:before="65" w:line="228" w:lineRule="auto"/>
        <w:ind w:left="2741"/>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b/>
          <w:bCs/>
          <w:spacing w:val="6"/>
          <w:sz w:val="20"/>
          <w:szCs w:val="20"/>
        </w:rPr>
        <w:t xml:space="preserve">4.5-6 </w:t>
      </w:r>
      <w:r>
        <w:rPr>
          <w:rFonts w:ascii="宋体" w:hAnsi="宋体" w:eastAsia="宋体" w:cs="宋体"/>
          <w:b/>
          <w:bCs/>
          <w:spacing w:val="6"/>
          <w:sz w:val="20"/>
          <w:szCs w:val="20"/>
        </w:rPr>
        <w:t>项目土壤环境质量现状统计分析</w:t>
      </w:r>
    </w:p>
    <w:p w14:paraId="5DF01E51">
      <w:pPr>
        <w:spacing w:line="102" w:lineRule="exact"/>
      </w:pPr>
    </w:p>
    <w:tbl>
      <w:tblPr>
        <w:tblStyle w:val="5"/>
        <w:tblW w:w="87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4"/>
        <w:gridCol w:w="699"/>
        <w:gridCol w:w="1075"/>
        <w:gridCol w:w="945"/>
        <w:gridCol w:w="1011"/>
        <w:gridCol w:w="1010"/>
        <w:gridCol w:w="1008"/>
        <w:gridCol w:w="1021"/>
      </w:tblGrid>
      <w:tr w14:paraId="0A2D8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964" w:type="dxa"/>
            <w:vAlign w:val="top"/>
          </w:tcPr>
          <w:p w14:paraId="0AC5715D">
            <w:pPr>
              <w:pStyle w:val="6"/>
              <w:spacing w:before="226" w:line="229" w:lineRule="auto"/>
              <w:ind w:left="568"/>
            </w:pPr>
            <w:r>
              <w:rPr>
                <w:b/>
                <w:bCs/>
                <w:spacing w:val="6"/>
              </w:rPr>
              <w:t>监测指标</w:t>
            </w:r>
          </w:p>
        </w:tc>
        <w:tc>
          <w:tcPr>
            <w:tcW w:w="699" w:type="dxa"/>
            <w:vAlign w:val="top"/>
          </w:tcPr>
          <w:p w14:paraId="039DABF3">
            <w:pPr>
              <w:pStyle w:val="6"/>
              <w:spacing w:before="63" w:line="271" w:lineRule="auto"/>
              <w:ind w:left="248" w:right="140" w:hanging="108"/>
            </w:pPr>
            <w:r>
              <w:rPr>
                <w:b/>
                <w:bCs/>
                <w:spacing w:val="4"/>
              </w:rPr>
              <w:t>样本</w:t>
            </w:r>
            <w:r>
              <w:t xml:space="preserve"> </w:t>
            </w:r>
            <w:r>
              <w:rPr>
                <w:b/>
                <w:bCs/>
                <w:spacing w:val="-3"/>
              </w:rPr>
              <w:t>数</w:t>
            </w:r>
          </w:p>
        </w:tc>
        <w:tc>
          <w:tcPr>
            <w:tcW w:w="1075" w:type="dxa"/>
            <w:vAlign w:val="top"/>
          </w:tcPr>
          <w:p w14:paraId="65EC2B25">
            <w:pPr>
              <w:pStyle w:val="6"/>
              <w:spacing w:before="63" w:line="288" w:lineRule="auto"/>
              <w:ind w:left="263" w:right="221" w:hanging="33"/>
              <w:rPr>
                <w:rFonts w:ascii="Times New Roman" w:hAnsi="Times New Roman" w:eastAsia="Times New Roman" w:cs="Times New Roman"/>
              </w:rPr>
            </w:pPr>
            <w:r>
              <w:rPr>
                <w:b/>
                <w:bCs/>
                <w:spacing w:val="4"/>
              </w:rPr>
              <w:t>最大值</w:t>
            </w:r>
            <w:r>
              <w:t xml:space="preserve"> </w:t>
            </w:r>
            <w:r>
              <w:rPr>
                <w:rFonts w:ascii="Times New Roman" w:hAnsi="Times New Roman" w:eastAsia="Times New Roman" w:cs="Times New Roman"/>
                <w:b/>
                <w:bCs/>
              </w:rPr>
              <w:t>mg</w:t>
            </w:r>
            <w:r>
              <w:rPr>
                <w:rFonts w:ascii="Times New Roman" w:hAnsi="Times New Roman" w:eastAsia="Times New Roman" w:cs="Times New Roman"/>
                <w:b/>
                <w:bCs/>
                <w:spacing w:val="14"/>
              </w:rPr>
              <w:t>/</w:t>
            </w:r>
            <w:r>
              <w:rPr>
                <w:rFonts w:ascii="Times New Roman" w:hAnsi="Times New Roman" w:eastAsia="Times New Roman" w:cs="Times New Roman"/>
                <w:b/>
                <w:bCs/>
              </w:rPr>
              <w:t>kg</w:t>
            </w:r>
          </w:p>
        </w:tc>
        <w:tc>
          <w:tcPr>
            <w:tcW w:w="945" w:type="dxa"/>
            <w:vAlign w:val="top"/>
          </w:tcPr>
          <w:p w14:paraId="00EE8991">
            <w:pPr>
              <w:pStyle w:val="6"/>
              <w:spacing w:before="63" w:line="288" w:lineRule="auto"/>
              <w:ind w:left="198" w:right="156" w:hanging="33"/>
              <w:rPr>
                <w:rFonts w:ascii="Times New Roman" w:hAnsi="Times New Roman" w:eastAsia="Times New Roman" w:cs="Times New Roman"/>
              </w:rPr>
            </w:pPr>
            <w:r>
              <w:rPr>
                <w:b/>
                <w:bCs/>
                <w:spacing w:val="4"/>
              </w:rPr>
              <w:t>最小值</w:t>
            </w:r>
            <w:r>
              <w:t xml:space="preserve"> </w:t>
            </w:r>
            <w:r>
              <w:rPr>
                <w:rFonts w:ascii="Times New Roman" w:hAnsi="Times New Roman" w:eastAsia="Times New Roman" w:cs="Times New Roman"/>
                <w:b/>
                <w:bCs/>
              </w:rPr>
              <w:t>mg</w:t>
            </w:r>
            <w:r>
              <w:rPr>
                <w:rFonts w:ascii="Times New Roman" w:hAnsi="Times New Roman" w:eastAsia="Times New Roman" w:cs="Times New Roman"/>
                <w:b/>
                <w:bCs/>
                <w:spacing w:val="14"/>
              </w:rPr>
              <w:t>/</w:t>
            </w:r>
            <w:r>
              <w:rPr>
                <w:rFonts w:ascii="Times New Roman" w:hAnsi="Times New Roman" w:eastAsia="Times New Roman" w:cs="Times New Roman"/>
                <w:b/>
                <w:bCs/>
              </w:rPr>
              <w:t>kg</w:t>
            </w:r>
          </w:p>
        </w:tc>
        <w:tc>
          <w:tcPr>
            <w:tcW w:w="1011" w:type="dxa"/>
            <w:vAlign w:val="top"/>
          </w:tcPr>
          <w:p w14:paraId="75B75F57">
            <w:pPr>
              <w:pStyle w:val="6"/>
              <w:spacing w:before="63" w:line="288" w:lineRule="auto"/>
              <w:ind w:left="230" w:right="227" w:firstLine="70"/>
              <w:rPr>
                <w:rFonts w:ascii="Times New Roman" w:hAnsi="Times New Roman" w:eastAsia="Times New Roman" w:cs="Times New Roman"/>
              </w:rPr>
            </w:pPr>
            <w:r>
              <w:rPr>
                <w:b/>
                <w:bCs/>
                <w:spacing w:val="3"/>
              </w:rPr>
              <w:t>均值</w:t>
            </w:r>
            <w:r>
              <w:t xml:space="preserve"> </w:t>
            </w:r>
            <w:r>
              <w:rPr>
                <w:rFonts w:ascii="Times New Roman" w:hAnsi="Times New Roman" w:eastAsia="Times New Roman" w:cs="Times New Roman"/>
                <w:b/>
                <w:bCs/>
              </w:rPr>
              <w:t>mg</w:t>
            </w:r>
            <w:r>
              <w:rPr>
                <w:rFonts w:ascii="Times New Roman" w:hAnsi="Times New Roman" w:eastAsia="Times New Roman" w:cs="Times New Roman"/>
                <w:b/>
                <w:bCs/>
                <w:spacing w:val="14"/>
              </w:rPr>
              <w:t>/</w:t>
            </w:r>
            <w:r>
              <w:rPr>
                <w:rFonts w:ascii="Times New Roman" w:hAnsi="Times New Roman" w:eastAsia="Times New Roman" w:cs="Times New Roman"/>
                <w:b/>
                <w:bCs/>
              </w:rPr>
              <w:t>kg</w:t>
            </w:r>
          </w:p>
        </w:tc>
        <w:tc>
          <w:tcPr>
            <w:tcW w:w="1010" w:type="dxa"/>
            <w:vAlign w:val="top"/>
          </w:tcPr>
          <w:p w14:paraId="61FC5D67">
            <w:pPr>
              <w:pStyle w:val="6"/>
              <w:spacing w:before="226" w:line="229" w:lineRule="auto"/>
              <w:ind w:left="197"/>
            </w:pPr>
            <w:r>
              <w:rPr>
                <w:b/>
                <w:bCs/>
                <w:spacing w:val="5"/>
              </w:rPr>
              <w:t>标准差</w:t>
            </w:r>
          </w:p>
        </w:tc>
        <w:tc>
          <w:tcPr>
            <w:tcW w:w="1008" w:type="dxa"/>
            <w:vAlign w:val="top"/>
          </w:tcPr>
          <w:p w14:paraId="28324E5F">
            <w:pPr>
              <w:pStyle w:val="6"/>
              <w:spacing w:before="226" w:line="228" w:lineRule="auto"/>
              <w:ind w:left="196"/>
            </w:pPr>
            <w:r>
              <w:rPr>
                <w:b/>
                <w:bCs/>
                <w:spacing w:val="5"/>
              </w:rPr>
              <w:t>检出率</w:t>
            </w:r>
          </w:p>
        </w:tc>
        <w:tc>
          <w:tcPr>
            <w:tcW w:w="1021" w:type="dxa"/>
            <w:vAlign w:val="top"/>
          </w:tcPr>
          <w:p w14:paraId="6F326BDD">
            <w:pPr>
              <w:pStyle w:val="6"/>
              <w:spacing w:before="63" w:line="271" w:lineRule="auto"/>
              <w:ind w:left="304" w:right="85" w:hanging="206"/>
            </w:pPr>
            <w:r>
              <w:rPr>
                <w:b/>
                <w:bCs/>
                <w:spacing w:val="5"/>
              </w:rPr>
              <w:t>最大超标</w:t>
            </w:r>
            <w:r>
              <w:rPr>
                <w:spacing w:val="2"/>
              </w:rPr>
              <w:t xml:space="preserve"> </w:t>
            </w:r>
            <w:r>
              <w:rPr>
                <w:b/>
                <w:bCs/>
                <w:spacing w:val="3"/>
              </w:rPr>
              <w:t>倍数</w:t>
            </w:r>
          </w:p>
        </w:tc>
      </w:tr>
      <w:tr w14:paraId="44E06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64" w:type="dxa"/>
            <w:vAlign w:val="top"/>
          </w:tcPr>
          <w:p w14:paraId="6AD053AC">
            <w:pPr>
              <w:pStyle w:val="6"/>
              <w:spacing w:before="95" w:line="229" w:lineRule="auto"/>
              <w:ind w:left="880"/>
            </w:pPr>
            <w:r>
              <w:rPr>
                <w:spacing w:val="1"/>
              </w:rPr>
              <w:t>砷</w:t>
            </w:r>
          </w:p>
        </w:tc>
        <w:tc>
          <w:tcPr>
            <w:tcW w:w="699" w:type="dxa"/>
            <w:vAlign w:val="top"/>
          </w:tcPr>
          <w:p w14:paraId="5ED4A41E">
            <w:pPr>
              <w:spacing w:before="64"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1FF0EC74">
            <w:pPr>
              <w:spacing w:before="28" w:line="274"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26.8</w:t>
            </w:r>
          </w:p>
        </w:tc>
        <w:tc>
          <w:tcPr>
            <w:tcW w:w="945" w:type="dxa"/>
            <w:vAlign w:val="top"/>
          </w:tcPr>
          <w:p w14:paraId="7742C1A1">
            <w:pPr>
              <w:spacing w:before="28"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14.8</w:t>
            </w:r>
          </w:p>
        </w:tc>
        <w:tc>
          <w:tcPr>
            <w:tcW w:w="1011" w:type="dxa"/>
            <w:vAlign w:val="top"/>
          </w:tcPr>
          <w:p w14:paraId="5C4BC810">
            <w:pPr>
              <w:spacing w:before="28" w:line="274"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16.34</w:t>
            </w:r>
          </w:p>
        </w:tc>
        <w:tc>
          <w:tcPr>
            <w:tcW w:w="1010" w:type="dxa"/>
            <w:vAlign w:val="top"/>
          </w:tcPr>
          <w:p w14:paraId="4CD85380">
            <w:pPr>
              <w:spacing w:before="28" w:line="274" w:lineRule="exact"/>
              <w:ind w:left="3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7.99</w:t>
            </w:r>
          </w:p>
        </w:tc>
        <w:tc>
          <w:tcPr>
            <w:tcW w:w="1008" w:type="dxa"/>
            <w:vAlign w:val="top"/>
          </w:tcPr>
          <w:p w14:paraId="4376AD89">
            <w:pPr>
              <w:spacing w:before="28" w:line="274"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021" w:type="dxa"/>
            <w:vAlign w:val="top"/>
          </w:tcPr>
          <w:p w14:paraId="406B0800">
            <w:pPr>
              <w:spacing w:before="28"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D873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964" w:type="dxa"/>
            <w:vAlign w:val="top"/>
          </w:tcPr>
          <w:p w14:paraId="50D7A294">
            <w:pPr>
              <w:pStyle w:val="6"/>
              <w:spacing w:before="95" w:line="231" w:lineRule="auto"/>
              <w:ind w:left="880"/>
            </w:pPr>
            <w:r>
              <w:rPr>
                <w:spacing w:val="2"/>
              </w:rPr>
              <w:t>镉</w:t>
            </w:r>
          </w:p>
        </w:tc>
        <w:tc>
          <w:tcPr>
            <w:tcW w:w="699" w:type="dxa"/>
            <w:vAlign w:val="top"/>
          </w:tcPr>
          <w:p w14:paraId="72D17122">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3E1C12C7">
            <w:pPr>
              <w:spacing w:before="30" w:line="274" w:lineRule="exact"/>
              <w:ind w:left="40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945" w:type="dxa"/>
            <w:vAlign w:val="top"/>
          </w:tcPr>
          <w:p w14:paraId="031DF703">
            <w:pPr>
              <w:spacing w:before="30" w:line="274"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0.09</w:t>
            </w:r>
          </w:p>
        </w:tc>
        <w:tc>
          <w:tcPr>
            <w:tcW w:w="1011" w:type="dxa"/>
            <w:vAlign w:val="top"/>
          </w:tcPr>
          <w:p w14:paraId="39F108EF">
            <w:pPr>
              <w:spacing w:before="30"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0.09</w:t>
            </w:r>
          </w:p>
        </w:tc>
        <w:tc>
          <w:tcPr>
            <w:tcW w:w="1010" w:type="dxa"/>
            <w:vAlign w:val="top"/>
          </w:tcPr>
          <w:p w14:paraId="39459D2C">
            <w:pPr>
              <w:spacing w:before="30"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7A6650B4">
            <w:pPr>
              <w:spacing w:before="30" w:line="274" w:lineRule="exact"/>
              <w:ind w:left="4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33</w:t>
            </w:r>
          </w:p>
        </w:tc>
        <w:tc>
          <w:tcPr>
            <w:tcW w:w="1021" w:type="dxa"/>
            <w:vAlign w:val="top"/>
          </w:tcPr>
          <w:p w14:paraId="65B2A3AC">
            <w:pPr>
              <w:spacing w:before="30"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280E5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6F9DB6C1">
            <w:pPr>
              <w:pStyle w:val="6"/>
              <w:spacing w:before="96" w:line="227" w:lineRule="auto"/>
              <w:ind w:left="460"/>
            </w:pPr>
            <w:r>
              <w:rPr>
                <w:spacing w:val="6"/>
              </w:rPr>
              <w:t>铬（六价）</w:t>
            </w:r>
          </w:p>
        </w:tc>
        <w:tc>
          <w:tcPr>
            <w:tcW w:w="699" w:type="dxa"/>
            <w:vAlign w:val="top"/>
          </w:tcPr>
          <w:p w14:paraId="4BB3BB30">
            <w:pPr>
              <w:spacing w:before="29"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3E17C56D">
            <w:pPr>
              <w:spacing w:before="29" w:line="274" w:lineRule="exact"/>
              <w:ind w:left="40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945" w:type="dxa"/>
            <w:vAlign w:val="top"/>
          </w:tcPr>
          <w:p w14:paraId="1DAD795D">
            <w:pPr>
              <w:spacing w:before="29" w:line="274" w:lineRule="exact"/>
              <w:ind w:left="3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011" w:type="dxa"/>
            <w:vAlign w:val="top"/>
          </w:tcPr>
          <w:p w14:paraId="083B2613">
            <w:pPr>
              <w:spacing w:before="29" w:line="274" w:lineRule="exact"/>
              <w:ind w:left="37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010" w:type="dxa"/>
            <w:vAlign w:val="top"/>
          </w:tcPr>
          <w:p w14:paraId="2E79C5F3">
            <w:pPr>
              <w:spacing w:before="29"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742C0B59">
            <w:pPr>
              <w:spacing w:before="29"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55664B62">
            <w:pPr>
              <w:spacing w:before="29"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BCEF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2936D9E0">
            <w:pPr>
              <w:pStyle w:val="6"/>
              <w:spacing w:before="94" w:line="230" w:lineRule="auto"/>
              <w:ind w:left="881"/>
            </w:pPr>
            <w:r>
              <w:t>铜</w:t>
            </w:r>
          </w:p>
        </w:tc>
        <w:tc>
          <w:tcPr>
            <w:tcW w:w="699" w:type="dxa"/>
            <w:vAlign w:val="top"/>
          </w:tcPr>
          <w:p w14:paraId="2112E495">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6782AA9E">
            <w:pPr>
              <w:spacing w:before="30" w:line="274" w:lineRule="exact"/>
              <w:ind w:left="3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19.1</w:t>
            </w:r>
          </w:p>
        </w:tc>
        <w:tc>
          <w:tcPr>
            <w:tcW w:w="945" w:type="dxa"/>
            <w:vAlign w:val="top"/>
          </w:tcPr>
          <w:p w14:paraId="13E73971">
            <w:pPr>
              <w:spacing w:before="30"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10.4</w:t>
            </w:r>
          </w:p>
        </w:tc>
        <w:tc>
          <w:tcPr>
            <w:tcW w:w="1011" w:type="dxa"/>
            <w:vAlign w:val="top"/>
          </w:tcPr>
          <w:p w14:paraId="40C58604">
            <w:pPr>
              <w:spacing w:before="30"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16.0</w:t>
            </w:r>
          </w:p>
        </w:tc>
        <w:tc>
          <w:tcPr>
            <w:tcW w:w="1010" w:type="dxa"/>
            <w:vAlign w:val="top"/>
          </w:tcPr>
          <w:p w14:paraId="6ABA0072">
            <w:pPr>
              <w:spacing w:before="30" w:line="274" w:lineRule="exact"/>
              <w:ind w:left="3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3.97</w:t>
            </w:r>
          </w:p>
        </w:tc>
        <w:tc>
          <w:tcPr>
            <w:tcW w:w="1008" w:type="dxa"/>
            <w:vAlign w:val="top"/>
          </w:tcPr>
          <w:p w14:paraId="1961C686">
            <w:pPr>
              <w:spacing w:before="30" w:line="274"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021" w:type="dxa"/>
            <w:vAlign w:val="top"/>
          </w:tcPr>
          <w:p w14:paraId="1BBB5EE7">
            <w:pPr>
              <w:spacing w:before="30"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1E9C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7E3A18B9">
            <w:pPr>
              <w:pStyle w:val="6"/>
              <w:spacing w:before="95" w:line="233" w:lineRule="auto"/>
              <w:ind w:left="881"/>
            </w:pPr>
            <w:r>
              <w:t>铅</w:t>
            </w:r>
          </w:p>
        </w:tc>
        <w:tc>
          <w:tcPr>
            <w:tcW w:w="699" w:type="dxa"/>
            <w:vAlign w:val="top"/>
          </w:tcPr>
          <w:p w14:paraId="587DD9E1">
            <w:pPr>
              <w:spacing w:before="28" w:line="275"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0D7B8C7C">
            <w:pPr>
              <w:spacing w:before="28" w:line="275" w:lineRule="exact"/>
              <w:ind w:left="45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17</w:t>
            </w:r>
          </w:p>
        </w:tc>
        <w:tc>
          <w:tcPr>
            <w:tcW w:w="945" w:type="dxa"/>
            <w:vAlign w:val="top"/>
          </w:tcPr>
          <w:p w14:paraId="15C06A2B">
            <w:pPr>
              <w:spacing w:before="28" w:line="275" w:lineRule="exact"/>
              <w:ind w:left="38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011" w:type="dxa"/>
            <w:vAlign w:val="top"/>
          </w:tcPr>
          <w:p w14:paraId="70866EF0">
            <w:pPr>
              <w:spacing w:before="28" w:line="275"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14.33</w:t>
            </w:r>
          </w:p>
        </w:tc>
        <w:tc>
          <w:tcPr>
            <w:tcW w:w="1010" w:type="dxa"/>
            <w:vAlign w:val="top"/>
          </w:tcPr>
          <w:p w14:paraId="1304A4F0">
            <w:pPr>
              <w:spacing w:before="28" w:line="275" w:lineRule="exact"/>
              <w:ind w:left="3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3.09</w:t>
            </w:r>
          </w:p>
        </w:tc>
        <w:tc>
          <w:tcPr>
            <w:tcW w:w="1008" w:type="dxa"/>
            <w:vAlign w:val="top"/>
          </w:tcPr>
          <w:p w14:paraId="5C503B28">
            <w:pPr>
              <w:spacing w:before="28" w:line="275"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021" w:type="dxa"/>
            <w:vAlign w:val="top"/>
          </w:tcPr>
          <w:p w14:paraId="1202D3D0">
            <w:pPr>
              <w:spacing w:before="28"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2F811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2E65FA2E">
            <w:pPr>
              <w:pStyle w:val="6"/>
              <w:spacing w:before="94" w:line="229" w:lineRule="auto"/>
              <w:ind w:left="882"/>
            </w:pPr>
            <w:r>
              <w:t>汞</w:t>
            </w:r>
          </w:p>
        </w:tc>
        <w:tc>
          <w:tcPr>
            <w:tcW w:w="699" w:type="dxa"/>
            <w:vAlign w:val="top"/>
          </w:tcPr>
          <w:p w14:paraId="193C2ADE">
            <w:pPr>
              <w:spacing w:before="29" w:line="275"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2A4899F6">
            <w:pPr>
              <w:spacing w:before="29" w:line="275"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0.192</w:t>
            </w:r>
          </w:p>
        </w:tc>
        <w:tc>
          <w:tcPr>
            <w:tcW w:w="945" w:type="dxa"/>
            <w:vAlign w:val="top"/>
          </w:tcPr>
          <w:p w14:paraId="377AFCA9">
            <w:pPr>
              <w:spacing w:before="29" w:line="275"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0.151</w:t>
            </w:r>
          </w:p>
        </w:tc>
        <w:tc>
          <w:tcPr>
            <w:tcW w:w="1011" w:type="dxa"/>
            <w:vAlign w:val="top"/>
          </w:tcPr>
          <w:p w14:paraId="0D9E7AD1">
            <w:pPr>
              <w:spacing w:before="29" w:line="275"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0.170</w:t>
            </w:r>
          </w:p>
        </w:tc>
        <w:tc>
          <w:tcPr>
            <w:tcW w:w="1010" w:type="dxa"/>
            <w:vAlign w:val="top"/>
          </w:tcPr>
          <w:p w14:paraId="5AB4B569">
            <w:pPr>
              <w:spacing w:before="29" w:line="275" w:lineRule="exact"/>
              <w:ind w:left="3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1008" w:type="dxa"/>
            <w:vAlign w:val="top"/>
          </w:tcPr>
          <w:p w14:paraId="0BBD2877">
            <w:pPr>
              <w:spacing w:before="29" w:line="275"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021" w:type="dxa"/>
            <w:vAlign w:val="top"/>
          </w:tcPr>
          <w:p w14:paraId="59994B7F">
            <w:pPr>
              <w:spacing w:before="29"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6FC81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53C5DA58">
            <w:pPr>
              <w:pStyle w:val="6"/>
              <w:spacing w:before="95" w:line="229" w:lineRule="auto"/>
              <w:ind w:left="880"/>
            </w:pPr>
            <w:r>
              <w:rPr>
                <w:spacing w:val="1"/>
              </w:rPr>
              <w:t>镍</w:t>
            </w:r>
          </w:p>
        </w:tc>
        <w:tc>
          <w:tcPr>
            <w:tcW w:w="699" w:type="dxa"/>
            <w:vAlign w:val="top"/>
          </w:tcPr>
          <w:p w14:paraId="6E30F31B">
            <w:pPr>
              <w:spacing w:before="28"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5D618159">
            <w:pPr>
              <w:spacing w:before="28" w:line="274" w:lineRule="exact"/>
              <w:ind w:left="452"/>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945" w:type="dxa"/>
            <w:vAlign w:val="top"/>
          </w:tcPr>
          <w:p w14:paraId="36407FB9">
            <w:pPr>
              <w:spacing w:before="28" w:line="274" w:lineRule="exact"/>
              <w:ind w:left="4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011" w:type="dxa"/>
            <w:vAlign w:val="top"/>
          </w:tcPr>
          <w:p w14:paraId="15F8A42B">
            <w:pPr>
              <w:spacing w:before="28" w:line="274" w:lineRule="exact"/>
              <w:ind w:left="33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8.33</w:t>
            </w:r>
          </w:p>
        </w:tc>
        <w:tc>
          <w:tcPr>
            <w:tcW w:w="1010" w:type="dxa"/>
            <w:vAlign w:val="top"/>
          </w:tcPr>
          <w:p w14:paraId="26D79BCE">
            <w:pPr>
              <w:spacing w:before="28" w:line="274" w:lineRule="exact"/>
              <w:ind w:left="32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2.62</w:t>
            </w:r>
          </w:p>
        </w:tc>
        <w:tc>
          <w:tcPr>
            <w:tcW w:w="1008" w:type="dxa"/>
            <w:vAlign w:val="top"/>
          </w:tcPr>
          <w:p w14:paraId="55D4C57D">
            <w:pPr>
              <w:spacing w:before="28" w:line="274"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021" w:type="dxa"/>
            <w:vAlign w:val="top"/>
          </w:tcPr>
          <w:p w14:paraId="46025D5C">
            <w:pPr>
              <w:spacing w:before="28"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33278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64" w:type="dxa"/>
            <w:vAlign w:val="top"/>
          </w:tcPr>
          <w:p w14:paraId="45593168">
            <w:pPr>
              <w:pStyle w:val="6"/>
              <w:spacing w:before="96" w:line="229" w:lineRule="auto"/>
              <w:ind w:left="586"/>
            </w:pPr>
            <w:r>
              <w:rPr>
                <w:spacing w:val="2"/>
              </w:rPr>
              <w:t>四氯化碳</w:t>
            </w:r>
          </w:p>
        </w:tc>
        <w:tc>
          <w:tcPr>
            <w:tcW w:w="699" w:type="dxa"/>
            <w:vAlign w:val="top"/>
          </w:tcPr>
          <w:p w14:paraId="38E7F197">
            <w:pPr>
              <w:spacing w:before="29"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3EEDB76D">
            <w:pPr>
              <w:spacing w:before="65" w:line="274"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w:t>
            </w:r>
          </w:p>
        </w:tc>
        <w:tc>
          <w:tcPr>
            <w:tcW w:w="945" w:type="dxa"/>
            <w:vAlign w:val="top"/>
          </w:tcPr>
          <w:p w14:paraId="77E5C38E">
            <w:pPr>
              <w:spacing w:before="65"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w:t>
            </w:r>
          </w:p>
        </w:tc>
        <w:tc>
          <w:tcPr>
            <w:tcW w:w="1011" w:type="dxa"/>
            <w:vAlign w:val="top"/>
          </w:tcPr>
          <w:p w14:paraId="7332E1C8">
            <w:pPr>
              <w:spacing w:before="65" w:line="274" w:lineRule="exact"/>
              <w:ind w:left="22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0.0011</w:t>
            </w:r>
          </w:p>
        </w:tc>
        <w:tc>
          <w:tcPr>
            <w:tcW w:w="1010" w:type="dxa"/>
            <w:vAlign w:val="top"/>
          </w:tcPr>
          <w:p w14:paraId="6C67C02A">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6E7DB40B">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12B27FBB">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26702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29B1545E">
            <w:pPr>
              <w:pStyle w:val="6"/>
              <w:spacing w:before="62" w:line="229" w:lineRule="auto"/>
              <w:ind w:left="781"/>
            </w:pPr>
            <w:r>
              <w:rPr>
                <w:spacing w:val="3"/>
              </w:rPr>
              <w:t>氯仿</w:t>
            </w:r>
          </w:p>
        </w:tc>
        <w:tc>
          <w:tcPr>
            <w:tcW w:w="699" w:type="dxa"/>
            <w:vAlign w:val="top"/>
          </w:tcPr>
          <w:p w14:paraId="1214146D">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5249B5ED">
            <w:pPr>
              <w:spacing w:before="65"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945" w:type="dxa"/>
            <w:vAlign w:val="top"/>
          </w:tcPr>
          <w:p w14:paraId="274D4B93">
            <w:pPr>
              <w:spacing w:before="65"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1" w:type="dxa"/>
            <w:vAlign w:val="top"/>
          </w:tcPr>
          <w:p w14:paraId="0BC090F6">
            <w:pPr>
              <w:spacing w:before="65"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0" w:type="dxa"/>
            <w:vAlign w:val="top"/>
          </w:tcPr>
          <w:p w14:paraId="0A869B6C">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146BD21D">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561040FB">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13934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7EF914C1">
            <w:pPr>
              <w:pStyle w:val="6"/>
              <w:spacing w:before="61" w:line="229" w:lineRule="auto"/>
              <w:ind w:left="676"/>
            </w:pPr>
            <w:r>
              <w:rPr>
                <w:spacing w:val="5"/>
              </w:rPr>
              <w:t>氯甲烷</w:t>
            </w:r>
          </w:p>
        </w:tc>
        <w:tc>
          <w:tcPr>
            <w:tcW w:w="699" w:type="dxa"/>
            <w:vAlign w:val="top"/>
          </w:tcPr>
          <w:p w14:paraId="5D30FFBB">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6145321A">
            <w:pPr>
              <w:spacing w:before="66"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945" w:type="dxa"/>
            <w:vAlign w:val="top"/>
          </w:tcPr>
          <w:p w14:paraId="42472A47">
            <w:pPr>
              <w:spacing w:before="66"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1" w:type="dxa"/>
            <w:vAlign w:val="top"/>
          </w:tcPr>
          <w:p w14:paraId="1A4E475A">
            <w:pPr>
              <w:spacing w:before="66"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0" w:type="dxa"/>
            <w:vAlign w:val="top"/>
          </w:tcPr>
          <w:p w14:paraId="1F5B8A97">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7B62C5DE">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7B1ECF34">
            <w:pPr>
              <w:spacing w:before="66"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479F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5155F4D0">
            <w:pPr>
              <w:pStyle w:val="6"/>
              <w:spacing w:before="31" w:line="274" w:lineRule="exact"/>
              <w:ind w:left="418"/>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二氯乙烷</w:t>
            </w:r>
          </w:p>
        </w:tc>
        <w:tc>
          <w:tcPr>
            <w:tcW w:w="699" w:type="dxa"/>
            <w:vAlign w:val="top"/>
          </w:tcPr>
          <w:p w14:paraId="082983FC">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669E638B">
            <w:pPr>
              <w:spacing w:before="64"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945" w:type="dxa"/>
            <w:vAlign w:val="top"/>
          </w:tcPr>
          <w:p w14:paraId="33774DD9">
            <w:pPr>
              <w:spacing w:before="64"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1" w:type="dxa"/>
            <w:vAlign w:val="top"/>
          </w:tcPr>
          <w:p w14:paraId="655BBB5C">
            <w:pPr>
              <w:spacing w:before="64"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0" w:type="dxa"/>
            <w:vAlign w:val="top"/>
          </w:tcPr>
          <w:p w14:paraId="3212E4B0">
            <w:pPr>
              <w:spacing w:before="64"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6946F3D2">
            <w:pPr>
              <w:spacing w:before="64"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6DBBC156">
            <w:pPr>
              <w:spacing w:before="64"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A033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3CD5015A">
            <w:pPr>
              <w:pStyle w:val="6"/>
              <w:spacing w:before="29" w:line="274" w:lineRule="exact"/>
              <w:ind w:left="418"/>
            </w:pPr>
            <w:r>
              <w:rPr>
                <w:rFonts w:ascii="Times New Roman" w:hAnsi="Times New Roman" w:eastAsia="Times New Roman" w:cs="Times New Roman"/>
                <w:spacing w:val="3"/>
                <w:position w:val="2"/>
              </w:rPr>
              <w:t>1,2-</w:t>
            </w:r>
            <w:r>
              <w:rPr>
                <w:spacing w:val="3"/>
                <w:position w:val="2"/>
              </w:rPr>
              <w:t>二氯乙烷</w:t>
            </w:r>
          </w:p>
        </w:tc>
        <w:tc>
          <w:tcPr>
            <w:tcW w:w="699" w:type="dxa"/>
            <w:vAlign w:val="top"/>
          </w:tcPr>
          <w:p w14:paraId="6D93A8D3">
            <w:pPr>
              <w:spacing w:before="29"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5E9F67DC">
            <w:pPr>
              <w:spacing w:before="65"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945" w:type="dxa"/>
            <w:vAlign w:val="top"/>
          </w:tcPr>
          <w:p w14:paraId="2FF85C22">
            <w:pPr>
              <w:spacing w:before="65"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1011" w:type="dxa"/>
            <w:vAlign w:val="top"/>
          </w:tcPr>
          <w:p w14:paraId="12F1B012">
            <w:pPr>
              <w:spacing w:before="65"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1010" w:type="dxa"/>
            <w:vAlign w:val="top"/>
          </w:tcPr>
          <w:p w14:paraId="2D8876AE">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4CFC0AC1">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6B4B0243">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05C40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78578735">
            <w:pPr>
              <w:pStyle w:val="6"/>
              <w:spacing w:before="30" w:line="274" w:lineRule="exact"/>
              <w:ind w:left="418"/>
            </w:pPr>
            <w:r>
              <w:rPr>
                <w:rFonts w:ascii="Times New Roman" w:hAnsi="Times New Roman" w:eastAsia="Times New Roman" w:cs="Times New Roman"/>
                <w:position w:val="2"/>
              </w:rPr>
              <w:t>1,</w:t>
            </w:r>
            <w:r>
              <w:rPr>
                <w:rFonts w:ascii="Times New Roman" w:hAnsi="Times New Roman" w:eastAsia="Times New Roman" w:cs="Times New Roman"/>
                <w:spacing w:val="-24"/>
                <w:position w:val="2"/>
              </w:rPr>
              <w:t xml:space="preserve"> </w:t>
            </w:r>
            <w:r>
              <w:rPr>
                <w:rFonts w:ascii="Times New Roman" w:hAnsi="Times New Roman" w:eastAsia="Times New Roman" w:cs="Times New Roman"/>
                <w:position w:val="2"/>
              </w:rPr>
              <w:t>1-</w:t>
            </w:r>
            <w:r>
              <w:rPr>
                <w:position w:val="2"/>
              </w:rPr>
              <w:t>二氯乙烯</w:t>
            </w:r>
          </w:p>
        </w:tc>
        <w:tc>
          <w:tcPr>
            <w:tcW w:w="699" w:type="dxa"/>
            <w:vAlign w:val="top"/>
          </w:tcPr>
          <w:p w14:paraId="661C0583">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144460DA">
            <w:pPr>
              <w:spacing w:before="66"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c>
          <w:tcPr>
            <w:tcW w:w="945" w:type="dxa"/>
            <w:vAlign w:val="top"/>
          </w:tcPr>
          <w:p w14:paraId="03B4ECAA">
            <w:pPr>
              <w:spacing w:before="66"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c>
          <w:tcPr>
            <w:tcW w:w="1011" w:type="dxa"/>
            <w:vAlign w:val="top"/>
          </w:tcPr>
          <w:p w14:paraId="6A7FCFE2">
            <w:pPr>
              <w:spacing w:before="66"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c>
          <w:tcPr>
            <w:tcW w:w="1010" w:type="dxa"/>
            <w:vAlign w:val="top"/>
          </w:tcPr>
          <w:p w14:paraId="41FF6739">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06F06F46">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0C363423">
            <w:pPr>
              <w:spacing w:before="66"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8566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0AA29BDE">
            <w:pPr>
              <w:pStyle w:val="6"/>
              <w:spacing w:before="65" w:line="274" w:lineRule="exact"/>
              <w:ind w:left="157"/>
            </w:pPr>
            <w:r>
              <w:rPr>
                <w:spacing w:val="6"/>
                <w:position w:val="2"/>
              </w:rPr>
              <w:t>顺式</w:t>
            </w:r>
            <w:r>
              <w:rPr>
                <w:rFonts w:ascii="Times New Roman" w:hAnsi="Times New Roman" w:eastAsia="Times New Roman" w:cs="Times New Roman"/>
                <w:spacing w:val="6"/>
                <w:position w:val="2"/>
              </w:rPr>
              <w:t>-1,2-</w:t>
            </w:r>
            <w:r>
              <w:rPr>
                <w:spacing w:val="6"/>
                <w:position w:val="2"/>
              </w:rPr>
              <w:t>二氯乙烯</w:t>
            </w:r>
          </w:p>
        </w:tc>
        <w:tc>
          <w:tcPr>
            <w:tcW w:w="699" w:type="dxa"/>
            <w:vAlign w:val="top"/>
          </w:tcPr>
          <w:p w14:paraId="1D2DF6D4">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69302108">
            <w:pPr>
              <w:spacing w:before="65"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945" w:type="dxa"/>
            <w:vAlign w:val="top"/>
          </w:tcPr>
          <w:p w14:paraId="2059F96C">
            <w:pPr>
              <w:spacing w:before="65"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1" w:type="dxa"/>
            <w:vAlign w:val="top"/>
          </w:tcPr>
          <w:p w14:paraId="3F41043E">
            <w:pPr>
              <w:spacing w:before="65"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0" w:type="dxa"/>
            <w:vAlign w:val="top"/>
          </w:tcPr>
          <w:p w14:paraId="1B0037A4">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430845A7">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63DDF723">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EE29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35831703">
            <w:pPr>
              <w:pStyle w:val="6"/>
              <w:spacing w:before="30" w:line="274" w:lineRule="exact"/>
              <w:ind w:left="157"/>
            </w:pPr>
            <w:r>
              <w:rPr>
                <w:spacing w:val="6"/>
                <w:position w:val="2"/>
              </w:rPr>
              <w:t>反式</w:t>
            </w:r>
            <w:r>
              <w:rPr>
                <w:rFonts w:ascii="Times New Roman" w:hAnsi="Times New Roman" w:eastAsia="Times New Roman" w:cs="Times New Roman"/>
                <w:spacing w:val="6"/>
                <w:position w:val="2"/>
              </w:rPr>
              <w:t>-1,2-</w:t>
            </w:r>
            <w:r>
              <w:rPr>
                <w:spacing w:val="6"/>
                <w:position w:val="2"/>
              </w:rPr>
              <w:t>二氯乙烯</w:t>
            </w:r>
          </w:p>
        </w:tc>
        <w:tc>
          <w:tcPr>
            <w:tcW w:w="699" w:type="dxa"/>
            <w:vAlign w:val="top"/>
          </w:tcPr>
          <w:p w14:paraId="0F402150">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3BF684DB">
            <w:pPr>
              <w:spacing w:before="66"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945" w:type="dxa"/>
            <w:vAlign w:val="top"/>
          </w:tcPr>
          <w:p w14:paraId="1E3EDC10">
            <w:pPr>
              <w:spacing w:before="66"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1" w:type="dxa"/>
            <w:vAlign w:val="top"/>
          </w:tcPr>
          <w:p w14:paraId="54ACE3F5">
            <w:pPr>
              <w:spacing w:before="66"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0" w:type="dxa"/>
            <w:vAlign w:val="top"/>
          </w:tcPr>
          <w:p w14:paraId="44011E1F">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34D6A7EB">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19DC3D45">
            <w:pPr>
              <w:spacing w:before="66"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255F9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5C3014A0">
            <w:pPr>
              <w:pStyle w:val="6"/>
              <w:spacing w:before="62" w:line="229" w:lineRule="auto"/>
              <w:ind w:left="570"/>
            </w:pPr>
            <w:r>
              <w:rPr>
                <w:spacing w:val="6"/>
              </w:rPr>
              <w:t>二氯甲烷</w:t>
            </w:r>
          </w:p>
        </w:tc>
        <w:tc>
          <w:tcPr>
            <w:tcW w:w="699" w:type="dxa"/>
            <w:vAlign w:val="top"/>
          </w:tcPr>
          <w:p w14:paraId="4BA74349">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02C8BA10">
            <w:pPr>
              <w:spacing w:before="64" w:line="275"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w:t>
            </w:r>
          </w:p>
        </w:tc>
        <w:tc>
          <w:tcPr>
            <w:tcW w:w="945" w:type="dxa"/>
            <w:vAlign w:val="top"/>
          </w:tcPr>
          <w:p w14:paraId="3160D9C7">
            <w:pPr>
              <w:spacing w:before="64" w:line="275"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w:t>
            </w:r>
          </w:p>
        </w:tc>
        <w:tc>
          <w:tcPr>
            <w:tcW w:w="1011" w:type="dxa"/>
            <w:vAlign w:val="top"/>
          </w:tcPr>
          <w:p w14:paraId="6E33397D">
            <w:pPr>
              <w:spacing w:before="64" w:line="275"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w:t>
            </w:r>
          </w:p>
        </w:tc>
        <w:tc>
          <w:tcPr>
            <w:tcW w:w="1010" w:type="dxa"/>
            <w:vAlign w:val="top"/>
          </w:tcPr>
          <w:p w14:paraId="1C5EDC4A">
            <w:pPr>
              <w:spacing w:before="64"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1A51A9FF">
            <w:pPr>
              <w:spacing w:before="64"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64C2CC9C">
            <w:pPr>
              <w:spacing w:before="64"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300C4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703248C7">
            <w:pPr>
              <w:pStyle w:val="6"/>
              <w:spacing w:before="29" w:line="275" w:lineRule="exact"/>
              <w:ind w:left="418"/>
            </w:pPr>
            <w:r>
              <w:rPr>
                <w:rFonts w:ascii="Times New Roman" w:hAnsi="Times New Roman" w:eastAsia="Times New Roman" w:cs="Times New Roman"/>
                <w:spacing w:val="3"/>
                <w:position w:val="2"/>
              </w:rPr>
              <w:t>1,2-</w:t>
            </w:r>
            <w:r>
              <w:rPr>
                <w:spacing w:val="3"/>
                <w:position w:val="2"/>
              </w:rPr>
              <w:t>二氯丙烷</w:t>
            </w:r>
          </w:p>
        </w:tc>
        <w:tc>
          <w:tcPr>
            <w:tcW w:w="699" w:type="dxa"/>
            <w:vAlign w:val="top"/>
          </w:tcPr>
          <w:p w14:paraId="4B50AE71">
            <w:pPr>
              <w:spacing w:before="29" w:line="275"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6E868C3C">
            <w:pPr>
              <w:spacing w:before="65" w:line="275"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w:t>
            </w:r>
          </w:p>
        </w:tc>
        <w:tc>
          <w:tcPr>
            <w:tcW w:w="945" w:type="dxa"/>
            <w:vAlign w:val="top"/>
          </w:tcPr>
          <w:p w14:paraId="44EF7B31">
            <w:pPr>
              <w:spacing w:before="65" w:line="275"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w:t>
            </w:r>
          </w:p>
        </w:tc>
        <w:tc>
          <w:tcPr>
            <w:tcW w:w="1011" w:type="dxa"/>
            <w:vAlign w:val="top"/>
          </w:tcPr>
          <w:p w14:paraId="58D2B909">
            <w:pPr>
              <w:spacing w:before="65" w:line="275"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w:t>
            </w:r>
          </w:p>
        </w:tc>
        <w:tc>
          <w:tcPr>
            <w:tcW w:w="1010" w:type="dxa"/>
            <w:vAlign w:val="top"/>
          </w:tcPr>
          <w:p w14:paraId="1291D22F">
            <w:pPr>
              <w:spacing w:before="65"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29E980DE">
            <w:pPr>
              <w:spacing w:before="65"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60A65F18">
            <w:pPr>
              <w:spacing w:before="65"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0112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107BA764">
            <w:pPr>
              <w:pStyle w:val="6"/>
              <w:spacing w:before="30" w:line="275" w:lineRule="exact"/>
              <w:ind w:left="262"/>
            </w:pPr>
            <w:r>
              <w:rPr>
                <w:rFonts w:ascii="Times New Roman" w:hAnsi="Times New Roman" w:eastAsia="Times New Roman" w:cs="Times New Roman"/>
                <w:spacing w:val="-1"/>
                <w:position w:val="2"/>
              </w:rPr>
              <w:t>1,</w:t>
            </w:r>
            <w:r>
              <w:rPr>
                <w:rFonts w:ascii="Times New Roman" w:hAnsi="Times New Roman" w:eastAsia="Times New Roman" w:cs="Times New Roman"/>
                <w:spacing w:val="-20"/>
                <w:position w:val="2"/>
              </w:rPr>
              <w:t xml:space="preserve"> </w:t>
            </w:r>
            <w:r>
              <w:rPr>
                <w:rFonts w:ascii="Times New Roman" w:hAnsi="Times New Roman" w:eastAsia="Times New Roman" w:cs="Times New Roman"/>
                <w:spacing w:val="-1"/>
                <w:position w:val="2"/>
              </w:rPr>
              <w:t>1,</w:t>
            </w:r>
            <w:r>
              <w:rPr>
                <w:rFonts w:ascii="Times New Roman" w:hAnsi="Times New Roman" w:eastAsia="Times New Roman" w:cs="Times New Roman"/>
                <w:spacing w:val="-27"/>
                <w:position w:val="2"/>
              </w:rPr>
              <w:t xml:space="preserve"> </w:t>
            </w:r>
            <w:r>
              <w:rPr>
                <w:rFonts w:ascii="Times New Roman" w:hAnsi="Times New Roman" w:eastAsia="Times New Roman" w:cs="Times New Roman"/>
                <w:spacing w:val="-1"/>
                <w:position w:val="2"/>
              </w:rPr>
              <w:t>1,2-</w:t>
            </w:r>
            <w:r>
              <w:rPr>
                <w:spacing w:val="-1"/>
                <w:position w:val="2"/>
              </w:rPr>
              <w:t>四氯乙烷</w:t>
            </w:r>
          </w:p>
        </w:tc>
        <w:tc>
          <w:tcPr>
            <w:tcW w:w="699" w:type="dxa"/>
            <w:vAlign w:val="top"/>
          </w:tcPr>
          <w:p w14:paraId="3D6958D4">
            <w:pPr>
              <w:spacing w:before="30" w:line="275"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18AC7693">
            <w:pPr>
              <w:spacing w:before="64"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945" w:type="dxa"/>
            <w:vAlign w:val="top"/>
          </w:tcPr>
          <w:p w14:paraId="2EBFC003">
            <w:pPr>
              <w:spacing w:before="64"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1" w:type="dxa"/>
            <w:vAlign w:val="top"/>
          </w:tcPr>
          <w:p w14:paraId="38144EBA">
            <w:pPr>
              <w:spacing w:before="64"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0" w:type="dxa"/>
            <w:vAlign w:val="top"/>
          </w:tcPr>
          <w:p w14:paraId="2C1389B8">
            <w:pPr>
              <w:spacing w:before="64"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133648B7">
            <w:pPr>
              <w:spacing w:before="64"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3BF171B1">
            <w:pPr>
              <w:spacing w:before="64"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37FB6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791D741C">
            <w:pPr>
              <w:pStyle w:val="6"/>
              <w:spacing w:before="29" w:line="274" w:lineRule="exact"/>
              <w:ind w:left="262"/>
            </w:pPr>
            <w:r>
              <w:rPr>
                <w:rFonts w:ascii="Times New Roman" w:hAnsi="Times New Roman" w:eastAsia="Times New Roman" w:cs="Times New Roman"/>
                <w:spacing w:val="1"/>
                <w:position w:val="2"/>
              </w:rPr>
              <w:t>1,</w:t>
            </w:r>
            <w:r>
              <w:rPr>
                <w:rFonts w:ascii="Times New Roman" w:hAnsi="Times New Roman" w:eastAsia="Times New Roman" w:cs="Times New Roman"/>
                <w:spacing w:val="-21"/>
                <w:position w:val="2"/>
              </w:rPr>
              <w:t xml:space="preserve"> </w:t>
            </w:r>
            <w:r>
              <w:rPr>
                <w:rFonts w:ascii="Times New Roman" w:hAnsi="Times New Roman" w:eastAsia="Times New Roman" w:cs="Times New Roman"/>
                <w:spacing w:val="1"/>
                <w:position w:val="2"/>
              </w:rPr>
              <w:t>1,2,2-</w:t>
            </w:r>
            <w:r>
              <w:rPr>
                <w:spacing w:val="1"/>
                <w:position w:val="2"/>
              </w:rPr>
              <w:t>四氯乙烷</w:t>
            </w:r>
          </w:p>
        </w:tc>
        <w:tc>
          <w:tcPr>
            <w:tcW w:w="699" w:type="dxa"/>
            <w:vAlign w:val="top"/>
          </w:tcPr>
          <w:p w14:paraId="27D4E352">
            <w:pPr>
              <w:spacing w:before="29"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34C82505">
            <w:pPr>
              <w:spacing w:before="65"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945" w:type="dxa"/>
            <w:vAlign w:val="top"/>
          </w:tcPr>
          <w:p w14:paraId="40A96606">
            <w:pPr>
              <w:spacing w:before="65"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1" w:type="dxa"/>
            <w:vAlign w:val="top"/>
          </w:tcPr>
          <w:p w14:paraId="6299A902">
            <w:pPr>
              <w:spacing w:before="65"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0" w:type="dxa"/>
            <w:vAlign w:val="top"/>
          </w:tcPr>
          <w:p w14:paraId="669ABEF2">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22850E00">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2907F388">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7252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1EFE3290">
            <w:pPr>
              <w:pStyle w:val="6"/>
              <w:spacing w:before="61" w:line="228" w:lineRule="auto"/>
              <w:ind w:left="586"/>
            </w:pPr>
            <w:r>
              <w:rPr>
                <w:spacing w:val="2"/>
              </w:rPr>
              <w:t>四氯乙烯</w:t>
            </w:r>
          </w:p>
        </w:tc>
        <w:tc>
          <w:tcPr>
            <w:tcW w:w="699" w:type="dxa"/>
            <w:vAlign w:val="top"/>
          </w:tcPr>
          <w:p w14:paraId="79520DFC">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20BD91D9">
            <w:pPr>
              <w:spacing w:before="66"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0.0027</w:t>
            </w:r>
          </w:p>
        </w:tc>
        <w:tc>
          <w:tcPr>
            <w:tcW w:w="945" w:type="dxa"/>
            <w:vAlign w:val="top"/>
          </w:tcPr>
          <w:p w14:paraId="12291DF0">
            <w:pPr>
              <w:spacing w:before="30"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0.0015</w:t>
            </w:r>
          </w:p>
        </w:tc>
        <w:tc>
          <w:tcPr>
            <w:tcW w:w="1011" w:type="dxa"/>
            <w:vAlign w:val="top"/>
          </w:tcPr>
          <w:p w14:paraId="72FDE758">
            <w:pPr>
              <w:spacing w:before="30"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0.0022</w:t>
            </w:r>
          </w:p>
        </w:tc>
        <w:tc>
          <w:tcPr>
            <w:tcW w:w="1010" w:type="dxa"/>
            <w:vAlign w:val="top"/>
          </w:tcPr>
          <w:p w14:paraId="5E598D6B">
            <w:pPr>
              <w:spacing w:before="30"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0.00038</w:t>
            </w:r>
          </w:p>
        </w:tc>
        <w:tc>
          <w:tcPr>
            <w:tcW w:w="1008" w:type="dxa"/>
            <w:vAlign w:val="top"/>
          </w:tcPr>
          <w:p w14:paraId="63C8026A">
            <w:pPr>
              <w:spacing w:before="30" w:line="274"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021" w:type="dxa"/>
            <w:vAlign w:val="top"/>
          </w:tcPr>
          <w:p w14:paraId="4BA58088">
            <w:pPr>
              <w:spacing w:before="30"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6C6CD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2505091E">
            <w:pPr>
              <w:pStyle w:val="6"/>
              <w:spacing w:before="65" w:line="274" w:lineRule="exact"/>
              <w:ind w:left="341"/>
            </w:pPr>
            <w:r>
              <w:rPr>
                <w:rFonts w:ascii="Times New Roman" w:hAnsi="Times New Roman" w:eastAsia="Times New Roman" w:cs="Times New Roman"/>
                <w:spacing w:val="-2"/>
                <w:position w:val="2"/>
              </w:rPr>
              <w:t>1,</w:t>
            </w:r>
            <w:r>
              <w:rPr>
                <w:rFonts w:ascii="Times New Roman" w:hAnsi="Times New Roman" w:eastAsia="Times New Roman" w:cs="Times New Roman"/>
                <w:spacing w:val="-23"/>
                <w:position w:val="2"/>
              </w:rPr>
              <w:t xml:space="preserve"> </w:t>
            </w:r>
            <w:r>
              <w:rPr>
                <w:rFonts w:ascii="Times New Roman" w:hAnsi="Times New Roman" w:eastAsia="Times New Roman" w:cs="Times New Roman"/>
                <w:spacing w:val="-2"/>
                <w:position w:val="2"/>
              </w:rPr>
              <w:t>1,</w:t>
            </w:r>
            <w:r>
              <w:rPr>
                <w:rFonts w:ascii="Times New Roman" w:hAnsi="Times New Roman" w:eastAsia="Times New Roman" w:cs="Times New Roman"/>
                <w:spacing w:val="-25"/>
                <w:position w:val="2"/>
              </w:rPr>
              <w:t xml:space="preserve"> </w:t>
            </w:r>
            <w:r>
              <w:rPr>
                <w:rFonts w:ascii="Times New Roman" w:hAnsi="Times New Roman" w:eastAsia="Times New Roman" w:cs="Times New Roman"/>
                <w:spacing w:val="-2"/>
                <w:position w:val="2"/>
              </w:rPr>
              <w:t>1-</w:t>
            </w:r>
            <w:r>
              <w:rPr>
                <w:spacing w:val="-2"/>
                <w:position w:val="2"/>
              </w:rPr>
              <w:t>三氯乙烷</w:t>
            </w:r>
          </w:p>
        </w:tc>
        <w:tc>
          <w:tcPr>
            <w:tcW w:w="699" w:type="dxa"/>
            <w:vAlign w:val="top"/>
          </w:tcPr>
          <w:p w14:paraId="091C9DB3">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3CAB47E6">
            <w:pPr>
              <w:spacing w:before="65"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945" w:type="dxa"/>
            <w:vAlign w:val="top"/>
          </w:tcPr>
          <w:p w14:paraId="5FFE5D67">
            <w:pPr>
              <w:spacing w:before="65"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1" w:type="dxa"/>
            <w:vAlign w:val="top"/>
          </w:tcPr>
          <w:p w14:paraId="618C4BD3">
            <w:pPr>
              <w:spacing w:before="65"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0" w:type="dxa"/>
            <w:vAlign w:val="top"/>
          </w:tcPr>
          <w:p w14:paraId="3FCD2CED">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76F48C0D">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3378DD5F">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621B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0781CC75">
            <w:pPr>
              <w:pStyle w:val="6"/>
              <w:spacing w:before="30" w:line="274" w:lineRule="exact"/>
              <w:ind w:left="341"/>
            </w:pPr>
            <w:r>
              <w:rPr>
                <w:rFonts w:ascii="Times New Roman" w:hAnsi="Times New Roman" w:eastAsia="Times New Roman" w:cs="Times New Roman"/>
                <w:position w:val="2"/>
              </w:rPr>
              <w:t>1,</w:t>
            </w:r>
            <w:r>
              <w:rPr>
                <w:rFonts w:ascii="Times New Roman" w:hAnsi="Times New Roman" w:eastAsia="Times New Roman" w:cs="Times New Roman"/>
                <w:spacing w:val="-18"/>
                <w:position w:val="2"/>
              </w:rPr>
              <w:t xml:space="preserve"> </w:t>
            </w:r>
            <w:r>
              <w:rPr>
                <w:rFonts w:ascii="Times New Roman" w:hAnsi="Times New Roman" w:eastAsia="Times New Roman" w:cs="Times New Roman"/>
                <w:position w:val="2"/>
              </w:rPr>
              <w:t>1,2-</w:t>
            </w:r>
            <w:r>
              <w:rPr>
                <w:position w:val="2"/>
              </w:rPr>
              <w:t>三氯乙烷</w:t>
            </w:r>
          </w:p>
        </w:tc>
        <w:tc>
          <w:tcPr>
            <w:tcW w:w="699" w:type="dxa"/>
            <w:vAlign w:val="top"/>
          </w:tcPr>
          <w:p w14:paraId="47ABD730">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01C4E208">
            <w:pPr>
              <w:spacing w:before="66"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945" w:type="dxa"/>
            <w:vAlign w:val="top"/>
          </w:tcPr>
          <w:p w14:paraId="7FBE8DD0">
            <w:pPr>
              <w:spacing w:before="66"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1011" w:type="dxa"/>
            <w:vAlign w:val="top"/>
          </w:tcPr>
          <w:p w14:paraId="4861392F">
            <w:pPr>
              <w:spacing w:before="66"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1010" w:type="dxa"/>
            <w:vAlign w:val="top"/>
          </w:tcPr>
          <w:p w14:paraId="1EBF6C96">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20304E4E">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3E4387B3">
            <w:pPr>
              <w:spacing w:before="66"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31C67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64" w:type="dxa"/>
            <w:vAlign w:val="top"/>
          </w:tcPr>
          <w:p w14:paraId="26ED7947">
            <w:pPr>
              <w:pStyle w:val="6"/>
              <w:spacing w:before="62" w:line="228" w:lineRule="auto"/>
              <w:ind w:left="567"/>
            </w:pPr>
            <w:r>
              <w:rPr>
                <w:spacing w:val="7"/>
              </w:rPr>
              <w:t>三氯乙烯</w:t>
            </w:r>
          </w:p>
        </w:tc>
        <w:tc>
          <w:tcPr>
            <w:tcW w:w="699" w:type="dxa"/>
            <w:vAlign w:val="top"/>
          </w:tcPr>
          <w:p w14:paraId="14B1B3C6">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19B999E6">
            <w:pPr>
              <w:spacing w:before="64"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945" w:type="dxa"/>
            <w:vAlign w:val="top"/>
          </w:tcPr>
          <w:p w14:paraId="0901B727">
            <w:pPr>
              <w:spacing w:before="64"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1" w:type="dxa"/>
            <w:vAlign w:val="top"/>
          </w:tcPr>
          <w:p w14:paraId="57A7FDE5">
            <w:pPr>
              <w:spacing w:before="64"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0" w:type="dxa"/>
            <w:vAlign w:val="top"/>
          </w:tcPr>
          <w:p w14:paraId="7EDACB1E">
            <w:pPr>
              <w:spacing w:before="64"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6DEAFEEE">
            <w:pPr>
              <w:spacing w:before="64"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5F1466A6">
            <w:pPr>
              <w:spacing w:before="64"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1D423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3EF004D4">
            <w:pPr>
              <w:pStyle w:val="6"/>
              <w:spacing w:before="30" w:line="274" w:lineRule="exact"/>
              <w:ind w:left="341"/>
            </w:pPr>
            <w:r>
              <w:rPr>
                <w:rFonts w:ascii="Times New Roman" w:hAnsi="Times New Roman" w:eastAsia="Times New Roman" w:cs="Times New Roman"/>
                <w:spacing w:val="3"/>
                <w:position w:val="2"/>
              </w:rPr>
              <w:t>1,2,3-</w:t>
            </w:r>
            <w:r>
              <w:rPr>
                <w:spacing w:val="3"/>
                <w:position w:val="2"/>
              </w:rPr>
              <w:t>三氯丙烷</w:t>
            </w:r>
          </w:p>
        </w:tc>
        <w:tc>
          <w:tcPr>
            <w:tcW w:w="699" w:type="dxa"/>
            <w:vAlign w:val="top"/>
          </w:tcPr>
          <w:p w14:paraId="7FA73554">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2077ED62">
            <w:pPr>
              <w:spacing w:before="66"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945" w:type="dxa"/>
            <w:vAlign w:val="top"/>
          </w:tcPr>
          <w:p w14:paraId="59635D1B">
            <w:pPr>
              <w:spacing w:before="66"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1" w:type="dxa"/>
            <w:vAlign w:val="top"/>
          </w:tcPr>
          <w:p w14:paraId="68CD316F">
            <w:pPr>
              <w:spacing w:before="66"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0" w:type="dxa"/>
            <w:vAlign w:val="top"/>
          </w:tcPr>
          <w:p w14:paraId="44C5C5AC">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4FF34EFF">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251BC738">
            <w:pPr>
              <w:spacing w:before="66"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4BFD8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64" w:type="dxa"/>
            <w:vAlign w:val="top"/>
          </w:tcPr>
          <w:p w14:paraId="4DA5F6AD">
            <w:pPr>
              <w:pStyle w:val="6"/>
              <w:spacing w:before="62" w:line="228" w:lineRule="auto"/>
              <w:ind w:left="676"/>
            </w:pPr>
            <w:r>
              <w:rPr>
                <w:spacing w:val="5"/>
              </w:rPr>
              <w:t>氯乙烯</w:t>
            </w:r>
          </w:p>
        </w:tc>
        <w:tc>
          <w:tcPr>
            <w:tcW w:w="699" w:type="dxa"/>
            <w:vAlign w:val="top"/>
          </w:tcPr>
          <w:p w14:paraId="12FB52F5">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5B502E53">
            <w:pPr>
              <w:spacing w:before="67"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945" w:type="dxa"/>
            <w:vAlign w:val="top"/>
          </w:tcPr>
          <w:p w14:paraId="474FDD35">
            <w:pPr>
              <w:spacing w:before="67"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1" w:type="dxa"/>
            <w:vAlign w:val="top"/>
          </w:tcPr>
          <w:p w14:paraId="57F0BE82">
            <w:pPr>
              <w:spacing w:before="67"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0" w:type="dxa"/>
            <w:vAlign w:val="top"/>
          </w:tcPr>
          <w:p w14:paraId="266C9C93">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1747F683">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47B0AFC2">
            <w:pPr>
              <w:spacing w:before="67"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C2D8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02BB4371">
            <w:pPr>
              <w:pStyle w:val="6"/>
              <w:spacing w:before="64" w:line="228" w:lineRule="auto"/>
              <w:ind w:left="884"/>
            </w:pPr>
            <w:r>
              <w:t>苯</w:t>
            </w:r>
          </w:p>
        </w:tc>
        <w:tc>
          <w:tcPr>
            <w:tcW w:w="699" w:type="dxa"/>
            <w:vAlign w:val="top"/>
          </w:tcPr>
          <w:p w14:paraId="1D59D086">
            <w:pPr>
              <w:spacing w:before="33"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2437D387">
            <w:pPr>
              <w:spacing w:before="67"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945" w:type="dxa"/>
            <w:vAlign w:val="top"/>
          </w:tcPr>
          <w:p w14:paraId="03437ECA">
            <w:pPr>
              <w:spacing w:before="67"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1" w:type="dxa"/>
            <w:vAlign w:val="top"/>
          </w:tcPr>
          <w:p w14:paraId="04B4FCED">
            <w:pPr>
              <w:spacing w:before="67"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0" w:type="dxa"/>
            <w:vAlign w:val="top"/>
          </w:tcPr>
          <w:p w14:paraId="4414C674">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2F27A247">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7DAC5B66">
            <w:pPr>
              <w:spacing w:before="67"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6E7E3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4C99FFBD">
            <w:pPr>
              <w:pStyle w:val="6"/>
              <w:spacing w:before="62" w:line="228" w:lineRule="auto"/>
              <w:ind w:left="781"/>
            </w:pPr>
            <w:r>
              <w:rPr>
                <w:spacing w:val="3"/>
              </w:rPr>
              <w:t>氯苯</w:t>
            </w:r>
          </w:p>
        </w:tc>
        <w:tc>
          <w:tcPr>
            <w:tcW w:w="699" w:type="dxa"/>
            <w:vAlign w:val="top"/>
          </w:tcPr>
          <w:p w14:paraId="1BD8B116">
            <w:pPr>
              <w:spacing w:before="32"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40C2643F">
            <w:pPr>
              <w:spacing w:before="68"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945" w:type="dxa"/>
            <w:vAlign w:val="top"/>
          </w:tcPr>
          <w:p w14:paraId="050FE2A3">
            <w:pPr>
              <w:spacing w:before="68"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1" w:type="dxa"/>
            <w:vAlign w:val="top"/>
          </w:tcPr>
          <w:p w14:paraId="18DD23A3">
            <w:pPr>
              <w:spacing w:before="68"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0" w:type="dxa"/>
            <w:vAlign w:val="top"/>
          </w:tcPr>
          <w:p w14:paraId="76CDC64F">
            <w:pPr>
              <w:spacing w:before="68"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2BA2F945">
            <w:pPr>
              <w:spacing w:before="68"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2C37C8DE">
            <w:pPr>
              <w:spacing w:before="68"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47EEF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964" w:type="dxa"/>
            <w:vAlign w:val="top"/>
          </w:tcPr>
          <w:p w14:paraId="661B3BA5">
            <w:pPr>
              <w:pStyle w:val="6"/>
              <w:spacing w:before="33" w:line="274" w:lineRule="exact"/>
              <w:ind w:left="523"/>
            </w:pPr>
            <w:r>
              <w:rPr>
                <w:rFonts w:ascii="Times New Roman" w:hAnsi="Times New Roman" w:eastAsia="Times New Roman" w:cs="Times New Roman"/>
                <w:spacing w:val="2"/>
                <w:position w:val="2"/>
              </w:rPr>
              <w:t>1,2-</w:t>
            </w:r>
            <w:r>
              <w:rPr>
                <w:spacing w:val="2"/>
                <w:position w:val="2"/>
              </w:rPr>
              <w:t>二氯苯</w:t>
            </w:r>
          </w:p>
        </w:tc>
        <w:tc>
          <w:tcPr>
            <w:tcW w:w="699" w:type="dxa"/>
            <w:vAlign w:val="top"/>
          </w:tcPr>
          <w:p w14:paraId="137ABC6E">
            <w:pPr>
              <w:spacing w:before="33"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7856E417">
            <w:pPr>
              <w:spacing w:before="66" w:line="275"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945" w:type="dxa"/>
            <w:vAlign w:val="top"/>
          </w:tcPr>
          <w:p w14:paraId="6AE7661F">
            <w:pPr>
              <w:spacing w:before="66" w:line="275"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1" w:type="dxa"/>
            <w:vAlign w:val="top"/>
          </w:tcPr>
          <w:p w14:paraId="0204601C">
            <w:pPr>
              <w:spacing w:before="66" w:line="275"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010" w:type="dxa"/>
            <w:vAlign w:val="top"/>
          </w:tcPr>
          <w:p w14:paraId="05EDF248">
            <w:pPr>
              <w:spacing w:before="66"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432FAD72">
            <w:pPr>
              <w:spacing w:before="66"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5438A139">
            <w:pPr>
              <w:spacing w:before="66"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bl>
    <w:p w14:paraId="74389919">
      <w:pPr>
        <w:pStyle w:val="2"/>
      </w:pPr>
    </w:p>
    <w:p w14:paraId="7137FF55">
      <w:pPr>
        <w:sectPr>
          <w:footerReference r:id="rId114" w:type="default"/>
          <w:pgSz w:w="11906" w:h="16839"/>
          <w:pgMar w:top="400" w:right="1641" w:bottom="1485" w:left="1526" w:header="0" w:footer="1249" w:gutter="0"/>
          <w:cols w:space="720" w:num="1"/>
        </w:sectPr>
      </w:pPr>
    </w:p>
    <w:p w14:paraId="3E838CC1">
      <w:pPr>
        <w:spacing w:before="13"/>
      </w:pPr>
    </w:p>
    <w:p w14:paraId="6E743AF0">
      <w:pPr>
        <w:spacing w:before="13"/>
      </w:pPr>
    </w:p>
    <w:p w14:paraId="09CE5676">
      <w:pPr>
        <w:spacing w:before="13"/>
      </w:pPr>
    </w:p>
    <w:p w14:paraId="04797AF5">
      <w:pPr>
        <w:spacing w:before="13"/>
      </w:pPr>
    </w:p>
    <w:tbl>
      <w:tblPr>
        <w:tblStyle w:val="5"/>
        <w:tblW w:w="87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4"/>
        <w:gridCol w:w="699"/>
        <w:gridCol w:w="1075"/>
        <w:gridCol w:w="945"/>
        <w:gridCol w:w="1011"/>
        <w:gridCol w:w="1010"/>
        <w:gridCol w:w="1008"/>
        <w:gridCol w:w="1021"/>
      </w:tblGrid>
      <w:tr w14:paraId="4DDE3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964" w:type="dxa"/>
            <w:vAlign w:val="top"/>
          </w:tcPr>
          <w:p w14:paraId="4DEE5855">
            <w:pPr>
              <w:pStyle w:val="6"/>
              <w:spacing w:before="33" w:line="274" w:lineRule="exact"/>
              <w:ind w:left="523"/>
            </w:pPr>
            <w:r>
              <w:rPr>
                <w:rFonts w:ascii="Times New Roman" w:hAnsi="Times New Roman" w:eastAsia="Times New Roman" w:cs="Times New Roman"/>
                <w:spacing w:val="2"/>
                <w:position w:val="2"/>
              </w:rPr>
              <w:t>1,4-</w:t>
            </w:r>
            <w:r>
              <w:rPr>
                <w:spacing w:val="2"/>
                <w:position w:val="2"/>
              </w:rPr>
              <w:t>二氯苯</w:t>
            </w:r>
          </w:p>
        </w:tc>
        <w:tc>
          <w:tcPr>
            <w:tcW w:w="699" w:type="dxa"/>
            <w:vAlign w:val="top"/>
          </w:tcPr>
          <w:p w14:paraId="123CD4F9">
            <w:pPr>
              <w:spacing w:before="33"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7C9958A1">
            <w:pPr>
              <w:spacing w:before="66" w:line="275"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945" w:type="dxa"/>
            <w:vAlign w:val="top"/>
          </w:tcPr>
          <w:p w14:paraId="5A49047F">
            <w:pPr>
              <w:spacing w:before="66" w:line="275"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1" w:type="dxa"/>
            <w:vAlign w:val="top"/>
          </w:tcPr>
          <w:p w14:paraId="05133FE6">
            <w:pPr>
              <w:spacing w:before="66" w:line="275"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0" w:type="dxa"/>
            <w:vAlign w:val="top"/>
          </w:tcPr>
          <w:p w14:paraId="32320359">
            <w:pPr>
              <w:spacing w:before="66"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788A710A">
            <w:pPr>
              <w:spacing w:before="66"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3413AF1D">
            <w:pPr>
              <w:spacing w:before="66"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1999C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64" w:type="dxa"/>
            <w:vAlign w:val="top"/>
          </w:tcPr>
          <w:p w14:paraId="5DE3A7AF">
            <w:pPr>
              <w:pStyle w:val="6"/>
              <w:spacing w:before="58" w:line="228" w:lineRule="auto"/>
              <w:ind w:left="795"/>
            </w:pPr>
            <w:r>
              <w:rPr>
                <w:spacing w:val="-4"/>
              </w:rPr>
              <w:t>乙苯</w:t>
            </w:r>
          </w:p>
        </w:tc>
        <w:tc>
          <w:tcPr>
            <w:tcW w:w="699" w:type="dxa"/>
            <w:vAlign w:val="top"/>
          </w:tcPr>
          <w:p w14:paraId="61379F36">
            <w:pPr>
              <w:spacing w:before="27" w:line="275"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6CA77D11">
            <w:pPr>
              <w:spacing w:before="63" w:line="275"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945" w:type="dxa"/>
            <w:vAlign w:val="top"/>
          </w:tcPr>
          <w:p w14:paraId="01082BD9">
            <w:pPr>
              <w:spacing w:before="63" w:line="275"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1" w:type="dxa"/>
            <w:vAlign w:val="top"/>
          </w:tcPr>
          <w:p w14:paraId="2F68DA0D">
            <w:pPr>
              <w:spacing w:before="63" w:line="275"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010" w:type="dxa"/>
            <w:vAlign w:val="top"/>
          </w:tcPr>
          <w:p w14:paraId="61FBE538">
            <w:pPr>
              <w:spacing w:before="63"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5C482DCB">
            <w:pPr>
              <w:spacing w:before="63"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1A70F21E">
            <w:pPr>
              <w:spacing w:before="63"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121CD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3EC1A426">
            <w:pPr>
              <w:pStyle w:val="6"/>
              <w:spacing w:before="60" w:line="228" w:lineRule="auto"/>
              <w:ind w:left="675"/>
            </w:pPr>
            <w:r>
              <w:rPr>
                <w:spacing w:val="6"/>
              </w:rPr>
              <w:t>苯乙烯</w:t>
            </w:r>
          </w:p>
        </w:tc>
        <w:tc>
          <w:tcPr>
            <w:tcW w:w="699" w:type="dxa"/>
            <w:vAlign w:val="top"/>
          </w:tcPr>
          <w:p w14:paraId="5B63D2F0">
            <w:pPr>
              <w:spacing w:before="29" w:line="275"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58853680">
            <w:pPr>
              <w:spacing w:before="63"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945" w:type="dxa"/>
            <w:vAlign w:val="top"/>
          </w:tcPr>
          <w:p w14:paraId="67752114">
            <w:pPr>
              <w:spacing w:before="63"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1" w:type="dxa"/>
            <w:vAlign w:val="top"/>
          </w:tcPr>
          <w:p w14:paraId="4156C2A1">
            <w:pPr>
              <w:spacing w:before="63"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w:t>
            </w:r>
          </w:p>
        </w:tc>
        <w:tc>
          <w:tcPr>
            <w:tcW w:w="1010" w:type="dxa"/>
            <w:vAlign w:val="top"/>
          </w:tcPr>
          <w:p w14:paraId="1B3845C4">
            <w:pPr>
              <w:spacing w:before="63"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78516F75">
            <w:pPr>
              <w:spacing w:before="63"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176AC1F2">
            <w:pPr>
              <w:spacing w:before="63"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2585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3E028AE9">
            <w:pPr>
              <w:pStyle w:val="6"/>
              <w:spacing w:before="58" w:line="228" w:lineRule="auto"/>
              <w:ind w:left="805"/>
            </w:pPr>
            <w:r>
              <w:rPr>
                <w:spacing w:val="-9"/>
              </w:rPr>
              <w:t>甲苯</w:t>
            </w:r>
          </w:p>
        </w:tc>
        <w:tc>
          <w:tcPr>
            <w:tcW w:w="699" w:type="dxa"/>
            <w:vAlign w:val="top"/>
          </w:tcPr>
          <w:p w14:paraId="76367B5B">
            <w:pPr>
              <w:spacing w:before="28"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75E302DA">
            <w:pPr>
              <w:spacing w:before="64"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0.001</w:t>
            </w:r>
          </w:p>
        </w:tc>
        <w:tc>
          <w:tcPr>
            <w:tcW w:w="945" w:type="dxa"/>
            <w:vAlign w:val="top"/>
          </w:tcPr>
          <w:p w14:paraId="6F96C26E">
            <w:pPr>
              <w:spacing w:before="64"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w:t>
            </w:r>
          </w:p>
        </w:tc>
        <w:tc>
          <w:tcPr>
            <w:tcW w:w="1011" w:type="dxa"/>
            <w:vAlign w:val="top"/>
          </w:tcPr>
          <w:p w14:paraId="6628091E">
            <w:pPr>
              <w:spacing w:before="64"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w:t>
            </w:r>
          </w:p>
        </w:tc>
        <w:tc>
          <w:tcPr>
            <w:tcW w:w="1010" w:type="dxa"/>
            <w:vAlign w:val="top"/>
          </w:tcPr>
          <w:p w14:paraId="08974CC0">
            <w:pPr>
              <w:spacing w:before="64"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5CF41AF4">
            <w:pPr>
              <w:spacing w:before="64"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3999FAA5">
            <w:pPr>
              <w:spacing w:before="64"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3D80F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64" w:type="dxa"/>
            <w:vAlign w:val="top"/>
          </w:tcPr>
          <w:p w14:paraId="43FFD930">
            <w:pPr>
              <w:pStyle w:val="6"/>
              <w:spacing w:before="59" w:line="228" w:lineRule="auto"/>
              <w:ind w:left="106"/>
            </w:pPr>
            <w:r>
              <w:rPr>
                <w:spacing w:val="6"/>
              </w:rPr>
              <w:t>间二甲苯</w:t>
            </w:r>
            <w:r>
              <w:rPr>
                <w:rFonts w:ascii="Times New Roman" w:hAnsi="Times New Roman" w:eastAsia="Times New Roman" w:cs="Times New Roman"/>
                <w:spacing w:val="6"/>
              </w:rPr>
              <w:t>+</w:t>
            </w:r>
            <w:r>
              <w:rPr>
                <w:spacing w:val="6"/>
              </w:rPr>
              <w:t>对二甲苯</w:t>
            </w:r>
          </w:p>
        </w:tc>
        <w:tc>
          <w:tcPr>
            <w:tcW w:w="699" w:type="dxa"/>
            <w:vAlign w:val="top"/>
          </w:tcPr>
          <w:p w14:paraId="1DC51FB4">
            <w:pPr>
              <w:spacing w:before="29"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5949A8D2">
            <w:pPr>
              <w:spacing w:before="65"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0.0018</w:t>
            </w:r>
          </w:p>
        </w:tc>
        <w:tc>
          <w:tcPr>
            <w:tcW w:w="945" w:type="dxa"/>
            <w:vAlign w:val="top"/>
          </w:tcPr>
          <w:p w14:paraId="70519BF0">
            <w:pPr>
              <w:spacing w:before="65"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0.0018</w:t>
            </w:r>
          </w:p>
        </w:tc>
        <w:tc>
          <w:tcPr>
            <w:tcW w:w="1011" w:type="dxa"/>
            <w:vAlign w:val="top"/>
          </w:tcPr>
          <w:p w14:paraId="4EBB6BBC">
            <w:pPr>
              <w:spacing w:before="65"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0.0018</w:t>
            </w:r>
          </w:p>
        </w:tc>
        <w:tc>
          <w:tcPr>
            <w:tcW w:w="1010" w:type="dxa"/>
            <w:vAlign w:val="top"/>
          </w:tcPr>
          <w:p w14:paraId="5301DF45">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7BD9F55A">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7DD0C78C">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052EF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964" w:type="dxa"/>
            <w:vAlign w:val="top"/>
          </w:tcPr>
          <w:p w14:paraId="63361FB0">
            <w:pPr>
              <w:pStyle w:val="6"/>
              <w:spacing w:before="61" w:line="228" w:lineRule="auto"/>
              <w:ind w:left="566"/>
            </w:pPr>
            <w:r>
              <w:rPr>
                <w:spacing w:val="7"/>
              </w:rPr>
              <w:t>邻二甲苯</w:t>
            </w:r>
          </w:p>
        </w:tc>
        <w:tc>
          <w:tcPr>
            <w:tcW w:w="699" w:type="dxa"/>
            <w:vAlign w:val="top"/>
          </w:tcPr>
          <w:p w14:paraId="64538174">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053742FB">
            <w:pPr>
              <w:spacing w:before="65"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945" w:type="dxa"/>
            <w:vAlign w:val="top"/>
          </w:tcPr>
          <w:p w14:paraId="020486A3">
            <w:pPr>
              <w:spacing w:before="65" w:line="274"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1011" w:type="dxa"/>
            <w:vAlign w:val="top"/>
          </w:tcPr>
          <w:p w14:paraId="736DB03E">
            <w:pPr>
              <w:spacing w:before="65"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0.0007</w:t>
            </w:r>
          </w:p>
        </w:tc>
        <w:tc>
          <w:tcPr>
            <w:tcW w:w="1010" w:type="dxa"/>
            <w:vAlign w:val="top"/>
          </w:tcPr>
          <w:p w14:paraId="277E2313">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0B0C9E20">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1934D90C">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26C37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5B02EA18">
            <w:pPr>
              <w:pStyle w:val="6"/>
              <w:spacing w:before="61" w:line="228" w:lineRule="auto"/>
              <w:ind w:left="674"/>
            </w:pPr>
            <w:r>
              <w:rPr>
                <w:spacing w:val="6"/>
              </w:rPr>
              <w:t>硝基苯</w:t>
            </w:r>
          </w:p>
        </w:tc>
        <w:tc>
          <w:tcPr>
            <w:tcW w:w="699" w:type="dxa"/>
            <w:vAlign w:val="top"/>
          </w:tcPr>
          <w:p w14:paraId="47E023A6">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7DC1EEE7">
            <w:pPr>
              <w:spacing w:before="67"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0.045</w:t>
            </w:r>
          </w:p>
        </w:tc>
        <w:tc>
          <w:tcPr>
            <w:tcW w:w="945" w:type="dxa"/>
            <w:vAlign w:val="top"/>
          </w:tcPr>
          <w:p w14:paraId="337E2A63">
            <w:pPr>
              <w:spacing w:before="67"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0.045</w:t>
            </w:r>
          </w:p>
        </w:tc>
        <w:tc>
          <w:tcPr>
            <w:tcW w:w="1011" w:type="dxa"/>
            <w:vAlign w:val="top"/>
          </w:tcPr>
          <w:p w14:paraId="6FCF1C21">
            <w:pPr>
              <w:spacing w:before="67"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0.045</w:t>
            </w:r>
          </w:p>
        </w:tc>
        <w:tc>
          <w:tcPr>
            <w:tcW w:w="1010" w:type="dxa"/>
            <w:vAlign w:val="top"/>
          </w:tcPr>
          <w:p w14:paraId="557B8C9B">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3A138342">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59E18E07">
            <w:pPr>
              <w:spacing w:before="67"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49AD2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2819D3B2">
            <w:pPr>
              <w:pStyle w:val="6"/>
              <w:spacing w:before="62" w:line="228" w:lineRule="auto"/>
              <w:ind w:left="781"/>
            </w:pPr>
            <w:r>
              <w:rPr>
                <w:spacing w:val="3"/>
              </w:rPr>
              <w:t>苯胺</w:t>
            </w:r>
          </w:p>
        </w:tc>
        <w:tc>
          <w:tcPr>
            <w:tcW w:w="699" w:type="dxa"/>
            <w:vAlign w:val="top"/>
          </w:tcPr>
          <w:p w14:paraId="13D59AD2">
            <w:pPr>
              <w:spacing w:before="32"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49BF4433">
            <w:pPr>
              <w:spacing w:before="65"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945" w:type="dxa"/>
            <w:vAlign w:val="top"/>
          </w:tcPr>
          <w:p w14:paraId="11213035">
            <w:pPr>
              <w:spacing w:before="65" w:line="274"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1011" w:type="dxa"/>
            <w:vAlign w:val="top"/>
          </w:tcPr>
          <w:p w14:paraId="217FD990">
            <w:pPr>
              <w:spacing w:before="65"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1010" w:type="dxa"/>
            <w:vAlign w:val="top"/>
          </w:tcPr>
          <w:p w14:paraId="7A7C1736">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2803B64D">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64338811">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C801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3181A65A">
            <w:pPr>
              <w:pStyle w:val="6"/>
              <w:spacing w:before="30" w:line="274" w:lineRule="exact"/>
              <w:ind w:left="685"/>
            </w:pPr>
            <w:r>
              <w:rPr>
                <w:rFonts w:ascii="Times New Roman" w:hAnsi="Times New Roman" w:eastAsia="Times New Roman" w:cs="Times New Roman"/>
                <w:spacing w:val="5"/>
                <w:position w:val="1"/>
              </w:rPr>
              <w:t>2-</w:t>
            </w:r>
            <w:r>
              <w:rPr>
                <w:spacing w:val="5"/>
                <w:position w:val="1"/>
              </w:rPr>
              <w:t>氯酚</w:t>
            </w:r>
          </w:p>
        </w:tc>
        <w:tc>
          <w:tcPr>
            <w:tcW w:w="699" w:type="dxa"/>
            <w:vAlign w:val="top"/>
          </w:tcPr>
          <w:p w14:paraId="44756D57">
            <w:pPr>
              <w:spacing w:before="30"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472E4D20">
            <w:pPr>
              <w:spacing w:before="66"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945" w:type="dxa"/>
            <w:vAlign w:val="top"/>
          </w:tcPr>
          <w:p w14:paraId="706E9F38">
            <w:pPr>
              <w:spacing w:before="66" w:line="274"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011" w:type="dxa"/>
            <w:vAlign w:val="top"/>
          </w:tcPr>
          <w:p w14:paraId="05F2CB7A">
            <w:pPr>
              <w:spacing w:before="66"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010" w:type="dxa"/>
            <w:vAlign w:val="top"/>
          </w:tcPr>
          <w:p w14:paraId="427CB248">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683D8849">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58F3F9AE">
            <w:pPr>
              <w:spacing w:before="66"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0C81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3C91651B">
            <w:pPr>
              <w:pStyle w:val="6"/>
              <w:spacing w:before="31" w:line="274" w:lineRule="exact"/>
              <w:ind w:left="560"/>
            </w:pPr>
            <w:r>
              <w:rPr>
                <w:spacing w:val="4"/>
                <w:position w:val="2"/>
              </w:rPr>
              <w:t>苯并</w:t>
            </w:r>
            <w:r>
              <w:rPr>
                <w:rFonts w:ascii="Times New Roman" w:hAnsi="Times New Roman" w:eastAsia="Times New Roman" w:cs="Times New Roman"/>
                <w:spacing w:val="4"/>
                <w:position w:val="2"/>
              </w:rPr>
              <w:t>(a)</w:t>
            </w:r>
            <w:r>
              <w:rPr>
                <w:spacing w:val="4"/>
                <w:position w:val="2"/>
              </w:rPr>
              <w:t>蒽</w:t>
            </w:r>
          </w:p>
        </w:tc>
        <w:tc>
          <w:tcPr>
            <w:tcW w:w="699" w:type="dxa"/>
            <w:vAlign w:val="top"/>
          </w:tcPr>
          <w:p w14:paraId="0399DF7E">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391800E6">
            <w:pPr>
              <w:spacing w:before="67"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945" w:type="dxa"/>
            <w:vAlign w:val="top"/>
          </w:tcPr>
          <w:p w14:paraId="356F3AB7">
            <w:pPr>
              <w:spacing w:before="67" w:line="274"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1011" w:type="dxa"/>
            <w:vAlign w:val="top"/>
          </w:tcPr>
          <w:p w14:paraId="34BA4886">
            <w:pPr>
              <w:spacing w:before="67" w:line="274"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1010" w:type="dxa"/>
            <w:vAlign w:val="top"/>
          </w:tcPr>
          <w:p w14:paraId="12A1DAB8">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2547529B">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31E76F66">
            <w:pPr>
              <w:spacing w:before="67"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6ED73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1BE13947">
            <w:pPr>
              <w:pStyle w:val="6"/>
              <w:spacing w:before="32" w:line="274" w:lineRule="exact"/>
              <w:ind w:left="560"/>
            </w:pPr>
            <w:r>
              <w:rPr>
                <w:spacing w:val="4"/>
                <w:position w:val="2"/>
              </w:rPr>
              <w:t>苯并</w:t>
            </w:r>
            <w:r>
              <w:rPr>
                <w:rFonts w:ascii="Times New Roman" w:hAnsi="Times New Roman" w:eastAsia="Times New Roman" w:cs="Times New Roman"/>
                <w:spacing w:val="4"/>
                <w:position w:val="2"/>
              </w:rPr>
              <w:t>(a)</w:t>
            </w:r>
            <w:r>
              <w:rPr>
                <w:spacing w:val="4"/>
                <w:position w:val="2"/>
              </w:rPr>
              <w:t>芘</w:t>
            </w:r>
          </w:p>
        </w:tc>
        <w:tc>
          <w:tcPr>
            <w:tcW w:w="699" w:type="dxa"/>
            <w:vAlign w:val="top"/>
          </w:tcPr>
          <w:p w14:paraId="2BEF2676">
            <w:pPr>
              <w:spacing w:before="32"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20DD33A2">
            <w:pPr>
              <w:spacing w:before="66"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0.085</w:t>
            </w:r>
          </w:p>
        </w:tc>
        <w:tc>
          <w:tcPr>
            <w:tcW w:w="945" w:type="dxa"/>
            <w:vAlign w:val="top"/>
          </w:tcPr>
          <w:p w14:paraId="70FA6700">
            <w:pPr>
              <w:spacing w:before="66"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0.085</w:t>
            </w:r>
          </w:p>
        </w:tc>
        <w:tc>
          <w:tcPr>
            <w:tcW w:w="1011" w:type="dxa"/>
            <w:vAlign w:val="top"/>
          </w:tcPr>
          <w:p w14:paraId="3E665B06">
            <w:pPr>
              <w:spacing w:before="66"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0.085</w:t>
            </w:r>
          </w:p>
        </w:tc>
        <w:tc>
          <w:tcPr>
            <w:tcW w:w="1010" w:type="dxa"/>
            <w:vAlign w:val="top"/>
          </w:tcPr>
          <w:p w14:paraId="1C673287">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0D9377CE">
            <w:pPr>
              <w:spacing w:before="66"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084A5E73">
            <w:pPr>
              <w:spacing w:before="66"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20C57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69E6E3F8">
            <w:pPr>
              <w:pStyle w:val="6"/>
              <w:spacing w:before="31" w:line="274" w:lineRule="exact"/>
              <w:ind w:left="447"/>
            </w:pPr>
            <w:r>
              <w:rPr>
                <w:spacing w:val="5"/>
                <w:position w:val="2"/>
              </w:rPr>
              <w:t>苯并</w:t>
            </w:r>
            <w:r>
              <w:rPr>
                <w:rFonts w:ascii="Times New Roman" w:hAnsi="Times New Roman" w:eastAsia="Times New Roman" w:cs="Times New Roman"/>
                <w:spacing w:val="5"/>
                <w:position w:val="2"/>
              </w:rPr>
              <w:t>(b)</w:t>
            </w:r>
            <w:r>
              <w:rPr>
                <w:spacing w:val="5"/>
                <w:position w:val="2"/>
              </w:rPr>
              <w:t>荧蒽</w:t>
            </w:r>
          </w:p>
        </w:tc>
        <w:tc>
          <w:tcPr>
            <w:tcW w:w="699" w:type="dxa"/>
            <w:vAlign w:val="top"/>
          </w:tcPr>
          <w:p w14:paraId="4B6BCA4A">
            <w:pPr>
              <w:spacing w:before="3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03F1C107">
            <w:pPr>
              <w:spacing w:before="67"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0.085</w:t>
            </w:r>
          </w:p>
        </w:tc>
        <w:tc>
          <w:tcPr>
            <w:tcW w:w="945" w:type="dxa"/>
            <w:vAlign w:val="top"/>
          </w:tcPr>
          <w:p w14:paraId="77CC01BC">
            <w:pPr>
              <w:spacing w:before="67"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0.085</w:t>
            </w:r>
          </w:p>
        </w:tc>
        <w:tc>
          <w:tcPr>
            <w:tcW w:w="1011" w:type="dxa"/>
            <w:vAlign w:val="top"/>
          </w:tcPr>
          <w:p w14:paraId="6C17576B">
            <w:pPr>
              <w:spacing w:before="67"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0.085</w:t>
            </w:r>
          </w:p>
        </w:tc>
        <w:tc>
          <w:tcPr>
            <w:tcW w:w="1010" w:type="dxa"/>
            <w:vAlign w:val="top"/>
          </w:tcPr>
          <w:p w14:paraId="6F5C88FD">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6A9F7AA0">
            <w:pPr>
              <w:spacing w:before="67"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6D9019D3">
            <w:pPr>
              <w:spacing w:before="67"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653B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21AE49E3">
            <w:pPr>
              <w:pStyle w:val="6"/>
              <w:spacing w:before="32" w:line="274" w:lineRule="exact"/>
              <w:ind w:left="447"/>
            </w:pPr>
            <w:r>
              <w:rPr>
                <w:spacing w:val="5"/>
                <w:position w:val="2"/>
              </w:rPr>
              <w:t>苯并</w:t>
            </w:r>
            <w:r>
              <w:rPr>
                <w:rFonts w:ascii="Times New Roman" w:hAnsi="Times New Roman" w:eastAsia="Times New Roman" w:cs="Times New Roman"/>
                <w:spacing w:val="5"/>
                <w:position w:val="2"/>
              </w:rPr>
              <w:t>(k)</w:t>
            </w:r>
            <w:r>
              <w:rPr>
                <w:spacing w:val="5"/>
                <w:position w:val="2"/>
              </w:rPr>
              <w:t>荧蒽</w:t>
            </w:r>
          </w:p>
        </w:tc>
        <w:tc>
          <w:tcPr>
            <w:tcW w:w="699" w:type="dxa"/>
            <w:vAlign w:val="top"/>
          </w:tcPr>
          <w:p w14:paraId="2E1DF17A">
            <w:pPr>
              <w:spacing w:before="32" w:line="274"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7A72B403">
            <w:pPr>
              <w:spacing w:before="65" w:line="275"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0.055</w:t>
            </w:r>
          </w:p>
        </w:tc>
        <w:tc>
          <w:tcPr>
            <w:tcW w:w="945" w:type="dxa"/>
            <w:vAlign w:val="top"/>
          </w:tcPr>
          <w:p w14:paraId="42668042">
            <w:pPr>
              <w:spacing w:before="65" w:line="275"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0.055</w:t>
            </w:r>
          </w:p>
        </w:tc>
        <w:tc>
          <w:tcPr>
            <w:tcW w:w="1011" w:type="dxa"/>
            <w:vAlign w:val="top"/>
          </w:tcPr>
          <w:p w14:paraId="56E5161F">
            <w:pPr>
              <w:spacing w:before="65" w:line="275"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0.055</w:t>
            </w:r>
          </w:p>
        </w:tc>
        <w:tc>
          <w:tcPr>
            <w:tcW w:w="1010" w:type="dxa"/>
            <w:vAlign w:val="top"/>
          </w:tcPr>
          <w:p w14:paraId="46D9E4FD">
            <w:pPr>
              <w:spacing w:before="65"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4B1A7CA6">
            <w:pPr>
              <w:spacing w:before="65"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510BC85C">
            <w:pPr>
              <w:spacing w:before="65"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5543F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0DBD8E00">
            <w:pPr>
              <w:pStyle w:val="6"/>
              <w:spacing w:before="61" w:line="230" w:lineRule="auto"/>
              <w:ind w:left="880"/>
            </w:pPr>
            <w:r>
              <w:rPr>
                <w:spacing w:val="2"/>
              </w:rPr>
              <w:t>䓛</w:t>
            </w:r>
          </w:p>
        </w:tc>
        <w:tc>
          <w:tcPr>
            <w:tcW w:w="699" w:type="dxa"/>
            <w:vAlign w:val="top"/>
          </w:tcPr>
          <w:p w14:paraId="154BE75E">
            <w:pPr>
              <w:spacing w:before="30" w:line="275"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06175FAD">
            <w:pPr>
              <w:spacing w:before="66" w:line="275"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945" w:type="dxa"/>
            <w:vAlign w:val="top"/>
          </w:tcPr>
          <w:p w14:paraId="36764DC0">
            <w:pPr>
              <w:spacing w:before="66" w:line="275"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1011" w:type="dxa"/>
            <w:vAlign w:val="top"/>
          </w:tcPr>
          <w:p w14:paraId="177994AE">
            <w:pPr>
              <w:spacing w:before="66" w:line="275"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1010" w:type="dxa"/>
            <w:vAlign w:val="top"/>
          </w:tcPr>
          <w:p w14:paraId="55F690E7">
            <w:pPr>
              <w:spacing w:before="66"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1D72FB3F">
            <w:pPr>
              <w:spacing w:before="66" w:line="275"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73DE846E">
            <w:pPr>
              <w:spacing w:before="66" w:line="275"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7F52C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964" w:type="dxa"/>
            <w:vAlign w:val="top"/>
          </w:tcPr>
          <w:p w14:paraId="683FFDFD">
            <w:pPr>
              <w:pStyle w:val="6"/>
              <w:spacing w:before="31" w:line="275" w:lineRule="exact"/>
              <w:ind w:left="376"/>
            </w:pPr>
            <w:r>
              <w:rPr>
                <w:spacing w:val="5"/>
                <w:position w:val="2"/>
              </w:rPr>
              <w:t>二苯并</w:t>
            </w:r>
            <w:r>
              <w:rPr>
                <w:rFonts w:ascii="Times New Roman" w:hAnsi="Times New Roman" w:eastAsia="Times New Roman" w:cs="Times New Roman"/>
                <w:spacing w:val="5"/>
                <w:position w:val="2"/>
              </w:rPr>
              <w:t>[a,h]</w:t>
            </w:r>
            <w:r>
              <w:rPr>
                <w:spacing w:val="5"/>
                <w:position w:val="2"/>
              </w:rPr>
              <w:t>蒽</w:t>
            </w:r>
          </w:p>
        </w:tc>
        <w:tc>
          <w:tcPr>
            <w:tcW w:w="699" w:type="dxa"/>
            <w:vAlign w:val="top"/>
          </w:tcPr>
          <w:p w14:paraId="408EBB62">
            <w:pPr>
              <w:spacing w:before="31" w:line="275" w:lineRule="exact"/>
              <w:ind w:left="30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053386D1">
            <w:pPr>
              <w:spacing w:before="65"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0.065</w:t>
            </w:r>
          </w:p>
        </w:tc>
        <w:tc>
          <w:tcPr>
            <w:tcW w:w="945" w:type="dxa"/>
            <w:vAlign w:val="top"/>
          </w:tcPr>
          <w:p w14:paraId="225B6D61">
            <w:pPr>
              <w:spacing w:before="65"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0.065</w:t>
            </w:r>
          </w:p>
        </w:tc>
        <w:tc>
          <w:tcPr>
            <w:tcW w:w="1011" w:type="dxa"/>
            <w:vAlign w:val="top"/>
          </w:tcPr>
          <w:p w14:paraId="20519E1B">
            <w:pPr>
              <w:spacing w:before="65"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0.065</w:t>
            </w:r>
          </w:p>
        </w:tc>
        <w:tc>
          <w:tcPr>
            <w:tcW w:w="1010" w:type="dxa"/>
            <w:vAlign w:val="top"/>
          </w:tcPr>
          <w:p w14:paraId="37EF4F28">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44614916">
            <w:pPr>
              <w:spacing w:before="65"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5A1A7DF8">
            <w:pPr>
              <w:spacing w:before="65"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14AE5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964" w:type="dxa"/>
            <w:vAlign w:val="top"/>
          </w:tcPr>
          <w:p w14:paraId="7CD8C7D1">
            <w:pPr>
              <w:pStyle w:val="6"/>
              <w:spacing w:before="30" w:line="274" w:lineRule="exact"/>
              <w:ind w:left="264"/>
            </w:pPr>
            <w:r>
              <w:rPr>
                <w:spacing w:val="5"/>
                <w:position w:val="2"/>
              </w:rPr>
              <w:t>茚并</w:t>
            </w:r>
            <w:r>
              <w:rPr>
                <w:rFonts w:ascii="Times New Roman" w:hAnsi="Times New Roman" w:eastAsia="Times New Roman" w:cs="Times New Roman"/>
                <w:spacing w:val="5"/>
                <w:position w:val="2"/>
              </w:rPr>
              <w:t>[1,2,3-</w:t>
            </w:r>
            <w:r>
              <w:rPr>
                <w:rFonts w:ascii="Times New Roman" w:hAnsi="Times New Roman" w:eastAsia="Times New Roman" w:cs="Times New Roman"/>
                <w:position w:val="2"/>
              </w:rPr>
              <w:t>cd</w:t>
            </w:r>
            <w:r>
              <w:rPr>
                <w:rFonts w:ascii="Times New Roman" w:hAnsi="Times New Roman" w:eastAsia="Times New Roman" w:cs="Times New Roman"/>
                <w:spacing w:val="5"/>
                <w:position w:val="2"/>
              </w:rPr>
              <w:t>]</w:t>
            </w:r>
            <w:r>
              <w:rPr>
                <w:spacing w:val="5"/>
                <w:position w:val="2"/>
              </w:rPr>
              <w:t>芘</w:t>
            </w:r>
          </w:p>
        </w:tc>
        <w:tc>
          <w:tcPr>
            <w:tcW w:w="699" w:type="dxa"/>
            <w:vAlign w:val="top"/>
          </w:tcPr>
          <w:p w14:paraId="719B3CFF">
            <w:pPr>
              <w:spacing w:before="112" w:line="274" w:lineRule="exact"/>
              <w:ind w:left="4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550FBF20">
            <w:pPr>
              <w:spacing w:before="112"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0.065</w:t>
            </w:r>
          </w:p>
        </w:tc>
        <w:tc>
          <w:tcPr>
            <w:tcW w:w="945" w:type="dxa"/>
            <w:vAlign w:val="top"/>
          </w:tcPr>
          <w:p w14:paraId="77069D4E">
            <w:pPr>
              <w:spacing w:before="112"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0.065</w:t>
            </w:r>
          </w:p>
        </w:tc>
        <w:tc>
          <w:tcPr>
            <w:tcW w:w="1011" w:type="dxa"/>
            <w:vAlign w:val="top"/>
          </w:tcPr>
          <w:p w14:paraId="1BA6DE72">
            <w:pPr>
              <w:spacing w:before="112"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0.065</w:t>
            </w:r>
          </w:p>
        </w:tc>
        <w:tc>
          <w:tcPr>
            <w:tcW w:w="1010" w:type="dxa"/>
            <w:vAlign w:val="top"/>
          </w:tcPr>
          <w:p w14:paraId="0FF1EE06">
            <w:pPr>
              <w:spacing w:before="112"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10EE9C92">
            <w:pPr>
              <w:spacing w:before="112"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456CD230">
            <w:pPr>
              <w:spacing w:before="112"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1F56F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964" w:type="dxa"/>
            <w:vAlign w:val="top"/>
          </w:tcPr>
          <w:p w14:paraId="66ABC04C">
            <w:pPr>
              <w:pStyle w:val="6"/>
              <w:spacing w:before="62" w:line="229" w:lineRule="auto"/>
              <w:ind w:left="882"/>
            </w:pPr>
            <w:r>
              <w:t>萘</w:t>
            </w:r>
          </w:p>
        </w:tc>
        <w:tc>
          <w:tcPr>
            <w:tcW w:w="699" w:type="dxa"/>
            <w:vAlign w:val="top"/>
          </w:tcPr>
          <w:p w14:paraId="6B7131F8">
            <w:pPr>
              <w:spacing w:before="113" w:line="274" w:lineRule="exact"/>
              <w:ind w:left="4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vAlign w:val="top"/>
          </w:tcPr>
          <w:p w14:paraId="16BDA497">
            <w:pPr>
              <w:spacing w:before="113"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0.045</w:t>
            </w:r>
          </w:p>
        </w:tc>
        <w:tc>
          <w:tcPr>
            <w:tcW w:w="945" w:type="dxa"/>
            <w:vAlign w:val="top"/>
          </w:tcPr>
          <w:p w14:paraId="0E6810D5">
            <w:pPr>
              <w:spacing w:before="113"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0.045</w:t>
            </w:r>
          </w:p>
        </w:tc>
        <w:tc>
          <w:tcPr>
            <w:tcW w:w="1011" w:type="dxa"/>
            <w:vAlign w:val="top"/>
          </w:tcPr>
          <w:p w14:paraId="4A366B9E">
            <w:pPr>
              <w:spacing w:before="113"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0.045</w:t>
            </w:r>
          </w:p>
        </w:tc>
        <w:tc>
          <w:tcPr>
            <w:tcW w:w="1010" w:type="dxa"/>
            <w:vAlign w:val="top"/>
          </w:tcPr>
          <w:p w14:paraId="1B5A449D">
            <w:pPr>
              <w:spacing w:before="113"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08" w:type="dxa"/>
            <w:vAlign w:val="top"/>
          </w:tcPr>
          <w:p w14:paraId="6077997B">
            <w:pPr>
              <w:spacing w:before="113" w:line="274"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021" w:type="dxa"/>
            <w:vAlign w:val="top"/>
          </w:tcPr>
          <w:p w14:paraId="477C8C69">
            <w:pPr>
              <w:spacing w:before="113" w:line="274" w:lineRule="exact"/>
              <w:ind w:left="4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bl>
    <w:p w14:paraId="29E2A803">
      <w:pPr>
        <w:spacing w:before="89" w:line="374" w:lineRule="auto"/>
        <w:ind w:left="83" w:firstLine="497"/>
        <w:jc w:val="both"/>
        <w:rPr>
          <w:rFonts w:ascii="宋体" w:hAnsi="宋体" w:eastAsia="宋体" w:cs="宋体"/>
          <w:sz w:val="24"/>
          <w:szCs w:val="24"/>
        </w:rPr>
      </w:pPr>
      <w:r>
        <w:rPr>
          <w:rFonts w:ascii="宋体" w:hAnsi="宋体" w:eastAsia="宋体" w:cs="宋体"/>
          <w:spacing w:val="-1"/>
          <w:sz w:val="24"/>
          <w:szCs w:val="24"/>
        </w:rPr>
        <w:t>由上述统计分析可见，</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养殖区域、</w:t>
      </w:r>
      <w:r>
        <w:rPr>
          <w:rFonts w:ascii="Times New Roman" w:hAnsi="Times New Roman" w:eastAsia="Times New Roman" w:cs="Times New Roman"/>
          <w:spacing w:val="-1"/>
          <w:sz w:val="24"/>
          <w:szCs w:val="24"/>
        </w:rPr>
        <w:t>T2</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有机肥发酵车间、</w:t>
      </w:r>
      <w:r>
        <w:rPr>
          <w:rFonts w:ascii="Times New Roman" w:hAnsi="Times New Roman" w:eastAsia="Times New Roman" w:cs="Times New Roman"/>
          <w:spacing w:val="-1"/>
          <w:sz w:val="24"/>
          <w:szCs w:val="24"/>
        </w:rPr>
        <w:t>T3</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项目区域西南面</w:t>
      </w:r>
      <w:r>
        <w:rPr>
          <w:rFonts w:ascii="宋体" w:hAnsi="宋体" w:eastAsia="宋体" w:cs="宋体"/>
          <w:sz w:val="24"/>
          <w:szCs w:val="24"/>
        </w:rPr>
        <w:t xml:space="preserve">  </w:t>
      </w:r>
      <w:r>
        <w:rPr>
          <w:rFonts w:ascii="宋体" w:hAnsi="宋体" w:eastAsia="宋体" w:cs="宋体"/>
          <w:spacing w:val="-4"/>
          <w:sz w:val="24"/>
          <w:szCs w:val="24"/>
        </w:rPr>
        <w:t>的</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 xml:space="preserve">45 </w:t>
      </w:r>
      <w:r>
        <w:rPr>
          <w:rFonts w:ascii="宋体" w:hAnsi="宋体" w:eastAsia="宋体" w:cs="宋体"/>
          <w:spacing w:val="-4"/>
          <w:sz w:val="24"/>
          <w:szCs w:val="24"/>
        </w:rPr>
        <w:t>项目基本指标均满足《土壤环境质量建设用地土壤污染风险管控标准</w:t>
      </w:r>
      <w:r>
        <w:rPr>
          <w:rFonts w:ascii="宋体" w:hAnsi="宋体" w:eastAsia="宋体" w:cs="宋体"/>
          <w:spacing w:val="-5"/>
          <w:sz w:val="24"/>
          <w:szCs w:val="24"/>
        </w:rPr>
        <w:t>（试行）》</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GB36600-2018</w:t>
      </w:r>
      <w:r>
        <w:rPr>
          <w:rFonts w:ascii="宋体" w:hAnsi="宋体" w:eastAsia="宋体" w:cs="宋体"/>
          <w:spacing w:val="-1"/>
          <w:sz w:val="24"/>
          <w:szCs w:val="24"/>
        </w:rPr>
        <w:t>）第二类用地筛选值。项目周边土壤环境质量良好。</w:t>
      </w:r>
    </w:p>
    <w:p w14:paraId="6BDBFDB9">
      <w:pPr>
        <w:pStyle w:val="2"/>
        <w:spacing w:line="246" w:lineRule="auto"/>
      </w:pPr>
    </w:p>
    <w:p w14:paraId="71A3D664">
      <w:pPr>
        <w:spacing w:before="100" w:line="225" w:lineRule="auto"/>
        <w:ind w:left="70"/>
        <w:outlineLvl w:val="1"/>
        <w:rPr>
          <w:rFonts w:ascii="宋体" w:hAnsi="宋体" w:eastAsia="宋体" w:cs="宋体"/>
          <w:sz w:val="31"/>
          <w:szCs w:val="31"/>
        </w:rPr>
      </w:pPr>
      <w:bookmarkStart w:id="32" w:name="bookmark29"/>
      <w:bookmarkEnd w:id="32"/>
      <w:r>
        <w:rPr>
          <w:rFonts w:ascii="Times New Roman" w:hAnsi="Times New Roman" w:eastAsia="Times New Roman" w:cs="Times New Roman"/>
          <w:b/>
          <w:bCs/>
          <w:spacing w:val="5"/>
          <w:sz w:val="31"/>
          <w:szCs w:val="31"/>
        </w:rPr>
        <w:t>4.6</w:t>
      </w:r>
      <w:r>
        <w:rPr>
          <w:rFonts w:ascii="宋体" w:hAnsi="宋体" w:eastAsia="宋体" w:cs="宋体"/>
          <w:b/>
          <w:bCs/>
          <w:spacing w:val="5"/>
          <w:sz w:val="31"/>
          <w:szCs w:val="31"/>
        </w:rPr>
        <w:t>生态环境现状调查</w:t>
      </w:r>
    </w:p>
    <w:p w14:paraId="1497C656">
      <w:pPr>
        <w:pStyle w:val="2"/>
        <w:spacing w:line="446" w:lineRule="auto"/>
      </w:pPr>
    </w:p>
    <w:p w14:paraId="7AC13312">
      <w:pPr>
        <w:spacing w:before="78" w:line="220" w:lineRule="auto"/>
        <w:ind w:left="68"/>
        <w:outlineLvl w:val="2"/>
        <w:rPr>
          <w:rFonts w:ascii="宋体" w:hAnsi="宋体" w:eastAsia="宋体" w:cs="宋体"/>
          <w:sz w:val="24"/>
          <w:szCs w:val="24"/>
        </w:rPr>
      </w:pPr>
      <w:r>
        <w:rPr>
          <w:rFonts w:ascii="Times New Roman" w:hAnsi="Times New Roman" w:eastAsia="Times New Roman" w:cs="Times New Roman"/>
          <w:b/>
          <w:bCs/>
          <w:spacing w:val="-2"/>
          <w:sz w:val="24"/>
          <w:szCs w:val="24"/>
        </w:rPr>
        <w:t>4.6.1</w:t>
      </w:r>
      <w:r>
        <w:rPr>
          <w:rFonts w:ascii="宋体" w:hAnsi="宋体" w:eastAsia="宋体" w:cs="宋体"/>
          <w:b/>
          <w:bCs/>
          <w:spacing w:val="-2"/>
          <w:sz w:val="24"/>
          <w:szCs w:val="24"/>
        </w:rPr>
        <w:t>土地利用类型</w:t>
      </w:r>
    </w:p>
    <w:p w14:paraId="096E36F2">
      <w:pPr>
        <w:pStyle w:val="2"/>
        <w:spacing w:line="278" w:lineRule="auto"/>
      </w:pPr>
    </w:p>
    <w:p w14:paraId="5FB10B32">
      <w:pPr>
        <w:spacing w:before="78" w:line="379" w:lineRule="auto"/>
        <w:ind w:left="72" w:right="176" w:firstLine="480"/>
        <w:rPr>
          <w:rFonts w:ascii="宋体" w:hAnsi="宋体" w:eastAsia="宋体" w:cs="宋体"/>
          <w:sz w:val="24"/>
          <w:szCs w:val="24"/>
        </w:rPr>
      </w:pPr>
      <w:r>
        <w:rPr>
          <w:rFonts w:ascii="宋体" w:hAnsi="宋体" w:eastAsia="宋体" w:cs="宋体"/>
          <w:spacing w:val="1"/>
          <w:sz w:val="24"/>
          <w:szCs w:val="24"/>
        </w:rPr>
        <w:t>本项目评价范围内主要是林地、草地及少量荒地。项目周边没有自然保护区、</w:t>
      </w:r>
      <w:r>
        <w:rPr>
          <w:rFonts w:ascii="宋体" w:hAnsi="宋体" w:eastAsia="宋体" w:cs="宋体"/>
          <w:spacing w:val="3"/>
          <w:sz w:val="24"/>
          <w:szCs w:val="24"/>
        </w:rPr>
        <w:t xml:space="preserve"> </w:t>
      </w:r>
      <w:r>
        <w:rPr>
          <w:rFonts w:ascii="宋体" w:hAnsi="宋体" w:eastAsia="宋体" w:cs="宋体"/>
          <w:spacing w:val="-2"/>
          <w:sz w:val="24"/>
          <w:szCs w:val="24"/>
        </w:rPr>
        <w:t>风景名胜区等。</w:t>
      </w:r>
    </w:p>
    <w:p w14:paraId="272CE44B">
      <w:pPr>
        <w:spacing w:before="292" w:line="219" w:lineRule="auto"/>
        <w:ind w:left="68"/>
        <w:outlineLvl w:val="2"/>
        <w:rPr>
          <w:rFonts w:ascii="宋体" w:hAnsi="宋体" w:eastAsia="宋体" w:cs="宋体"/>
          <w:sz w:val="24"/>
          <w:szCs w:val="24"/>
        </w:rPr>
      </w:pPr>
      <w:r>
        <w:rPr>
          <w:rFonts w:ascii="Times New Roman" w:hAnsi="Times New Roman" w:eastAsia="Times New Roman" w:cs="Times New Roman"/>
          <w:b/>
          <w:bCs/>
          <w:spacing w:val="-2"/>
          <w:sz w:val="24"/>
          <w:szCs w:val="24"/>
        </w:rPr>
        <w:t>4.6.2</w:t>
      </w:r>
      <w:r>
        <w:rPr>
          <w:rFonts w:ascii="宋体" w:hAnsi="宋体" w:eastAsia="宋体" w:cs="宋体"/>
          <w:b/>
          <w:bCs/>
          <w:spacing w:val="-2"/>
          <w:sz w:val="24"/>
          <w:szCs w:val="24"/>
        </w:rPr>
        <w:t>植被生态环境现状调查与评价</w:t>
      </w:r>
    </w:p>
    <w:p w14:paraId="1BB359CB">
      <w:pPr>
        <w:pStyle w:val="2"/>
        <w:spacing w:line="280" w:lineRule="auto"/>
      </w:pPr>
    </w:p>
    <w:p w14:paraId="0BEE7C13">
      <w:pPr>
        <w:spacing w:before="78" w:line="377" w:lineRule="auto"/>
        <w:ind w:left="74" w:right="136" w:firstLine="478"/>
        <w:rPr>
          <w:rFonts w:ascii="宋体" w:hAnsi="宋体" w:eastAsia="宋体" w:cs="宋体"/>
          <w:sz w:val="24"/>
          <w:szCs w:val="24"/>
        </w:rPr>
      </w:pPr>
      <w:r>
        <w:rPr>
          <w:rFonts w:ascii="宋体" w:hAnsi="宋体" w:eastAsia="宋体" w:cs="宋体"/>
          <w:spacing w:val="2"/>
          <w:sz w:val="24"/>
          <w:szCs w:val="24"/>
        </w:rPr>
        <w:t>本项目位于汕尾市天磊联信种养有限公司，根据现场勘查，项目周边环境主要</w:t>
      </w:r>
      <w:r>
        <w:rPr>
          <w:rFonts w:ascii="宋体" w:hAnsi="宋体" w:eastAsia="宋体" w:cs="宋体"/>
          <w:spacing w:val="9"/>
          <w:sz w:val="24"/>
          <w:szCs w:val="24"/>
        </w:rPr>
        <w:t xml:space="preserve"> </w:t>
      </w:r>
      <w:r>
        <w:rPr>
          <w:rFonts w:ascii="宋体" w:hAnsi="宋体" w:eastAsia="宋体" w:cs="宋体"/>
          <w:spacing w:val="-1"/>
          <w:sz w:val="24"/>
          <w:szCs w:val="24"/>
        </w:rPr>
        <w:t>为农田、山地、鱼塘、及村庄等。</w:t>
      </w:r>
    </w:p>
    <w:p w14:paraId="6209C110">
      <w:pPr>
        <w:spacing w:line="220" w:lineRule="auto"/>
        <w:ind w:left="550"/>
        <w:rPr>
          <w:rFonts w:ascii="宋体" w:hAnsi="宋体" w:eastAsia="宋体" w:cs="宋体"/>
          <w:sz w:val="24"/>
          <w:szCs w:val="24"/>
        </w:rPr>
      </w:pPr>
      <w:r>
        <w:rPr>
          <w:rFonts w:ascii="宋体" w:hAnsi="宋体" w:eastAsia="宋体" w:cs="宋体"/>
          <w:spacing w:val="2"/>
          <w:sz w:val="24"/>
          <w:szCs w:val="24"/>
        </w:rPr>
        <w:t>海丰县公平镇县地处亚热带南缘季风过渡地带，地带性植被类型仍为热带季雨</w:t>
      </w:r>
    </w:p>
    <w:p w14:paraId="6D238130">
      <w:pPr>
        <w:spacing w:line="220" w:lineRule="auto"/>
        <w:rPr>
          <w:rFonts w:ascii="宋体" w:hAnsi="宋体" w:eastAsia="宋体" w:cs="宋体"/>
          <w:sz w:val="24"/>
          <w:szCs w:val="24"/>
        </w:rPr>
        <w:sectPr>
          <w:footerReference r:id="rId115" w:type="default"/>
          <w:pgSz w:w="11906" w:h="16839"/>
          <w:pgMar w:top="400" w:right="1451" w:bottom="1485" w:left="1526" w:header="0" w:footer="1249" w:gutter="0"/>
          <w:cols w:space="720" w:num="1"/>
        </w:sectPr>
      </w:pPr>
    </w:p>
    <w:p w14:paraId="2F4CD416">
      <w:pPr>
        <w:pStyle w:val="2"/>
        <w:spacing w:line="255" w:lineRule="auto"/>
      </w:pPr>
    </w:p>
    <w:p w14:paraId="12D826AB">
      <w:pPr>
        <w:pStyle w:val="2"/>
        <w:spacing w:line="256" w:lineRule="auto"/>
      </w:pPr>
    </w:p>
    <w:p w14:paraId="249A74FE">
      <w:pPr>
        <w:pStyle w:val="2"/>
        <w:spacing w:line="256" w:lineRule="auto"/>
      </w:pPr>
    </w:p>
    <w:p w14:paraId="0000DA83">
      <w:pPr>
        <w:pStyle w:val="2"/>
        <w:spacing w:line="256" w:lineRule="auto"/>
      </w:pPr>
    </w:p>
    <w:p w14:paraId="072FCC5C">
      <w:pPr>
        <w:spacing w:before="78" w:line="363" w:lineRule="auto"/>
        <w:ind w:left="5" w:hanging="1"/>
        <w:rPr>
          <w:rFonts w:ascii="宋体" w:hAnsi="宋体" w:eastAsia="宋体" w:cs="宋体"/>
          <w:sz w:val="24"/>
          <w:szCs w:val="24"/>
        </w:rPr>
      </w:pPr>
      <w:r>
        <w:rPr>
          <w:rFonts w:ascii="宋体" w:hAnsi="宋体" w:eastAsia="宋体" w:cs="宋体"/>
          <w:spacing w:val="3"/>
          <w:sz w:val="24"/>
          <w:szCs w:val="24"/>
        </w:rPr>
        <w:t>林型的常绿季雨林，组成种类丰富，主要由樟科、大戟科（</w:t>
      </w:r>
      <w:r>
        <w:rPr>
          <w:rFonts w:ascii="Times New Roman" w:hAnsi="Times New Roman" w:eastAsia="Times New Roman" w:cs="Times New Roman"/>
          <w:sz w:val="24"/>
          <w:szCs w:val="24"/>
        </w:rPr>
        <w:t>Euphorbiaceae</w:t>
      </w:r>
      <w:r>
        <w:rPr>
          <w:rFonts w:ascii="宋体" w:hAnsi="宋体" w:eastAsia="宋体" w:cs="宋体"/>
          <w:spacing w:val="3"/>
          <w:sz w:val="24"/>
          <w:szCs w:val="24"/>
        </w:rPr>
        <w:t>）、桃金</w:t>
      </w:r>
      <w:r>
        <w:rPr>
          <w:rFonts w:ascii="宋体" w:hAnsi="宋体" w:eastAsia="宋体" w:cs="宋体"/>
          <w:spacing w:val="6"/>
          <w:sz w:val="24"/>
          <w:szCs w:val="24"/>
        </w:rPr>
        <w:t xml:space="preserve"> </w:t>
      </w:r>
      <w:r>
        <w:rPr>
          <w:rFonts w:ascii="宋体" w:hAnsi="宋体" w:eastAsia="宋体" w:cs="宋体"/>
          <w:spacing w:val="-5"/>
          <w:sz w:val="24"/>
          <w:szCs w:val="24"/>
        </w:rPr>
        <w:t>娘科（</w:t>
      </w:r>
      <w:r>
        <w:rPr>
          <w:rFonts w:ascii="Times New Roman" w:hAnsi="Times New Roman" w:eastAsia="Times New Roman" w:cs="Times New Roman"/>
          <w:spacing w:val="-5"/>
          <w:sz w:val="24"/>
          <w:szCs w:val="24"/>
        </w:rPr>
        <w:t>Myrtaceae</w:t>
      </w:r>
      <w:r>
        <w:rPr>
          <w:rFonts w:ascii="宋体" w:hAnsi="宋体" w:eastAsia="宋体" w:cs="宋体"/>
          <w:spacing w:val="-5"/>
          <w:sz w:val="24"/>
          <w:szCs w:val="24"/>
        </w:rPr>
        <w:t>）、山龙眼科（</w:t>
      </w:r>
      <w:r>
        <w:rPr>
          <w:rFonts w:ascii="Times New Roman" w:hAnsi="Times New Roman" w:eastAsia="Times New Roman" w:cs="Times New Roman"/>
          <w:spacing w:val="-5"/>
          <w:sz w:val="24"/>
          <w:szCs w:val="24"/>
        </w:rPr>
        <w:t>Proteaceae</w:t>
      </w:r>
      <w:r>
        <w:rPr>
          <w:rFonts w:ascii="宋体" w:hAnsi="宋体" w:eastAsia="宋体" w:cs="宋体"/>
          <w:spacing w:val="-5"/>
          <w:sz w:val="24"/>
          <w:szCs w:val="24"/>
        </w:rPr>
        <w:t>）、杜英科（</w:t>
      </w:r>
      <w:r>
        <w:rPr>
          <w:rFonts w:ascii="Times New Roman" w:hAnsi="Times New Roman" w:eastAsia="Times New Roman" w:cs="Times New Roman"/>
          <w:spacing w:val="-5"/>
          <w:sz w:val="24"/>
          <w:szCs w:val="24"/>
        </w:rPr>
        <w:t>Elaeocarpaceae</w:t>
      </w:r>
      <w:r>
        <w:rPr>
          <w:rFonts w:ascii="宋体" w:hAnsi="宋体" w:eastAsia="宋体" w:cs="宋体"/>
          <w:spacing w:val="-5"/>
          <w:sz w:val="24"/>
          <w:szCs w:val="24"/>
        </w:rPr>
        <w:t>）的树种组成。</w:t>
      </w:r>
    </w:p>
    <w:p w14:paraId="5B395A7B">
      <w:pPr>
        <w:spacing w:before="69" w:line="377" w:lineRule="auto"/>
        <w:ind w:left="3" w:right="81" w:firstLine="483"/>
        <w:jc w:val="both"/>
        <w:rPr>
          <w:rFonts w:ascii="宋体" w:hAnsi="宋体" w:eastAsia="宋体" w:cs="宋体"/>
          <w:sz w:val="24"/>
          <w:szCs w:val="24"/>
        </w:rPr>
      </w:pPr>
      <w:r>
        <w:rPr>
          <w:rFonts w:ascii="宋体" w:hAnsi="宋体" w:eastAsia="宋体" w:cs="宋体"/>
          <w:spacing w:val="2"/>
          <w:sz w:val="24"/>
          <w:szCs w:val="24"/>
        </w:rPr>
        <w:t>项目所在区域处于北回归线以南，雨热同期，夏长冬暖，具有南亚热带季风雨</w:t>
      </w:r>
      <w:r>
        <w:rPr>
          <w:rFonts w:ascii="宋体" w:hAnsi="宋体" w:eastAsia="宋体" w:cs="宋体"/>
          <w:spacing w:val="6"/>
          <w:sz w:val="24"/>
          <w:szCs w:val="24"/>
        </w:rPr>
        <w:t xml:space="preserve"> </w:t>
      </w:r>
      <w:r>
        <w:rPr>
          <w:rFonts w:ascii="宋体" w:hAnsi="宋体" w:eastAsia="宋体" w:cs="宋体"/>
          <w:spacing w:val="1"/>
          <w:sz w:val="24"/>
          <w:szCs w:val="24"/>
        </w:rPr>
        <w:t>林区植被的特点，除个别高山地带外，</w:t>
      </w:r>
      <w:r>
        <w:rPr>
          <w:rFonts w:ascii="宋体" w:hAnsi="宋体" w:eastAsia="宋体" w:cs="宋体"/>
          <w:spacing w:val="-64"/>
          <w:sz w:val="24"/>
          <w:szCs w:val="24"/>
        </w:rPr>
        <w:t xml:space="preserve"> </w:t>
      </w:r>
      <w:r>
        <w:rPr>
          <w:rFonts w:ascii="宋体" w:hAnsi="宋体" w:eastAsia="宋体" w:cs="宋体"/>
          <w:spacing w:val="1"/>
          <w:sz w:val="24"/>
          <w:szCs w:val="24"/>
        </w:rPr>
        <w:t>目前自然原</w:t>
      </w:r>
      <w:r>
        <w:rPr>
          <w:rFonts w:ascii="宋体" w:hAnsi="宋体" w:eastAsia="宋体" w:cs="宋体"/>
          <w:sz w:val="24"/>
          <w:szCs w:val="24"/>
        </w:rPr>
        <w:t>生植物群已不存在，人工营造的 针、阔叶混交林及经济林成为植被的主体，大部分丘陵山</w:t>
      </w:r>
      <w:r>
        <w:rPr>
          <w:rFonts w:ascii="宋体" w:hAnsi="宋体" w:eastAsia="宋体" w:cs="宋体"/>
          <w:spacing w:val="-1"/>
          <w:sz w:val="24"/>
          <w:szCs w:val="24"/>
        </w:rPr>
        <w:t>地为人工林和灌丛草被。</w:t>
      </w:r>
    </w:p>
    <w:p w14:paraId="430D5C89">
      <w:pPr>
        <w:spacing w:before="293"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4.6.3</w:t>
      </w:r>
      <w:r>
        <w:rPr>
          <w:rFonts w:ascii="宋体" w:hAnsi="宋体" w:eastAsia="宋体" w:cs="宋体"/>
          <w:b/>
          <w:bCs/>
          <w:spacing w:val="-2"/>
          <w:sz w:val="24"/>
          <w:szCs w:val="24"/>
        </w:rPr>
        <w:t>主要的植被群落类型</w:t>
      </w:r>
    </w:p>
    <w:p w14:paraId="0C423335">
      <w:pPr>
        <w:pStyle w:val="2"/>
        <w:spacing w:line="281" w:lineRule="auto"/>
      </w:pPr>
    </w:p>
    <w:p w14:paraId="58334F03">
      <w:pPr>
        <w:spacing w:before="78" w:line="369" w:lineRule="auto"/>
        <w:ind w:left="2" w:right="81" w:firstLine="480"/>
        <w:jc w:val="both"/>
        <w:rPr>
          <w:rFonts w:ascii="宋体" w:hAnsi="宋体" w:eastAsia="宋体" w:cs="宋体"/>
          <w:sz w:val="24"/>
          <w:szCs w:val="24"/>
        </w:rPr>
      </w:pPr>
      <w:r>
        <w:rPr>
          <w:rFonts w:ascii="宋体" w:hAnsi="宋体" w:eastAsia="宋体" w:cs="宋体"/>
          <w:spacing w:val="2"/>
          <w:sz w:val="24"/>
          <w:szCs w:val="24"/>
        </w:rPr>
        <w:t>根据现场踏查，评价范围内植被受人为活动干扰现象严重，地带性南亚热带常</w:t>
      </w:r>
      <w:r>
        <w:rPr>
          <w:rFonts w:ascii="宋体" w:hAnsi="宋体" w:eastAsia="宋体" w:cs="宋体"/>
          <w:spacing w:val="10"/>
          <w:sz w:val="24"/>
          <w:szCs w:val="24"/>
        </w:rPr>
        <w:t xml:space="preserve"> </w:t>
      </w:r>
      <w:r>
        <w:rPr>
          <w:rFonts w:ascii="宋体" w:hAnsi="宋体" w:eastAsia="宋体" w:cs="宋体"/>
          <w:spacing w:val="2"/>
          <w:sz w:val="24"/>
          <w:szCs w:val="24"/>
        </w:rPr>
        <w:t>绿阔叶林存量较少，大部分为以松、杉、桉树为优势种的人工林，群落结构较为简</w:t>
      </w:r>
      <w:r>
        <w:rPr>
          <w:rFonts w:ascii="宋体" w:hAnsi="宋体" w:eastAsia="宋体" w:cs="宋体"/>
          <w:spacing w:val="7"/>
          <w:sz w:val="24"/>
          <w:szCs w:val="24"/>
        </w:rPr>
        <w:t xml:space="preserve"> </w:t>
      </w:r>
      <w:r>
        <w:rPr>
          <w:rFonts w:ascii="宋体" w:hAnsi="宋体" w:eastAsia="宋体" w:cs="宋体"/>
          <w:spacing w:val="2"/>
          <w:sz w:val="24"/>
          <w:szCs w:val="24"/>
        </w:rPr>
        <w:t>单。此外是农田、果树和瓜菜农作物。根据植物群落外貌、组成结构生境的原则，</w:t>
      </w:r>
      <w:r>
        <w:rPr>
          <w:rFonts w:ascii="宋体" w:hAnsi="宋体" w:eastAsia="宋体" w:cs="宋体"/>
          <w:spacing w:val="7"/>
          <w:sz w:val="24"/>
          <w:szCs w:val="24"/>
        </w:rPr>
        <w:t xml:space="preserve"> </w:t>
      </w:r>
      <w:r>
        <w:rPr>
          <w:rFonts w:ascii="宋体" w:hAnsi="宋体" w:eastAsia="宋体" w:cs="宋体"/>
          <w:spacing w:val="-1"/>
          <w:sz w:val="24"/>
          <w:szCs w:val="24"/>
        </w:rPr>
        <w:t>评价范围内植被划分下列若干群落：</w:t>
      </w:r>
    </w:p>
    <w:p w14:paraId="32F4129C">
      <w:pPr>
        <w:spacing w:line="360" w:lineRule="exact"/>
        <w:ind w:left="49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）农田菜地群落</w:t>
      </w:r>
    </w:p>
    <w:p w14:paraId="74AABA81">
      <w:pPr>
        <w:spacing w:before="165" w:line="369" w:lineRule="auto"/>
        <w:ind w:left="4" w:firstLine="479"/>
        <w:rPr>
          <w:rFonts w:ascii="宋体" w:hAnsi="宋体" w:eastAsia="宋体" w:cs="宋体"/>
          <w:sz w:val="24"/>
          <w:szCs w:val="24"/>
        </w:rPr>
      </w:pPr>
      <w:r>
        <w:rPr>
          <w:rFonts w:ascii="宋体" w:hAnsi="宋体" w:eastAsia="宋体" w:cs="宋体"/>
          <w:spacing w:val="-2"/>
          <w:sz w:val="24"/>
          <w:szCs w:val="24"/>
        </w:rPr>
        <w:t>农田菜地群落的植物种类主要由十字花科和葫芦科组</w:t>
      </w:r>
      <w:r>
        <w:rPr>
          <w:rFonts w:ascii="宋体" w:hAnsi="宋体" w:eastAsia="宋体" w:cs="宋体"/>
          <w:spacing w:val="-3"/>
          <w:sz w:val="24"/>
          <w:szCs w:val="24"/>
        </w:rPr>
        <w:t>成，有水稻、白菜、青菜、</w:t>
      </w:r>
      <w:r>
        <w:rPr>
          <w:rFonts w:ascii="宋体" w:hAnsi="宋体" w:eastAsia="宋体" w:cs="宋体"/>
          <w:sz w:val="24"/>
          <w:szCs w:val="24"/>
        </w:rPr>
        <w:t xml:space="preserve"> 芥菜、花椰菜、椰菜、菜心、黄芽白、西洋菜</w:t>
      </w:r>
      <w:r>
        <w:rPr>
          <w:rFonts w:ascii="宋体" w:hAnsi="宋体" w:eastAsia="宋体" w:cs="宋体"/>
          <w:spacing w:val="-1"/>
          <w:sz w:val="24"/>
          <w:szCs w:val="24"/>
        </w:rPr>
        <w:t>、萝 卜、冬瓜、节瓜、黄瓜、丝瓜、</w:t>
      </w:r>
      <w:r>
        <w:rPr>
          <w:rFonts w:ascii="宋体" w:hAnsi="宋体" w:eastAsia="宋体" w:cs="宋体"/>
          <w:sz w:val="24"/>
          <w:szCs w:val="24"/>
        </w:rPr>
        <w:t xml:space="preserve"> </w:t>
      </w:r>
      <w:r>
        <w:rPr>
          <w:rFonts w:ascii="宋体" w:hAnsi="宋体" w:eastAsia="宋体" w:cs="宋体"/>
          <w:spacing w:val="-2"/>
          <w:sz w:val="24"/>
          <w:szCs w:val="24"/>
        </w:rPr>
        <w:t>苦瓜等。该群落是典型的人工影响群落，生物多样性指数较低，</w:t>
      </w:r>
      <w:r>
        <w:rPr>
          <w:rFonts w:ascii="宋体" w:hAnsi="宋体" w:eastAsia="宋体" w:cs="宋体"/>
          <w:spacing w:val="-3"/>
          <w:sz w:val="24"/>
          <w:szCs w:val="24"/>
        </w:rPr>
        <w:t>群落结构极不完整，</w:t>
      </w:r>
      <w:r>
        <w:rPr>
          <w:rFonts w:ascii="宋体" w:hAnsi="宋体" w:eastAsia="宋体" w:cs="宋体"/>
          <w:sz w:val="24"/>
          <w:szCs w:val="24"/>
        </w:rPr>
        <w:t xml:space="preserve"> </w:t>
      </w:r>
      <w:r>
        <w:rPr>
          <w:rFonts w:ascii="宋体" w:hAnsi="宋体" w:eastAsia="宋体" w:cs="宋体"/>
          <w:spacing w:val="-2"/>
          <w:sz w:val="24"/>
          <w:szCs w:val="24"/>
        </w:rPr>
        <w:t>发育不平衡。</w:t>
      </w:r>
    </w:p>
    <w:p w14:paraId="40E04198">
      <w:pPr>
        <w:spacing w:line="360" w:lineRule="exact"/>
        <w:ind w:left="49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）乔木群落</w:t>
      </w:r>
    </w:p>
    <w:p w14:paraId="4215F355">
      <w:pPr>
        <w:spacing w:before="165" w:line="363" w:lineRule="auto"/>
        <w:ind w:left="4" w:right="81" w:firstLine="480"/>
        <w:rPr>
          <w:rFonts w:ascii="宋体" w:hAnsi="宋体" w:eastAsia="宋体" w:cs="宋体"/>
          <w:sz w:val="24"/>
          <w:szCs w:val="24"/>
        </w:rPr>
      </w:pPr>
      <w:r>
        <w:rPr>
          <w:rFonts w:ascii="宋体" w:hAnsi="宋体" w:eastAsia="宋体" w:cs="宋体"/>
          <w:spacing w:val="2"/>
          <w:sz w:val="24"/>
          <w:szCs w:val="24"/>
        </w:rPr>
        <w:t>本项目区周边林地覆盖有小片的桉树林、马尾松、杉木等。桉树、马尾松和杉</w:t>
      </w:r>
      <w:r>
        <w:rPr>
          <w:rFonts w:ascii="宋体" w:hAnsi="宋体" w:eastAsia="宋体" w:cs="宋体"/>
          <w:spacing w:val="9"/>
          <w:sz w:val="24"/>
          <w:szCs w:val="24"/>
        </w:rPr>
        <w:t xml:space="preserve"> </w:t>
      </w:r>
      <w:r>
        <w:rPr>
          <w:rFonts w:ascii="宋体" w:hAnsi="宋体" w:eastAsia="宋体" w:cs="宋体"/>
          <w:spacing w:val="-1"/>
          <w:sz w:val="24"/>
          <w:szCs w:val="24"/>
        </w:rPr>
        <w:t>木均为优势种，常伴生有湿地松、鸭脚木、野漆、锥栗，山油柑等。</w:t>
      </w:r>
    </w:p>
    <w:p w14:paraId="681858E4">
      <w:pPr>
        <w:spacing w:line="360" w:lineRule="exact"/>
        <w:ind w:left="49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）灌草群落</w:t>
      </w:r>
    </w:p>
    <w:p w14:paraId="0BD5FC51">
      <w:pPr>
        <w:spacing w:before="126" w:line="374" w:lineRule="auto"/>
        <w:ind w:left="30" w:firstLine="456"/>
        <w:rPr>
          <w:rFonts w:ascii="宋体" w:hAnsi="宋体" w:eastAsia="宋体" w:cs="宋体"/>
          <w:sz w:val="24"/>
          <w:szCs w:val="24"/>
        </w:rPr>
      </w:pPr>
      <w:r>
        <w:rPr>
          <w:rFonts w:ascii="宋体" w:hAnsi="宋体" w:eastAsia="宋体" w:cs="宋体"/>
          <w:spacing w:val="-10"/>
          <w:sz w:val="24"/>
          <w:szCs w:val="24"/>
        </w:rPr>
        <w:t xml:space="preserve">项目周边灌木主要为芒箕草、海金沙、桃金娘等。群落覆盖度 </w:t>
      </w:r>
      <w:r>
        <w:rPr>
          <w:rFonts w:ascii="Times New Roman" w:hAnsi="Times New Roman" w:eastAsia="Times New Roman" w:cs="Times New Roman"/>
          <w:spacing w:val="-10"/>
          <w:sz w:val="24"/>
          <w:szCs w:val="24"/>
        </w:rPr>
        <w:t>85%</w:t>
      </w:r>
      <w:r>
        <w:rPr>
          <w:rFonts w:ascii="宋体" w:hAnsi="宋体" w:eastAsia="宋体" w:cs="宋体"/>
          <w:spacing w:val="-10"/>
          <w:sz w:val="24"/>
          <w:szCs w:val="24"/>
        </w:rPr>
        <w:t xml:space="preserve">，高 </w:t>
      </w:r>
      <w:r>
        <w:rPr>
          <w:rFonts w:ascii="Times New Roman" w:hAnsi="Times New Roman" w:eastAsia="Times New Roman" w:cs="Times New Roman"/>
          <w:spacing w:val="-10"/>
          <w:sz w:val="24"/>
          <w:szCs w:val="24"/>
        </w:rPr>
        <w:t>0.6-0.8m</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2"/>
          <w:sz w:val="24"/>
          <w:szCs w:val="24"/>
        </w:rPr>
        <w:t xml:space="preserve">以桃金娘、岗松为优势种。草本层覆盖度 </w:t>
      </w:r>
      <w:r>
        <w:rPr>
          <w:rFonts w:ascii="Times New Roman" w:hAnsi="Times New Roman" w:eastAsia="Times New Roman" w:cs="Times New Roman"/>
          <w:spacing w:val="-2"/>
          <w:sz w:val="24"/>
          <w:szCs w:val="24"/>
        </w:rPr>
        <w:t>70%</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，以芒箕为草本层优势种。</w:t>
      </w:r>
    </w:p>
    <w:p w14:paraId="2F3F53DD">
      <w:pPr>
        <w:spacing w:before="8" w:line="360" w:lineRule="exact"/>
        <w:ind w:left="49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4</w:t>
      </w:r>
      <w:r>
        <w:rPr>
          <w:rFonts w:ascii="宋体" w:hAnsi="宋体" w:eastAsia="宋体" w:cs="宋体"/>
          <w:spacing w:val="-3"/>
          <w:position w:val="2"/>
          <w:sz w:val="24"/>
          <w:szCs w:val="24"/>
        </w:rPr>
        <w:t>）荒草群落</w:t>
      </w:r>
    </w:p>
    <w:p w14:paraId="1EDBAF38">
      <w:pPr>
        <w:spacing w:before="165" w:line="362" w:lineRule="auto"/>
        <w:ind w:left="3" w:right="81" w:firstLine="479"/>
        <w:rPr>
          <w:rFonts w:ascii="宋体" w:hAnsi="宋体" w:eastAsia="宋体" w:cs="宋体"/>
          <w:sz w:val="24"/>
          <w:szCs w:val="24"/>
        </w:rPr>
      </w:pPr>
      <w:r>
        <w:rPr>
          <w:rFonts w:ascii="宋体" w:hAnsi="宋体" w:eastAsia="宋体" w:cs="宋体"/>
          <w:spacing w:val="2"/>
          <w:sz w:val="24"/>
          <w:szCs w:val="24"/>
        </w:rPr>
        <w:t>评价范围内有零星分布的小块闲置地，仅生长芳草植物，分布类芦、芒草、铺</w:t>
      </w:r>
      <w:r>
        <w:rPr>
          <w:rFonts w:ascii="宋体" w:hAnsi="宋体" w:eastAsia="宋体" w:cs="宋体"/>
          <w:spacing w:val="11"/>
          <w:sz w:val="24"/>
          <w:szCs w:val="24"/>
        </w:rPr>
        <w:t xml:space="preserve"> </w:t>
      </w:r>
      <w:r>
        <w:rPr>
          <w:rFonts w:ascii="宋体" w:hAnsi="宋体" w:eastAsia="宋体" w:cs="宋体"/>
          <w:spacing w:val="-1"/>
          <w:sz w:val="24"/>
          <w:szCs w:val="24"/>
        </w:rPr>
        <w:t>地黍、野香茅等多种荒草植物。</w:t>
      </w:r>
    </w:p>
    <w:p w14:paraId="2184BF24">
      <w:pPr>
        <w:spacing w:line="360" w:lineRule="exact"/>
        <w:ind w:left="487"/>
        <w:rPr>
          <w:rFonts w:ascii="宋体" w:hAnsi="宋体" w:eastAsia="宋体" w:cs="宋体"/>
          <w:sz w:val="24"/>
          <w:szCs w:val="24"/>
        </w:rPr>
      </w:pPr>
      <w:r>
        <w:rPr>
          <w:rFonts w:ascii="宋体" w:hAnsi="宋体" w:eastAsia="宋体" w:cs="宋体"/>
          <w:spacing w:val="-1"/>
          <w:position w:val="2"/>
          <w:sz w:val="24"/>
          <w:szCs w:val="24"/>
        </w:rPr>
        <w:t xml:space="preserve">项目区及周边各植物群落的现状图片见图 </w:t>
      </w:r>
      <w:r>
        <w:rPr>
          <w:rFonts w:ascii="Times New Roman" w:hAnsi="Times New Roman" w:eastAsia="Times New Roman" w:cs="Times New Roman"/>
          <w:spacing w:val="-1"/>
          <w:position w:val="2"/>
          <w:sz w:val="24"/>
          <w:szCs w:val="24"/>
        </w:rPr>
        <w:t>4.7-1</w:t>
      </w:r>
      <w:r>
        <w:rPr>
          <w:rFonts w:ascii="宋体" w:hAnsi="宋体" w:eastAsia="宋体" w:cs="宋体"/>
          <w:spacing w:val="-1"/>
          <w:position w:val="2"/>
          <w:sz w:val="24"/>
          <w:szCs w:val="24"/>
        </w:rPr>
        <w:t>。</w:t>
      </w:r>
    </w:p>
    <w:p w14:paraId="27CAF03B">
      <w:pPr>
        <w:spacing w:line="360" w:lineRule="exact"/>
        <w:rPr>
          <w:rFonts w:ascii="宋体" w:hAnsi="宋体" w:eastAsia="宋体" w:cs="宋体"/>
          <w:sz w:val="24"/>
          <w:szCs w:val="24"/>
        </w:rPr>
        <w:sectPr>
          <w:footerReference r:id="rId116" w:type="default"/>
          <w:pgSz w:w="11906" w:h="16839"/>
          <w:pgMar w:top="400" w:right="1507" w:bottom="1485" w:left="1594" w:header="0" w:footer="1249" w:gutter="0"/>
          <w:cols w:space="720" w:num="1"/>
        </w:sectPr>
      </w:pPr>
    </w:p>
    <w:p w14:paraId="035BC1A9">
      <w:pPr>
        <w:pStyle w:val="2"/>
        <w:spacing w:line="273" w:lineRule="auto"/>
      </w:pPr>
    </w:p>
    <w:p w14:paraId="310DF962">
      <w:pPr>
        <w:pStyle w:val="2"/>
        <w:spacing w:line="274" w:lineRule="auto"/>
      </w:pPr>
    </w:p>
    <w:p w14:paraId="15FE4C5D">
      <w:pPr>
        <w:pStyle w:val="2"/>
        <w:spacing w:line="274" w:lineRule="auto"/>
      </w:pPr>
    </w:p>
    <w:p w14:paraId="1B57C78E">
      <w:pPr>
        <w:pStyle w:val="2"/>
        <w:spacing w:line="274" w:lineRule="auto"/>
      </w:pPr>
    </w:p>
    <w:p w14:paraId="618BEDB7">
      <w:pPr>
        <w:spacing w:before="78" w:line="219"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4.6.4</w:t>
      </w:r>
      <w:r>
        <w:rPr>
          <w:rFonts w:ascii="宋体" w:hAnsi="宋体" w:eastAsia="宋体" w:cs="宋体"/>
          <w:b/>
          <w:bCs/>
          <w:spacing w:val="-2"/>
          <w:sz w:val="24"/>
          <w:szCs w:val="24"/>
        </w:rPr>
        <w:t>植被生态现状评价</w:t>
      </w:r>
    </w:p>
    <w:p w14:paraId="1989C042">
      <w:pPr>
        <w:pStyle w:val="2"/>
        <w:spacing w:line="281" w:lineRule="auto"/>
      </w:pPr>
    </w:p>
    <w:p w14:paraId="3E7BDB02">
      <w:pPr>
        <w:spacing w:before="78" w:line="377" w:lineRule="auto"/>
        <w:ind w:left="124" w:right="113" w:firstLine="479"/>
        <w:jc w:val="both"/>
        <w:rPr>
          <w:rFonts w:ascii="宋体" w:hAnsi="宋体" w:eastAsia="宋体" w:cs="宋体"/>
          <w:sz w:val="24"/>
          <w:szCs w:val="24"/>
        </w:rPr>
      </w:pPr>
      <w:r>
        <w:rPr>
          <w:rFonts w:ascii="宋体" w:hAnsi="宋体" w:eastAsia="宋体" w:cs="宋体"/>
          <w:spacing w:val="2"/>
          <w:sz w:val="24"/>
          <w:szCs w:val="24"/>
        </w:rPr>
        <w:t>本项目评价范围内的植物以蔬菜作物、果树为主，附近林地田边分布有小片的</w:t>
      </w:r>
      <w:r>
        <w:rPr>
          <w:rFonts w:ascii="宋体" w:hAnsi="宋体" w:eastAsia="宋体" w:cs="宋体"/>
          <w:spacing w:val="9"/>
          <w:sz w:val="24"/>
          <w:szCs w:val="24"/>
        </w:rPr>
        <w:t xml:space="preserve"> </w:t>
      </w:r>
      <w:r>
        <w:rPr>
          <w:rFonts w:ascii="宋体" w:hAnsi="宋体" w:eastAsia="宋体" w:cs="宋体"/>
          <w:spacing w:val="2"/>
          <w:sz w:val="24"/>
          <w:szCs w:val="24"/>
        </w:rPr>
        <w:t>荒草群落和乔、灌木群落。植被结构一般，且大部分为人工种植的，其结构和群落</w:t>
      </w:r>
      <w:r>
        <w:rPr>
          <w:rFonts w:ascii="宋体" w:hAnsi="宋体" w:eastAsia="宋体" w:cs="宋体"/>
          <w:spacing w:val="4"/>
          <w:sz w:val="24"/>
          <w:szCs w:val="24"/>
        </w:rPr>
        <w:t xml:space="preserve"> </w:t>
      </w:r>
      <w:r>
        <w:rPr>
          <w:rFonts w:ascii="宋体" w:hAnsi="宋体" w:eastAsia="宋体" w:cs="宋体"/>
          <w:spacing w:val="2"/>
          <w:sz w:val="24"/>
          <w:szCs w:val="24"/>
        </w:rPr>
        <w:t>内的物种量的生态效应较低。整体而言，评价区内总体上群落的生长量不大，植被</w:t>
      </w:r>
      <w:r>
        <w:rPr>
          <w:rFonts w:ascii="宋体" w:hAnsi="宋体" w:eastAsia="宋体" w:cs="宋体"/>
          <w:spacing w:val="4"/>
          <w:sz w:val="24"/>
          <w:szCs w:val="24"/>
        </w:rPr>
        <w:t xml:space="preserve"> </w:t>
      </w:r>
      <w:r>
        <w:rPr>
          <w:rFonts w:ascii="宋体" w:hAnsi="宋体" w:eastAsia="宋体" w:cs="宋体"/>
          <w:sz w:val="24"/>
          <w:szCs w:val="24"/>
        </w:rPr>
        <w:t>主要半自然人工林为主，大量的芒草及灌草</w:t>
      </w:r>
      <w:r>
        <w:rPr>
          <w:rFonts w:ascii="宋体" w:hAnsi="宋体" w:eastAsia="宋体" w:cs="宋体"/>
          <w:spacing w:val="-1"/>
          <w:sz w:val="24"/>
          <w:szCs w:val="24"/>
        </w:rPr>
        <w:t>丛，植被生态环境质量一般。</w:t>
      </w:r>
    </w:p>
    <w:p w14:paraId="00217FC5">
      <w:pPr>
        <w:spacing w:before="293" w:line="220"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4.6.5</w:t>
      </w:r>
      <w:r>
        <w:rPr>
          <w:rFonts w:ascii="宋体" w:hAnsi="宋体" w:eastAsia="宋体" w:cs="宋体"/>
          <w:b/>
          <w:bCs/>
          <w:spacing w:val="-2"/>
          <w:sz w:val="24"/>
          <w:szCs w:val="24"/>
        </w:rPr>
        <w:t>陆生动物现状调查与分析</w:t>
      </w:r>
    </w:p>
    <w:p w14:paraId="3091CFA6">
      <w:pPr>
        <w:pStyle w:val="2"/>
        <w:spacing w:line="278" w:lineRule="auto"/>
      </w:pPr>
    </w:p>
    <w:p w14:paraId="6F08B332">
      <w:pPr>
        <w:spacing w:before="78" w:line="377" w:lineRule="auto"/>
        <w:ind w:left="124" w:right="170" w:firstLine="480"/>
        <w:rPr>
          <w:rFonts w:ascii="宋体" w:hAnsi="宋体" w:eastAsia="宋体" w:cs="宋体"/>
          <w:sz w:val="24"/>
          <w:szCs w:val="24"/>
        </w:rPr>
      </w:pPr>
      <w:r>
        <w:rPr>
          <w:rFonts w:ascii="宋体" w:hAnsi="宋体" w:eastAsia="宋体" w:cs="宋体"/>
          <w:spacing w:val="1"/>
          <w:sz w:val="24"/>
          <w:szCs w:val="24"/>
        </w:rPr>
        <w:t>经过现场调查，在生态现状评价范围内未发</w:t>
      </w:r>
      <w:r>
        <w:rPr>
          <w:rFonts w:ascii="宋体" w:hAnsi="宋体" w:eastAsia="宋体" w:cs="宋体"/>
          <w:sz w:val="24"/>
          <w:szCs w:val="24"/>
        </w:rPr>
        <w:t xml:space="preserve">现有国家保护的珍稀、濒危动物， </w:t>
      </w:r>
      <w:r>
        <w:rPr>
          <w:rFonts w:ascii="宋体" w:hAnsi="宋体" w:eastAsia="宋体" w:cs="宋体"/>
          <w:spacing w:val="-2"/>
          <w:sz w:val="24"/>
          <w:szCs w:val="24"/>
        </w:rPr>
        <w:t>现有动物均为常见动物。</w:t>
      </w:r>
    </w:p>
    <w:p w14:paraId="3824065D">
      <w:pPr>
        <w:spacing w:before="6" w:line="376" w:lineRule="auto"/>
        <w:ind w:left="122" w:right="28" w:firstLine="479"/>
        <w:jc w:val="both"/>
        <w:rPr>
          <w:rFonts w:ascii="宋体" w:hAnsi="宋体" w:eastAsia="宋体" w:cs="宋体"/>
          <w:sz w:val="24"/>
          <w:szCs w:val="24"/>
        </w:rPr>
      </w:pPr>
      <w:r>
        <w:rPr>
          <w:rFonts w:ascii="宋体" w:hAnsi="宋体" w:eastAsia="宋体" w:cs="宋体"/>
          <w:spacing w:val="2"/>
          <w:sz w:val="24"/>
          <w:szCs w:val="24"/>
        </w:rPr>
        <w:t>评价区域范围内主要为低山、丘陵，动物以稀疏林地、灌草丛活动的类群为主</w:t>
      </w:r>
      <w:r>
        <w:rPr>
          <w:rFonts w:ascii="宋体" w:hAnsi="宋体" w:eastAsia="宋体" w:cs="宋体"/>
          <w:spacing w:val="11"/>
          <w:sz w:val="24"/>
          <w:szCs w:val="24"/>
        </w:rPr>
        <w:t xml:space="preserve"> </w:t>
      </w:r>
      <w:r>
        <w:rPr>
          <w:rFonts w:ascii="宋体" w:hAnsi="宋体" w:eastAsia="宋体" w:cs="宋体"/>
          <w:spacing w:val="1"/>
          <w:sz w:val="24"/>
          <w:szCs w:val="24"/>
        </w:rPr>
        <w:t>体，</w:t>
      </w:r>
      <w:r>
        <w:rPr>
          <w:rFonts w:ascii="宋体" w:hAnsi="宋体" w:eastAsia="宋体" w:cs="宋体"/>
          <w:spacing w:val="-64"/>
          <w:sz w:val="24"/>
          <w:szCs w:val="24"/>
        </w:rPr>
        <w:t xml:space="preserve"> </w:t>
      </w:r>
      <w:r>
        <w:rPr>
          <w:rFonts w:ascii="宋体" w:hAnsi="宋体" w:eastAsia="宋体" w:cs="宋体"/>
          <w:spacing w:val="1"/>
          <w:sz w:val="24"/>
          <w:szCs w:val="24"/>
        </w:rPr>
        <w:t>目前该地区常见的野生动物主要有哺乳类动物</w:t>
      </w:r>
      <w:r>
        <w:rPr>
          <w:rFonts w:ascii="宋体" w:hAnsi="宋体" w:eastAsia="宋体" w:cs="宋体"/>
          <w:sz w:val="24"/>
          <w:szCs w:val="24"/>
        </w:rPr>
        <w:t xml:space="preserve">如褐家鼠、猪灌、蝙蝠；鸟类池 </w:t>
      </w:r>
      <w:r>
        <w:rPr>
          <w:rFonts w:ascii="宋体" w:hAnsi="宋体" w:eastAsia="宋体" w:cs="宋体"/>
          <w:spacing w:val="-2"/>
          <w:sz w:val="24"/>
          <w:szCs w:val="24"/>
        </w:rPr>
        <w:t>鹭、鹧鸪、燕子、杜鹃、林鹰、翠鸟、喜鹊、画眉、山树莺；爬行类石龙子、</w:t>
      </w:r>
      <w:r>
        <w:rPr>
          <w:rFonts w:ascii="宋体" w:hAnsi="宋体" w:eastAsia="宋体" w:cs="宋体"/>
          <w:spacing w:val="-3"/>
          <w:sz w:val="24"/>
          <w:szCs w:val="24"/>
        </w:rPr>
        <w:t>草晰、</w:t>
      </w:r>
      <w:r>
        <w:rPr>
          <w:rFonts w:ascii="宋体" w:hAnsi="宋体" w:eastAsia="宋体" w:cs="宋体"/>
          <w:sz w:val="24"/>
          <w:szCs w:val="24"/>
        </w:rPr>
        <w:t xml:space="preserve"> </w:t>
      </w:r>
      <w:r>
        <w:rPr>
          <w:rFonts w:ascii="宋体" w:hAnsi="宋体" w:eastAsia="宋体" w:cs="宋体"/>
          <w:spacing w:val="-2"/>
          <w:sz w:val="24"/>
          <w:szCs w:val="24"/>
        </w:rPr>
        <w:t>赤练蛇、红点锦蛇、乌梢蛇、三索蛇；两栖类蟾蜍、树蛙、姬蛙等。此外还有</w:t>
      </w:r>
      <w:r>
        <w:rPr>
          <w:rFonts w:ascii="宋体" w:hAnsi="宋体" w:eastAsia="宋体" w:cs="宋体"/>
          <w:spacing w:val="-3"/>
          <w:sz w:val="24"/>
          <w:szCs w:val="24"/>
        </w:rPr>
        <w:t>蚂蚁、</w:t>
      </w:r>
      <w:r>
        <w:rPr>
          <w:rFonts w:ascii="宋体" w:hAnsi="宋体" w:eastAsia="宋体" w:cs="宋体"/>
          <w:sz w:val="24"/>
          <w:szCs w:val="24"/>
        </w:rPr>
        <w:t xml:space="preserve"> </w:t>
      </w:r>
      <w:r>
        <w:rPr>
          <w:rFonts w:ascii="宋体" w:hAnsi="宋体" w:eastAsia="宋体" w:cs="宋体"/>
          <w:spacing w:val="-1"/>
          <w:sz w:val="24"/>
          <w:szCs w:val="24"/>
        </w:rPr>
        <w:t>蜂、蝴蝶、蜻蜓、蚱蜢、螳螂等昆虫。</w:t>
      </w:r>
    </w:p>
    <w:p w14:paraId="50161148">
      <w:pPr>
        <w:spacing w:before="292" w:line="222" w:lineRule="auto"/>
        <w:ind w:left="119"/>
        <w:outlineLvl w:val="2"/>
        <w:rPr>
          <w:rFonts w:ascii="宋体" w:hAnsi="宋体" w:eastAsia="宋体" w:cs="宋体"/>
          <w:sz w:val="24"/>
          <w:szCs w:val="24"/>
        </w:rPr>
      </w:pPr>
      <w:r>
        <w:rPr>
          <w:rFonts w:ascii="Times New Roman" w:hAnsi="Times New Roman" w:eastAsia="Times New Roman" w:cs="Times New Roman"/>
          <w:b/>
          <w:bCs/>
          <w:spacing w:val="-2"/>
          <w:sz w:val="24"/>
          <w:szCs w:val="24"/>
        </w:rPr>
        <w:t>4.6.6</w:t>
      </w:r>
      <w:r>
        <w:rPr>
          <w:rFonts w:ascii="宋体" w:hAnsi="宋体" w:eastAsia="宋体" w:cs="宋体"/>
          <w:b/>
          <w:bCs/>
          <w:spacing w:val="-2"/>
          <w:sz w:val="24"/>
          <w:szCs w:val="24"/>
        </w:rPr>
        <w:t>小结</w:t>
      </w:r>
    </w:p>
    <w:p w14:paraId="66982736">
      <w:pPr>
        <w:pStyle w:val="2"/>
        <w:spacing w:line="278" w:lineRule="auto"/>
      </w:pPr>
    </w:p>
    <w:p w14:paraId="4350699F">
      <w:pPr>
        <w:spacing w:before="78" w:line="344" w:lineRule="auto"/>
        <w:ind w:left="122" w:right="113" w:firstLine="483"/>
        <w:jc w:val="both"/>
        <w:rPr>
          <w:rFonts w:ascii="宋体" w:hAnsi="宋体" w:eastAsia="宋体" w:cs="宋体"/>
          <w:sz w:val="24"/>
          <w:szCs w:val="24"/>
        </w:rPr>
      </w:pPr>
      <w:r>
        <w:rPr>
          <w:rFonts w:ascii="宋体" w:hAnsi="宋体" w:eastAsia="宋体" w:cs="宋体"/>
          <w:spacing w:val="2"/>
          <w:sz w:val="24"/>
          <w:szCs w:val="24"/>
        </w:rPr>
        <w:t>综上所述，项目所在区域地表植被以次生林地、果林、灌草地等为主。整体而</w:t>
      </w:r>
      <w:r>
        <w:rPr>
          <w:rFonts w:ascii="宋体" w:hAnsi="宋体" w:eastAsia="宋体" w:cs="宋体"/>
          <w:spacing w:val="7"/>
          <w:sz w:val="24"/>
          <w:szCs w:val="24"/>
        </w:rPr>
        <w:t xml:space="preserve"> </w:t>
      </w:r>
      <w:r>
        <w:rPr>
          <w:rFonts w:ascii="宋体" w:hAnsi="宋体" w:eastAsia="宋体" w:cs="宋体"/>
          <w:spacing w:val="2"/>
          <w:sz w:val="24"/>
          <w:szCs w:val="24"/>
        </w:rPr>
        <w:t>言，本区植被主要半自然人工林为主，大量的芒草及灌草丛，植被生态环境质量一</w:t>
      </w:r>
      <w:r>
        <w:rPr>
          <w:rFonts w:ascii="宋体" w:hAnsi="宋体" w:eastAsia="宋体" w:cs="宋体"/>
          <w:spacing w:val="7"/>
          <w:sz w:val="24"/>
          <w:szCs w:val="24"/>
        </w:rPr>
        <w:t xml:space="preserve"> </w:t>
      </w:r>
      <w:r>
        <w:rPr>
          <w:rFonts w:ascii="宋体" w:hAnsi="宋体" w:eastAsia="宋体" w:cs="宋体"/>
          <w:spacing w:val="-1"/>
          <w:sz w:val="24"/>
          <w:szCs w:val="24"/>
        </w:rPr>
        <w:t>般。评价区内没有发现国家保护动植物。</w:t>
      </w: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75"/>
        <w:gridCol w:w="4475"/>
      </w:tblGrid>
      <w:tr w14:paraId="17674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3" w:hRule="atLeast"/>
        </w:trPr>
        <w:tc>
          <w:tcPr>
            <w:tcW w:w="4475" w:type="dxa"/>
            <w:vAlign w:val="top"/>
          </w:tcPr>
          <w:p w14:paraId="634F2074">
            <w:pPr>
              <w:spacing w:before="96" w:line="3401" w:lineRule="exact"/>
              <w:ind w:firstLine="137"/>
            </w:pPr>
            <w:r>
              <w:rPr>
                <w:position w:val="-68"/>
              </w:rPr>
              <w:drawing>
                <wp:inline distT="0" distB="0" distL="0" distR="0">
                  <wp:extent cx="2750820" cy="21590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22"/>
                          <a:stretch>
                            <a:fillRect/>
                          </a:stretch>
                        </pic:blipFill>
                        <pic:spPr>
                          <a:xfrm>
                            <a:off x="0" y="0"/>
                            <a:ext cx="2751201" cy="2159507"/>
                          </a:xfrm>
                          <a:prstGeom prst="rect">
                            <a:avLst/>
                          </a:prstGeom>
                        </pic:spPr>
                      </pic:pic>
                    </a:graphicData>
                  </a:graphic>
                </wp:inline>
              </w:drawing>
            </w:r>
          </w:p>
        </w:tc>
        <w:tc>
          <w:tcPr>
            <w:tcW w:w="4475" w:type="dxa"/>
            <w:vAlign w:val="top"/>
          </w:tcPr>
          <w:p w14:paraId="1535C2DF">
            <w:pPr>
              <w:spacing w:before="96" w:line="3401" w:lineRule="exact"/>
              <w:ind w:firstLine="135"/>
            </w:pPr>
            <w:r>
              <w:rPr>
                <w:position w:val="-68"/>
              </w:rPr>
              <w:drawing>
                <wp:inline distT="0" distB="0" distL="0" distR="0">
                  <wp:extent cx="2752090" cy="21590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23"/>
                          <a:stretch>
                            <a:fillRect/>
                          </a:stretch>
                        </pic:blipFill>
                        <pic:spPr>
                          <a:xfrm>
                            <a:off x="0" y="0"/>
                            <a:ext cx="2752090" cy="2159507"/>
                          </a:xfrm>
                          <a:prstGeom prst="rect">
                            <a:avLst/>
                          </a:prstGeom>
                        </pic:spPr>
                      </pic:pic>
                    </a:graphicData>
                  </a:graphic>
                </wp:inline>
              </w:drawing>
            </w:r>
          </w:p>
        </w:tc>
      </w:tr>
    </w:tbl>
    <w:p w14:paraId="4F6C0939">
      <w:pPr>
        <w:pStyle w:val="2"/>
      </w:pPr>
    </w:p>
    <w:p w14:paraId="59A10208">
      <w:pPr>
        <w:sectPr>
          <w:footerReference r:id="rId117" w:type="default"/>
          <w:pgSz w:w="11906" w:h="16839"/>
          <w:pgMar w:top="400" w:right="1475" w:bottom="1485" w:left="1475" w:header="0" w:footer="1249" w:gutter="0"/>
          <w:cols w:space="720" w:num="1"/>
        </w:sectPr>
      </w:pPr>
    </w:p>
    <w:p w14:paraId="2BAA9A7F">
      <w:pPr>
        <w:spacing w:before="13"/>
      </w:pPr>
    </w:p>
    <w:p w14:paraId="661B36A6">
      <w:pPr>
        <w:spacing w:before="13"/>
      </w:pPr>
    </w:p>
    <w:p w14:paraId="7FC1DF2D">
      <w:pPr>
        <w:spacing w:before="13"/>
      </w:pPr>
    </w:p>
    <w:p w14:paraId="3637FD6C">
      <w:pPr>
        <w:spacing w:before="13"/>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75"/>
        <w:gridCol w:w="4475"/>
      </w:tblGrid>
      <w:tr w14:paraId="551D6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5" w:hRule="atLeast"/>
        </w:trPr>
        <w:tc>
          <w:tcPr>
            <w:tcW w:w="4475" w:type="dxa"/>
            <w:vAlign w:val="top"/>
          </w:tcPr>
          <w:p w14:paraId="02FDF817">
            <w:pPr>
              <w:spacing w:before="96" w:line="3400" w:lineRule="exact"/>
              <w:ind w:firstLine="137"/>
            </w:pPr>
            <w:r>
              <w:rPr>
                <w:position w:val="-68"/>
              </w:rPr>
              <w:drawing>
                <wp:inline distT="0" distB="0" distL="0" distR="0">
                  <wp:extent cx="2750820" cy="21590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24"/>
                          <a:stretch>
                            <a:fillRect/>
                          </a:stretch>
                        </pic:blipFill>
                        <pic:spPr>
                          <a:xfrm>
                            <a:off x="0" y="0"/>
                            <a:ext cx="2751201" cy="2159507"/>
                          </a:xfrm>
                          <a:prstGeom prst="rect">
                            <a:avLst/>
                          </a:prstGeom>
                        </pic:spPr>
                      </pic:pic>
                    </a:graphicData>
                  </a:graphic>
                </wp:inline>
              </w:drawing>
            </w:r>
          </w:p>
        </w:tc>
        <w:tc>
          <w:tcPr>
            <w:tcW w:w="4475" w:type="dxa"/>
            <w:vAlign w:val="top"/>
          </w:tcPr>
          <w:p w14:paraId="25554986">
            <w:pPr>
              <w:spacing w:before="96" w:line="3400" w:lineRule="exact"/>
              <w:ind w:firstLine="135"/>
            </w:pPr>
            <w:r>
              <w:rPr>
                <w:position w:val="-68"/>
              </w:rPr>
              <w:drawing>
                <wp:inline distT="0" distB="0" distL="0" distR="0">
                  <wp:extent cx="2752090" cy="21590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25"/>
                          <a:stretch>
                            <a:fillRect/>
                          </a:stretch>
                        </pic:blipFill>
                        <pic:spPr>
                          <a:xfrm>
                            <a:off x="0" y="0"/>
                            <a:ext cx="2752090" cy="2159507"/>
                          </a:xfrm>
                          <a:prstGeom prst="rect">
                            <a:avLst/>
                          </a:prstGeom>
                        </pic:spPr>
                      </pic:pic>
                    </a:graphicData>
                  </a:graphic>
                </wp:inline>
              </w:drawing>
            </w:r>
          </w:p>
        </w:tc>
      </w:tr>
    </w:tbl>
    <w:p w14:paraId="335D3F3B">
      <w:pPr>
        <w:spacing w:before="125" w:line="220" w:lineRule="auto"/>
        <w:ind w:left="2700"/>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3"/>
          <w:sz w:val="24"/>
          <w:szCs w:val="24"/>
        </w:rPr>
        <w:t xml:space="preserve"> </w:t>
      </w:r>
      <w:r>
        <w:rPr>
          <w:rFonts w:ascii="Times New Roman" w:hAnsi="Times New Roman" w:eastAsia="Times New Roman" w:cs="Times New Roman"/>
          <w:b/>
          <w:bCs/>
          <w:spacing w:val="-3"/>
          <w:sz w:val="24"/>
          <w:szCs w:val="24"/>
        </w:rPr>
        <w:t xml:space="preserve">4.7-1  </w:t>
      </w:r>
      <w:r>
        <w:rPr>
          <w:rFonts w:ascii="宋体" w:hAnsi="宋体" w:eastAsia="宋体" w:cs="宋体"/>
          <w:b/>
          <w:bCs/>
          <w:spacing w:val="-3"/>
          <w:sz w:val="24"/>
          <w:szCs w:val="24"/>
        </w:rPr>
        <w:t>项目周边各植物群落现状图片</w:t>
      </w:r>
    </w:p>
    <w:p w14:paraId="2D71BCC7">
      <w:pPr>
        <w:spacing w:line="220" w:lineRule="auto"/>
        <w:rPr>
          <w:rFonts w:ascii="宋体" w:hAnsi="宋体" w:eastAsia="宋体" w:cs="宋体"/>
          <w:sz w:val="24"/>
          <w:szCs w:val="24"/>
        </w:rPr>
        <w:sectPr>
          <w:footerReference r:id="rId118" w:type="default"/>
          <w:pgSz w:w="11906" w:h="16839"/>
          <w:pgMar w:top="400" w:right="1475" w:bottom="1485" w:left="1475" w:header="0" w:footer="1249" w:gutter="0"/>
          <w:cols w:space="720" w:num="1"/>
        </w:sectPr>
      </w:pPr>
    </w:p>
    <w:p w14:paraId="620D77AB">
      <w:pPr>
        <w:pStyle w:val="2"/>
        <w:spacing w:line="267" w:lineRule="auto"/>
      </w:pPr>
    </w:p>
    <w:p w14:paraId="2E3E1F77">
      <w:pPr>
        <w:pStyle w:val="2"/>
        <w:spacing w:line="268" w:lineRule="auto"/>
      </w:pPr>
    </w:p>
    <w:p w14:paraId="6E8137A7">
      <w:pPr>
        <w:pStyle w:val="2"/>
        <w:spacing w:line="268" w:lineRule="auto"/>
      </w:pPr>
    </w:p>
    <w:p w14:paraId="35001DB4">
      <w:pPr>
        <w:pStyle w:val="2"/>
        <w:spacing w:line="268" w:lineRule="auto"/>
      </w:pPr>
    </w:p>
    <w:p w14:paraId="06159FA0">
      <w:pPr>
        <w:pStyle w:val="2"/>
        <w:spacing w:line="268" w:lineRule="auto"/>
      </w:pPr>
    </w:p>
    <w:p w14:paraId="6D388D2C">
      <w:pPr>
        <w:spacing w:before="139" w:line="637" w:lineRule="exact"/>
        <w:ind w:left="2407"/>
        <w:outlineLvl w:val="0"/>
        <w:rPr>
          <w:rFonts w:ascii="黑体" w:hAnsi="黑体" w:eastAsia="黑体" w:cs="黑体"/>
          <w:sz w:val="43"/>
          <w:szCs w:val="43"/>
        </w:rPr>
      </w:pPr>
      <w:bookmarkStart w:id="33" w:name="bookmark30"/>
      <w:bookmarkEnd w:id="33"/>
      <w:bookmarkStart w:id="34" w:name="bookmark31"/>
      <w:bookmarkEnd w:id="34"/>
      <w:r>
        <w:rPr>
          <w:rFonts w:ascii="Calibri" w:hAnsi="Calibri" w:eastAsia="Calibri" w:cs="Calibri"/>
          <w:spacing w:val="7"/>
          <w:position w:val="4"/>
          <w:sz w:val="43"/>
          <w:szCs w:val="43"/>
        </w:rPr>
        <w:t>5</w:t>
      </w:r>
      <w:r>
        <w:rPr>
          <w:rFonts w:ascii="黑体" w:hAnsi="黑体" w:eastAsia="黑体" w:cs="黑体"/>
          <w:spacing w:val="7"/>
          <w:position w:val="4"/>
          <w:sz w:val="43"/>
          <w:szCs w:val="43"/>
        </w:rPr>
        <w:t>环境影响预测与评价</w:t>
      </w:r>
    </w:p>
    <w:p w14:paraId="72F847D1">
      <w:pPr>
        <w:pStyle w:val="2"/>
        <w:spacing w:line="414" w:lineRule="auto"/>
      </w:pPr>
    </w:p>
    <w:p w14:paraId="7F722058">
      <w:pPr>
        <w:spacing w:before="100" w:line="226" w:lineRule="auto"/>
        <w:ind w:left="124"/>
        <w:outlineLvl w:val="1"/>
        <w:rPr>
          <w:rFonts w:ascii="宋体" w:hAnsi="宋体" w:eastAsia="宋体" w:cs="宋体"/>
          <w:sz w:val="31"/>
          <w:szCs w:val="31"/>
        </w:rPr>
      </w:pPr>
      <w:bookmarkStart w:id="35" w:name="bookmark61"/>
      <w:bookmarkEnd w:id="35"/>
      <w:r>
        <w:rPr>
          <w:rFonts w:ascii="Times New Roman" w:hAnsi="Times New Roman" w:eastAsia="Times New Roman" w:cs="Times New Roman"/>
          <w:b/>
          <w:bCs/>
          <w:spacing w:val="5"/>
          <w:sz w:val="31"/>
          <w:szCs w:val="31"/>
        </w:rPr>
        <w:t>5.1</w:t>
      </w:r>
      <w:r>
        <w:rPr>
          <w:rFonts w:ascii="宋体" w:hAnsi="宋体" w:eastAsia="宋体" w:cs="宋体"/>
          <w:b/>
          <w:bCs/>
          <w:spacing w:val="5"/>
          <w:sz w:val="31"/>
          <w:szCs w:val="31"/>
        </w:rPr>
        <w:t>施工期环境影响分析</w:t>
      </w:r>
    </w:p>
    <w:p w14:paraId="62FC8AC0">
      <w:pPr>
        <w:pStyle w:val="2"/>
        <w:spacing w:line="409" w:lineRule="auto"/>
      </w:pPr>
    </w:p>
    <w:p w14:paraId="55C627F1">
      <w:pPr>
        <w:spacing w:before="78" w:line="377" w:lineRule="auto"/>
        <w:ind w:left="125" w:right="113" w:firstLine="478"/>
        <w:jc w:val="both"/>
        <w:rPr>
          <w:rFonts w:ascii="宋体" w:hAnsi="宋体" w:eastAsia="宋体" w:cs="宋体"/>
          <w:sz w:val="24"/>
          <w:szCs w:val="24"/>
        </w:rPr>
      </w:pPr>
      <w:r>
        <w:rPr>
          <w:rFonts w:ascii="宋体" w:hAnsi="宋体" w:eastAsia="宋体" w:cs="宋体"/>
          <w:spacing w:val="2"/>
          <w:sz w:val="24"/>
          <w:szCs w:val="24"/>
        </w:rPr>
        <w:t>本项目建设期为</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个月，项目在建设期间，各项施工活</w:t>
      </w:r>
      <w:r>
        <w:rPr>
          <w:rFonts w:ascii="宋体" w:hAnsi="宋体" w:eastAsia="宋体" w:cs="宋体"/>
          <w:spacing w:val="1"/>
          <w:sz w:val="24"/>
          <w:szCs w:val="24"/>
        </w:rPr>
        <w:t>动不可避免的将会对周</w:t>
      </w:r>
      <w:r>
        <w:rPr>
          <w:rFonts w:ascii="宋体" w:hAnsi="宋体" w:eastAsia="宋体" w:cs="宋体"/>
          <w:sz w:val="24"/>
          <w:szCs w:val="24"/>
        </w:rPr>
        <w:t xml:space="preserve"> </w:t>
      </w:r>
      <w:r>
        <w:rPr>
          <w:rFonts w:ascii="宋体" w:hAnsi="宋体" w:eastAsia="宋体" w:cs="宋体"/>
          <w:spacing w:val="2"/>
          <w:sz w:val="24"/>
          <w:szCs w:val="24"/>
        </w:rPr>
        <w:t>围环境造成一定的污染影响。施工期环境影响因素主要有生态破坏、施工扬尘、施</w:t>
      </w:r>
      <w:r>
        <w:rPr>
          <w:rFonts w:ascii="宋体" w:hAnsi="宋体" w:eastAsia="宋体" w:cs="宋体"/>
          <w:spacing w:val="3"/>
          <w:sz w:val="24"/>
          <w:szCs w:val="24"/>
        </w:rPr>
        <w:t xml:space="preserve"> </w:t>
      </w:r>
      <w:r>
        <w:rPr>
          <w:rFonts w:ascii="宋体" w:hAnsi="宋体" w:eastAsia="宋体" w:cs="宋体"/>
          <w:spacing w:val="-1"/>
          <w:sz w:val="24"/>
          <w:szCs w:val="24"/>
        </w:rPr>
        <w:t>工噪声、施工废水和施工固体废物。</w:t>
      </w:r>
    </w:p>
    <w:p w14:paraId="54FFA22D">
      <w:pPr>
        <w:spacing w:before="293" w:line="221" w:lineRule="auto"/>
        <w:ind w:left="121"/>
        <w:outlineLvl w:val="2"/>
        <w:rPr>
          <w:rFonts w:ascii="宋体" w:hAnsi="宋体" w:eastAsia="宋体" w:cs="宋体"/>
          <w:sz w:val="24"/>
          <w:szCs w:val="24"/>
        </w:rPr>
      </w:pPr>
      <w:r>
        <w:rPr>
          <w:rFonts w:ascii="Times New Roman" w:hAnsi="Times New Roman" w:eastAsia="Times New Roman" w:cs="Times New Roman"/>
          <w:b/>
          <w:bCs/>
          <w:spacing w:val="-2"/>
          <w:sz w:val="24"/>
          <w:szCs w:val="24"/>
        </w:rPr>
        <w:t>5.1.1</w:t>
      </w:r>
      <w:r>
        <w:rPr>
          <w:rFonts w:ascii="宋体" w:hAnsi="宋体" w:eastAsia="宋体" w:cs="宋体"/>
          <w:b/>
          <w:bCs/>
          <w:spacing w:val="-2"/>
          <w:sz w:val="24"/>
          <w:szCs w:val="24"/>
        </w:rPr>
        <w:t>施工期大气环境影响分析</w:t>
      </w:r>
    </w:p>
    <w:p w14:paraId="256499CC">
      <w:pPr>
        <w:pStyle w:val="2"/>
        <w:spacing w:line="279" w:lineRule="auto"/>
      </w:pPr>
    </w:p>
    <w:p w14:paraId="0A649762">
      <w:pPr>
        <w:spacing w:before="78" w:line="362" w:lineRule="auto"/>
        <w:ind w:left="123" w:right="32" w:firstLine="479"/>
        <w:rPr>
          <w:rFonts w:ascii="宋体" w:hAnsi="宋体" w:eastAsia="宋体" w:cs="宋体"/>
          <w:sz w:val="24"/>
          <w:szCs w:val="24"/>
        </w:rPr>
      </w:pPr>
      <w:r>
        <w:rPr>
          <w:rFonts w:ascii="宋体" w:hAnsi="宋体" w:eastAsia="宋体" w:cs="宋体"/>
          <w:spacing w:val="-2"/>
          <w:sz w:val="24"/>
          <w:szCs w:val="24"/>
        </w:rPr>
        <w:t>本项目施工期主要大气污染物包括施工扬尘、施工机</w:t>
      </w:r>
      <w:r>
        <w:rPr>
          <w:rFonts w:ascii="宋体" w:hAnsi="宋体" w:eastAsia="宋体" w:cs="宋体"/>
          <w:spacing w:val="-3"/>
          <w:sz w:val="24"/>
          <w:szCs w:val="24"/>
        </w:rPr>
        <w:t>械和运输车辆产生的废气。</w:t>
      </w:r>
      <w:r>
        <w:rPr>
          <w:rFonts w:ascii="宋体" w:hAnsi="宋体" w:eastAsia="宋体" w:cs="宋体"/>
          <w:sz w:val="24"/>
          <w:szCs w:val="24"/>
        </w:rPr>
        <w:t xml:space="preserve"> </w:t>
      </w:r>
      <w:r>
        <w:rPr>
          <w:rFonts w:ascii="宋体" w:hAnsi="宋体" w:eastAsia="宋体" w:cs="宋体"/>
          <w:spacing w:val="-1"/>
          <w:sz w:val="24"/>
          <w:szCs w:val="24"/>
        </w:rPr>
        <w:t>其中最为突出的污染是施工扬尘。</w:t>
      </w:r>
    </w:p>
    <w:p w14:paraId="1649711E">
      <w:pPr>
        <w:spacing w:line="363" w:lineRule="exact"/>
        <w:ind w:left="621"/>
        <w:rPr>
          <w:rFonts w:ascii="宋体" w:hAnsi="宋体" w:eastAsia="宋体" w:cs="宋体"/>
          <w:sz w:val="24"/>
          <w:szCs w:val="24"/>
        </w:rPr>
      </w:pPr>
      <w:r>
        <w:rPr>
          <w:rFonts w:ascii="Times New Roman" w:hAnsi="Times New Roman" w:eastAsia="Times New Roman" w:cs="Times New Roman"/>
          <w:spacing w:val="-10"/>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10"/>
          <w:position w:val="2"/>
          <w:sz w:val="24"/>
          <w:szCs w:val="24"/>
        </w:rPr>
        <w:t>、施工扬尘</w:t>
      </w:r>
    </w:p>
    <w:p w14:paraId="76680651">
      <w:pPr>
        <w:spacing w:before="164" w:line="369" w:lineRule="auto"/>
        <w:ind w:left="122" w:right="113" w:firstLine="479"/>
        <w:rPr>
          <w:rFonts w:ascii="宋体" w:hAnsi="宋体" w:eastAsia="宋体" w:cs="宋体"/>
          <w:sz w:val="24"/>
          <w:szCs w:val="24"/>
        </w:rPr>
      </w:pPr>
      <w:r>
        <w:rPr>
          <w:rFonts w:ascii="宋体" w:hAnsi="宋体" w:eastAsia="宋体" w:cs="宋体"/>
          <w:spacing w:val="2"/>
          <w:sz w:val="24"/>
          <w:szCs w:val="24"/>
        </w:rPr>
        <w:t>施工扬尘是施工过程主要的大气污染源，主要来源于施工现场和施工过程中散</w:t>
      </w:r>
      <w:r>
        <w:rPr>
          <w:rFonts w:ascii="宋体" w:hAnsi="宋体" w:eastAsia="宋体" w:cs="宋体"/>
          <w:spacing w:val="11"/>
          <w:sz w:val="24"/>
          <w:szCs w:val="24"/>
        </w:rPr>
        <w:t xml:space="preserve"> </w:t>
      </w:r>
      <w:r>
        <w:rPr>
          <w:rFonts w:ascii="宋体" w:hAnsi="宋体" w:eastAsia="宋体" w:cs="宋体"/>
          <w:spacing w:val="2"/>
          <w:sz w:val="24"/>
          <w:szCs w:val="24"/>
        </w:rPr>
        <w:t>装粉状物料的堆放、施工场地地面裸露产生的大量堆土扬尘；运输车辆和施工机械</w:t>
      </w:r>
      <w:r>
        <w:rPr>
          <w:rFonts w:ascii="宋体" w:hAnsi="宋体" w:eastAsia="宋体" w:cs="宋体"/>
          <w:spacing w:val="6"/>
          <w:sz w:val="24"/>
          <w:szCs w:val="24"/>
        </w:rPr>
        <w:t xml:space="preserve"> </w:t>
      </w:r>
      <w:r>
        <w:rPr>
          <w:rFonts w:ascii="宋体" w:hAnsi="宋体" w:eastAsia="宋体" w:cs="宋体"/>
          <w:spacing w:val="2"/>
          <w:sz w:val="24"/>
          <w:szCs w:val="24"/>
        </w:rPr>
        <w:t>行驶过程中车轮与路面摩擦导致积尘飞扬产生的大量道路运输扬尘；车辆装载的土</w:t>
      </w:r>
      <w:r>
        <w:rPr>
          <w:rFonts w:ascii="宋体" w:hAnsi="宋体" w:eastAsia="宋体" w:cs="宋体"/>
          <w:spacing w:val="6"/>
          <w:sz w:val="24"/>
          <w:szCs w:val="24"/>
        </w:rPr>
        <w:t xml:space="preserve"> </w:t>
      </w:r>
      <w:r>
        <w:rPr>
          <w:rFonts w:ascii="宋体" w:hAnsi="宋体" w:eastAsia="宋体" w:cs="宋体"/>
          <w:sz w:val="24"/>
          <w:szCs w:val="24"/>
        </w:rPr>
        <w:t>料、散装的建筑材料在运输和装卸过程中飘洒、</w:t>
      </w:r>
      <w:r>
        <w:rPr>
          <w:rFonts w:ascii="宋体" w:hAnsi="宋体" w:eastAsia="宋体" w:cs="宋体"/>
          <w:spacing w:val="-1"/>
          <w:sz w:val="24"/>
          <w:szCs w:val="24"/>
        </w:rPr>
        <w:t>散落、飞扬增加的扬尘。</w:t>
      </w:r>
    </w:p>
    <w:p w14:paraId="3E8F7233">
      <w:pPr>
        <w:spacing w:before="3" w:line="388" w:lineRule="auto"/>
        <w:ind w:left="124" w:right="29" w:firstLine="507"/>
        <w:jc w:val="both"/>
        <w:rPr>
          <w:rFonts w:ascii="宋体" w:hAnsi="宋体" w:eastAsia="宋体" w:cs="宋体"/>
          <w:sz w:val="24"/>
          <w:szCs w:val="24"/>
        </w:rPr>
      </w:pPr>
      <w:r>
        <w:rPr>
          <w:rFonts w:ascii="宋体" w:hAnsi="宋体" w:eastAsia="宋体" w:cs="宋体"/>
          <w:spacing w:val="-5"/>
          <w:sz w:val="24"/>
          <w:szCs w:val="24"/>
        </w:rPr>
        <w:t>由</w:t>
      </w:r>
      <w:r>
        <w:rPr>
          <w:rFonts w:ascii="Times New Roman" w:hAnsi="Times New Roman" w:eastAsia="Times New Roman" w:cs="Times New Roman"/>
          <w:spacing w:val="-5"/>
          <w:sz w:val="24"/>
          <w:szCs w:val="24"/>
        </w:rPr>
        <w:t>“</w:t>
      </w:r>
      <w:r>
        <w:rPr>
          <w:rFonts w:ascii="宋体" w:hAnsi="宋体" w:eastAsia="宋体" w:cs="宋体"/>
          <w:spacing w:val="-5"/>
          <w:sz w:val="24"/>
          <w:szCs w:val="24"/>
        </w:rPr>
        <w:t>施工期大气污染源分析</w:t>
      </w:r>
      <w:r>
        <w:rPr>
          <w:rFonts w:ascii="Times New Roman" w:hAnsi="Times New Roman" w:eastAsia="Times New Roman" w:cs="Times New Roman"/>
          <w:spacing w:val="-5"/>
          <w:sz w:val="24"/>
          <w:szCs w:val="24"/>
        </w:rPr>
        <w:t>”</w:t>
      </w:r>
      <w:r>
        <w:rPr>
          <w:rFonts w:ascii="宋体" w:hAnsi="宋体" w:eastAsia="宋体" w:cs="宋体"/>
          <w:spacing w:val="-5"/>
          <w:sz w:val="24"/>
          <w:szCs w:val="24"/>
        </w:rPr>
        <w:t>可知，本项目施工现场</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PM</w:t>
      </w:r>
      <w:r>
        <w:rPr>
          <w:rFonts w:ascii="Times New Roman" w:hAnsi="Times New Roman" w:eastAsia="Times New Roman" w:cs="Times New Roman"/>
          <w:spacing w:val="-5"/>
          <w:position w:val="-1"/>
          <w:sz w:val="15"/>
          <w:szCs w:val="15"/>
        </w:rPr>
        <w:t>10</w:t>
      </w:r>
      <w:r>
        <w:rPr>
          <w:rFonts w:ascii="Times New Roman" w:hAnsi="Times New Roman" w:eastAsia="Times New Roman" w:cs="Times New Roman"/>
          <w:spacing w:val="29"/>
          <w:w w:val="101"/>
          <w:position w:val="-1"/>
          <w:sz w:val="15"/>
          <w:szCs w:val="15"/>
        </w:rPr>
        <w:t xml:space="preserve"> </w:t>
      </w:r>
      <w:r>
        <w:rPr>
          <w:rFonts w:ascii="宋体" w:hAnsi="宋体" w:eastAsia="宋体" w:cs="宋体"/>
          <w:spacing w:val="-5"/>
          <w:sz w:val="24"/>
          <w:szCs w:val="24"/>
        </w:rPr>
        <w:t>的产生源强为</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14.4kg/d</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
          <w:sz w:val="24"/>
          <w:szCs w:val="24"/>
        </w:rPr>
        <w:t>尘粒在空气中的传播扩散情况与尘粒本身的沉降速度有关。以沙尘为例，不同粒径</w:t>
      </w:r>
      <w:r>
        <w:rPr>
          <w:rFonts w:ascii="宋体" w:hAnsi="宋体" w:eastAsia="宋体" w:cs="宋体"/>
          <w:spacing w:val="4"/>
          <w:sz w:val="24"/>
          <w:szCs w:val="24"/>
        </w:rPr>
        <w:t xml:space="preserve"> </w:t>
      </w:r>
      <w:r>
        <w:rPr>
          <w:rFonts w:ascii="宋体" w:hAnsi="宋体" w:eastAsia="宋体" w:cs="宋体"/>
          <w:spacing w:val="-2"/>
          <w:sz w:val="24"/>
          <w:szCs w:val="24"/>
        </w:rPr>
        <w:t>的尘粒的沉降速度见表</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5.1-1</w:t>
      </w:r>
      <w:r>
        <w:rPr>
          <w:rFonts w:ascii="宋体" w:hAnsi="宋体" w:eastAsia="宋体" w:cs="宋体"/>
          <w:spacing w:val="-2"/>
          <w:sz w:val="24"/>
          <w:szCs w:val="24"/>
        </w:rPr>
        <w:t>。</w:t>
      </w:r>
    </w:p>
    <w:p w14:paraId="4D1219BB">
      <w:pPr>
        <w:spacing w:line="221" w:lineRule="auto"/>
        <w:ind w:left="2559"/>
        <w:rPr>
          <w:rFonts w:ascii="Times New Roman" w:hAnsi="Times New Roman" w:eastAsia="Times New Roman" w:cs="Times New Roman"/>
          <w:sz w:val="13"/>
          <w:szCs w:val="13"/>
        </w:rPr>
      </w:pPr>
      <w:r>
        <w:rPr>
          <w:rFonts w:ascii="宋体" w:hAnsi="宋体" w:eastAsia="宋体" w:cs="宋体"/>
          <w:b/>
          <w:bCs/>
          <w:spacing w:val="7"/>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7"/>
          <w:sz w:val="20"/>
          <w:szCs w:val="20"/>
        </w:rPr>
        <w:t xml:space="preserve">5.1-1 </w:t>
      </w:r>
      <w:r>
        <w:rPr>
          <w:rFonts w:ascii="宋体" w:hAnsi="宋体" w:eastAsia="宋体" w:cs="宋体"/>
          <w:b/>
          <w:bCs/>
          <w:spacing w:val="7"/>
          <w:sz w:val="20"/>
          <w:szCs w:val="20"/>
        </w:rPr>
        <w:t>不同粒径尘粒的沉降速度单</w:t>
      </w:r>
      <w:r>
        <w:rPr>
          <w:rFonts w:ascii="宋体" w:hAnsi="宋体" w:eastAsia="宋体" w:cs="宋体"/>
          <w:b/>
          <w:bCs/>
          <w:spacing w:val="6"/>
          <w:sz w:val="20"/>
          <w:szCs w:val="20"/>
        </w:rPr>
        <w:t>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p>
    <w:p w14:paraId="72E1D594">
      <w:pPr>
        <w:spacing w:line="11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3"/>
        <w:gridCol w:w="1131"/>
        <w:gridCol w:w="1131"/>
        <w:gridCol w:w="1130"/>
        <w:gridCol w:w="1131"/>
        <w:gridCol w:w="1130"/>
        <w:gridCol w:w="1130"/>
        <w:gridCol w:w="974"/>
      </w:tblGrid>
      <w:tr w14:paraId="126BD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93" w:type="dxa"/>
            <w:vAlign w:val="top"/>
          </w:tcPr>
          <w:p w14:paraId="4825DE8E">
            <w:pPr>
              <w:pStyle w:val="6"/>
              <w:spacing w:before="69" w:line="228" w:lineRule="auto"/>
              <w:ind w:left="205"/>
              <w:rPr>
                <w:rFonts w:ascii="Times New Roman" w:hAnsi="Times New Roman" w:eastAsia="Times New Roman" w:cs="Times New Roman"/>
              </w:rPr>
            </w:pPr>
            <w:r>
              <w:rPr>
                <w:spacing w:val="-8"/>
              </w:rPr>
              <w:t>粒径</w:t>
            </w:r>
            <w:r>
              <w:rPr>
                <w:spacing w:val="-39"/>
              </w:rPr>
              <w:t xml:space="preserve"> </w:t>
            </w:r>
            <w:r>
              <w:rPr>
                <w:spacing w:val="-8"/>
              </w:rPr>
              <w:t>μ</w:t>
            </w:r>
            <w:r>
              <w:rPr>
                <w:rFonts w:ascii="Times New Roman" w:hAnsi="Times New Roman" w:eastAsia="Times New Roman" w:cs="Times New Roman"/>
                <w:spacing w:val="-8"/>
              </w:rPr>
              <w:t>m</w:t>
            </w:r>
          </w:p>
        </w:tc>
        <w:tc>
          <w:tcPr>
            <w:tcW w:w="1131" w:type="dxa"/>
            <w:vAlign w:val="top"/>
          </w:tcPr>
          <w:p w14:paraId="34E42672">
            <w:pPr>
              <w:spacing w:before="37" w:line="275"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131" w:type="dxa"/>
            <w:vAlign w:val="top"/>
          </w:tcPr>
          <w:p w14:paraId="714CEC5D">
            <w:pPr>
              <w:spacing w:before="37" w:line="275"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130" w:type="dxa"/>
            <w:vAlign w:val="top"/>
          </w:tcPr>
          <w:p w14:paraId="4905D34C">
            <w:pPr>
              <w:spacing w:before="37" w:line="275" w:lineRule="exact"/>
              <w:ind w:left="4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1131" w:type="dxa"/>
            <w:vAlign w:val="top"/>
          </w:tcPr>
          <w:p w14:paraId="3CAF427D">
            <w:pPr>
              <w:spacing w:before="37" w:line="275"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1130" w:type="dxa"/>
            <w:vAlign w:val="top"/>
          </w:tcPr>
          <w:p w14:paraId="2CF52125">
            <w:pPr>
              <w:spacing w:before="37" w:line="275" w:lineRule="exact"/>
              <w:ind w:left="4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130" w:type="dxa"/>
            <w:vAlign w:val="top"/>
          </w:tcPr>
          <w:p w14:paraId="4D02D5F2">
            <w:pPr>
              <w:spacing w:before="37" w:line="275" w:lineRule="exact"/>
              <w:ind w:left="4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974" w:type="dxa"/>
            <w:vAlign w:val="top"/>
          </w:tcPr>
          <w:p w14:paraId="2D9D0421">
            <w:pPr>
              <w:spacing w:before="37" w:line="275" w:lineRule="exact"/>
              <w:ind w:left="38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r>
      <w:tr w14:paraId="176D8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3" w:type="dxa"/>
            <w:vAlign w:val="top"/>
          </w:tcPr>
          <w:p w14:paraId="06493374">
            <w:pPr>
              <w:pStyle w:val="6"/>
              <w:spacing w:before="65" w:line="228" w:lineRule="auto"/>
              <w:ind w:left="181"/>
            </w:pPr>
            <w:r>
              <w:rPr>
                <w:spacing w:val="7"/>
              </w:rPr>
              <w:t>沉降速度</w:t>
            </w:r>
          </w:p>
        </w:tc>
        <w:tc>
          <w:tcPr>
            <w:tcW w:w="1131" w:type="dxa"/>
            <w:vAlign w:val="top"/>
          </w:tcPr>
          <w:p w14:paraId="490DB96B">
            <w:pPr>
              <w:spacing w:before="34" w:line="274" w:lineRule="exact"/>
              <w:ind w:left="3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0.003</w:t>
            </w:r>
          </w:p>
        </w:tc>
        <w:tc>
          <w:tcPr>
            <w:tcW w:w="1131" w:type="dxa"/>
            <w:vAlign w:val="top"/>
          </w:tcPr>
          <w:p w14:paraId="3F9C40F7">
            <w:pPr>
              <w:spacing w:before="34"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0.012</w:t>
            </w:r>
          </w:p>
        </w:tc>
        <w:tc>
          <w:tcPr>
            <w:tcW w:w="1130" w:type="dxa"/>
            <w:vAlign w:val="top"/>
          </w:tcPr>
          <w:p w14:paraId="1F414912">
            <w:pPr>
              <w:spacing w:before="34"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0.027</w:t>
            </w:r>
          </w:p>
        </w:tc>
        <w:tc>
          <w:tcPr>
            <w:tcW w:w="1131" w:type="dxa"/>
            <w:vAlign w:val="top"/>
          </w:tcPr>
          <w:p w14:paraId="132FA64B">
            <w:pPr>
              <w:spacing w:before="34"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0.048</w:t>
            </w:r>
          </w:p>
        </w:tc>
        <w:tc>
          <w:tcPr>
            <w:tcW w:w="1130" w:type="dxa"/>
            <w:vAlign w:val="top"/>
          </w:tcPr>
          <w:p w14:paraId="046AC2E5">
            <w:pPr>
              <w:spacing w:before="34" w:line="274" w:lineRule="exact"/>
              <w:ind w:left="3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0.075</w:t>
            </w:r>
          </w:p>
        </w:tc>
        <w:tc>
          <w:tcPr>
            <w:tcW w:w="1130" w:type="dxa"/>
            <w:vAlign w:val="top"/>
          </w:tcPr>
          <w:p w14:paraId="4499452C">
            <w:pPr>
              <w:spacing w:before="34" w:line="274" w:lineRule="exact"/>
              <w:ind w:left="3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0.108</w:t>
            </w:r>
          </w:p>
        </w:tc>
        <w:tc>
          <w:tcPr>
            <w:tcW w:w="974" w:type="dxa"/>
            <w:vAlign w:val="top"/>
          </w:tcPr>
          <w:p w14:paraId="639AF824">
            <w:pPr>
              <w:spacing w:before="34" w:line="274"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0.147</w:t>
            </w:r>
          </w:p>
        </w:tc>
      </w:tr>
      <w:tr w14:paraId="11B5C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3" w:type="dxa"/>
            <w:vAlign w:val="top"/>
          </w:tcPr>
          <w:p w14:paraId="20E373AE">
            <w:pPr>
              <w:pStyle w:val="6"/>
              <w:spacing w:before="66" w:line="228" w:lineRule="auto"/>
              <w:ind w:left="205"/>
              <w:rPr>
                <w:rFonts w:ascii="Times New Roman" w:hAnsi="Times New Roman" w:eastAsia="Times New Roman" w:cs="Times New Roman"/>
              </w:rPr>
            </w:pPr>
            <w:r>
              <w:rPr>
                <w:spacing w:val="-8"/>
              </w:rPr>
              <w:t>粒径</w:t>
            </w:r>
            <w:r>
              <w:rPr>
                <w:spacing w:val="-39"/>
              </w:rPr>
              <w:t xml:space="preserve"> </w:t>
            </w:r>
            <w:r>
              <w:rPr>
                <w:spacing w:val="-8"/>
              </w:rPr>
              <w:t>μ</w:t>
            </w:r>
            <w:r>
              <w:rPr>
                <w:rFonts w:ascii="Times New Roman" w:hAnsi="Times New Roman" w:eastAsia="Times New Roman" w:cs="Times New Roman"/>
                <w:spacing w:val="-8"/>
              </w:rPr>
              <w:t>m</w:t>
            </w:r>
          </w:p>
        </w:tc>
        <w:tc>
          <w:tcPr>
            <w:tcW w:w="1131" w:type="dxa"/>
            <w:vAlign w:val="top"/>
          </w:tcPr>
          <w:p w14:paraId="05E96B62">
            <w:pPr>
              <w:spacing w:before="35" w:line="274" w:lineRule="exact"/>
              <w:ind w:left="46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1131" w:type="dxa"/>
            <w:vAlign w:val="top"/>
          </w:tcPr>
          <w:p w14:paraId="206E8F9A">
            <w:pPr>
              <w:spacing w:before="35" w:line="274" w:lineRule="exact"/>
              <w:ind w:left="46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c>
          <w:tcPr>
            <w:tcW w:w="1130" w:type="dxa"/>
            <w:vAlign w:val="top"/>
          </w:tcPr>
          <w:p w14:paraId="533DA53F">
            <w:pPr>
              <w:spacing w:before="35" w:line="274" w:lineRule="exact"/>
              <w:ind w:left="4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131" w:type="dxa"/>
            <w:vAlign w:val="top"/>
          </w:tcPr>
          <w:p w14:paraId="42326DDD">
            <w:pPr>
              <w:spacing w:before="35" w:line="274" w:lineRule="exact"/>
              <w:ind w:left="4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1130" w:type="dxa"/>
            <w:vAlign w:val="top"/>
          </w:tcPr>
          <w:p w14:paraId="026E521B">
            <w:pPr>
              <w:spacing w:before="35" w:line="274" w:lineRule="exact"/>
              <w:ind w:left="40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1130" w:type="dxa"/>
            <w:vAlign w:val="top"/>
          </w:tcPr>
          <w:p w14:paraId="76A6DFD0">
            <w:pPr>
              <w:spacing w:before="35"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974" w:type="dxa"/>
            <w:vAlign w:val="top"/>
          </w:tcPr>
          <w:p w14:paraId="79885C2D">
            <w:pPr>
              <w:spacing w:before="35" w:line="274" w:lineRule="exact"/>
              <w:ind w:left="3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350</w:t>
            </w:r>
          </w:p>
        </w:tc>
      </w:tr>
      <w:tr w14:paraId="25AC8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3" w:type="dxa"/>
            <w:vAlign w:val="top"/>
          </w:tcPr>
          <w:p w14:paraId="2947853A">
            <w:pPr>
              <w:pStyle w:val="6"/>
              <w:spacing w:before="65" w:line="228" w:lineRule="auto"/>
              <w:ind w:left="181"/>
            </w:pPr>
            <w:r>
              <w:rPr>
                <w:spacing w:val="7"/>
              </w:rPr>
              <w:t>沉降速度</w:t>
            </w:r>
          </w:p>
        </w:tc>
        <w:tc>
          <w:tcPr>
            <w:tcW w:w="1131" w:type="dxa"/>
            <w:vAlign w:val="top"/>
          </w:tcPr>
          <w:p w14:paraId="03D9B708">
            <w:pPr>
              <w:spacing w:before="37" w:line="274" w:lineRule="exact"/>
              <w:ind w:left="3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0.158</w:t>
            </w:r>
          </w:p>
        </w:tc>
        <w:tc>
          <w:tcPr>
            <w:tcW w:w="1131" w:type="dxa"/>
            <w:vAlign w:val="top"/>
          </w:tcPr>
          <w:p w14:paraId="23413676">
            <w:pPr>
              <w:spacing w:before="37"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0.170</w:t>
            </w:r>
          </w:p>
        </w:tc>
        <w:tc>
          <w:tcPr>
            <w:tcW w:w="1130" w:type="dxa"/>
            <w:vAlign w:val="top"/>
          </w:tcPr>
          <w:p w14:paraId="43D0349B">
            <w:pPr>
              <w:spacing w:before="37"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0.182</w:t>
            </w:r>
          </w:p>
        </w:tc>
        <w:tc>
          <w:tcPr>
            <w:tcW w:w="1131" w:type="dxa"/>
            <w:vAlign w:val="top"/>
          </w:tcPr>
          <w:p w14:paraId="6FC73095">
            <w:pPr>
              <w:spacing w:before="37"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0.239</w:t>
            </w:r>
          </w:p>
        </w:tc>
        <w:tc>
          <w:tcPr>
            <w:tcW w:w="1130" w:type="dxa"/>
            <w:vAlign w:val="top"/>
          </w:tcPr>
          <w:p w14:paraId="5022C12F">
            <w:pPr>
              <w:spacing w:before="37" w:line="274" w:lineRule="exact"/>
              <w:ind w:left="3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0.804</w:t>
            </w:r>
          </w:p>
        </w:tc>
        <w:tc>
          <w:tcPr>
            <w:tcW w:w="1130" w:type="dxa"/>
            <w:vAlign w:val="top"/>
          </w:tcPr>
          <w:p w14:paraId="25B5C8AD">
            <w:pPr>
              <w:spacing w:before="37" w:line="274" w:lineRule="exact"/>
              <w:ind w:left="35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1.005</w:t>
            </w:r>
          </w:p>
        </w:tc>
        <w:tc>
          <w:tcPr>
            <w:tcW w:w="974" w:type="dxa"/>
            <w:vAlign w:val="top"/>
          </w:tcPr>
          <w:p w14:paraId="3A51E421">
            <w:pPr>
              <w:spacing w:before="37"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1.829</w:t>
            </w:r>
          </w:p>
        </w:tc>
      </w:tr>
      <w:tr w14:paraId="33A7A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93" w:type="dxa"/>
            <w:vAlign w:val="top"/>
          </w:tcPr>
          <w:p w14:paraId="5797D964">
            <w:pPr>
              <w:pStyle w:val="6"/>
              <w:spacing w:before="67" w:line="228" w:lineRule="auto"/>
              <w:ind w:left="205"/>
              <w:rPr>
                <w:rFonts w:ascii="Times New Roman" w:hAnsi="Times New Roman" w:eastAsia="Times New Roman" w:cs="Times New Roman"/>
              </w:rPr>
            </w:pPr>
            <w:r>
              <w:rPr>
                <w:spacing w:val="-8"/>
              </w:rPr>
              <w:t>粒径</w:t>
            </w:r>
            <w:r>
              <w:rPr>
                <w:spacing w:val="-39"/>
              </w:rPr>
              <w:t xml:space="preserve"> </w:t>
            </w:r>
            <w:r>
              <w:rPr>
                <w:spacing w:val="-8"/>
              </w:rPr>
              <w:t>μ</w:t>
            </w:r>
            <w:r>
              <w:rPr>
                <w:rFonts w:ascii="Times New Roman" w:hAnsi="Times New Roman" w:eastAsia="Times New Roman" w:cs="Times New Roman"/>
                <w:spacing w:val="-8"/>
              </w:rPr>
              <w:t>m</w:t>
            </w:r>
          </w:p>
        </w:tc>
        <w:tc>
          <w:tcPr>
            <w:tcW w:w="1131" w:type="dxa"/>
            <w:vAlign w:val="top"/>
          </w:tcPr>
          <w:p w14:paraId="50B1E6D5">
            <w:pPr>
              <w:spacing w:before="38" w:line="274" w:lineRule="exact"/>
              <w:ind w:left="40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450</w:t>
            </w:r>
          </w:p>
        </w:tc>
        <w:tc>
          <w:tcPr>
            <w:tcW w:w="1131" w:type="dxa"/>
            <w:vAlign w:val="top"/>
          </w:tcPr>
          <w:p w14:paraId="58357ED5">
            <w:pPr>
              <w:spacing w:before="38" w:line="27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550</w:t>
            </w:r>
          </w:p>
        </w:tc>
        <w:tc>
          <w:tcPr>
            <w:tcW w:w="1130" w:type="dxa"/>
            <w:vAlign w:val="top"/>
          </w:tcPr>
          <w:p w14:paraId="5BA86FC6">
            <w:pPr>
              <w:spacing w:before="38" w:line="274"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650</w:t>
            </w:r>
          </w:p>
        </w:tc>
        <w:tc>
          <w:tcPr>
            <w:tcW w:w="1131" w:type="dxa"/>
            <w:vAlign w:val="top"/>
          </w:tcPr>
          <w:p w14:paraId="0A0538F2">
            <w:pPr>
              <w:spacing w:before="38" w:line="274" w:lineRule="exact"/>
              <w:ind w:left="4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750</w:t>
            </w:r>
          </w:p>
        </w:tc>
        <w:tc>
          <w:tcPr>
            <w:tcW w:w="1130" w:type="dxa"/>
            <w:vAlign w:val="top"/>
          </w:tcPr>
          <w:p w14:paraId="174948D5">
            <w:pPr>
              <w:spacing w:before="38" w:line="274" w:lineRule="exact"/>
              <w:ind w:left="4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850</w:t>
            </w:r>
          </w:p>
        </w:tc>
        <w:tc>
          <w:tcPr>
            <w:tcW w:w="1130" w:type="dxa"/>
            <w:vAlign w:val="top"/>
          </w:tcPr>
          <w:p w14:paraId="408BA636">
            <w:pPr>
              <w:spacing w:before="38" w:line="27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950</w:t>
            </w:r>
          </w:p>
        </w:tc>
        <w:tc>
          <w:tcPr>
            <w:tcW w:w="974" w:type="dxa"/>
            <w:vAlign w:val="top"/>
          </w:tcPr>
          <w:p w14:paraId="6E683B04">
            <w:pPr>
              <w:spacing w:before="38" w:line="274"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1050</w:t>
            </w:r>
          </w:p>
        </w:tc>
      </w:tr>
      <w:tr w14:paraId="7B3CC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93" w:type="dxa"/>
            <w:vAlign w:val="top"/>
          </w:tcPr>
          <w:p w14:paraId="7F043888">
            <w:pPr>
              <w:pStyle w:val="6"/>
              <w:spacing w:before="68" w:line="228" w:lineRule="auto"/>
              <w:ind w:left="181"/>
            </w:pPr>
            <w:r>
              <w:rPr>
                <w:spacing w:val="7"/>
              </w:rPr>
              <w:t>沉降速度</w:t>
            </w:r>
          </w:p>
        </w:tc>
        <w:tc>
          <w:tcPr>
            <w:tcW w:w="1131" w:type="dxa"/>
            <w:vAlign w:val="top"/>
          </w:tcPr>
          <w:p w14:paraId="1441ACDE">
            <w:pPr>
              <w:spacing w:before="37" w:line="274" w:lineRule="exact"/>
              <w:ind w:left="3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2.211</w:t>
            </w:r>
          </w:p>
        </w:tc>
        <w:tc>
          <w:tcPr>
            <w:tcW w:w="1131" w:type="dxa"/>
            <w:vAlign w:val="top"/>
          </w:tcPr>
          <w:p w14:paraId="4C504CEB">
            <w:pPr>
              <w:spacing w:before="37" w:line="274" w:lineRule="exact"/>
              <w:ind w:left="3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2.614</w:t>
            </w:r>
          </w:p>
        </w:tc>
        <w:tc>
          <w:tcPr>
            <w:tcW w:w="1130" w:type="dxa"/>
            <w:vAlign w:val="top"/>
          </w:tcPr>
          <w:p w14:paraId="3136C1B5">
            <w:pPr>
              <w:spacing w:before="37" w:line="274" w:lineRule="exact"/>
              <w:ind w:left="3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3.016</w:t>
            </w:r>
          </w:p>
        </w:tc>
        <w:tc>
          <w:tcPr>
            <w:tcW w:w="1131" w:type="dxa"/>
            <w:vAlign w:val="top"/>
          </w:tcPr>
          <w:p w14:paraId="7A9E7119">
            <w:pPr>
              <w:spacing w:before="37" w:line="274" w:lineRule="exact"/>
              <w:ind w:left="3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3.418</w:t>
            </w:r>
          </w:p>
        </w:tc>
        <w:tc>
          <w:tcPr>
            <w:tcW w:w="1130" w:type="dxa"/>
            <w:vAlign w:val="top"/>
          </w:tcPr>
          <w:p w14:paraId="37FAE0F6">
            <w:pPr>
              <w:spacing w:before="37" w:line="274" w:lineRule="exact"/>
              <w:ind w:left="3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3.820</w:t>
            </w:r>
          </w:p>
        </w:tc>
        <w:tc>
          <w:tcPr>
            <w:tcW w:w="1130" w:type="dxa"/>
            <w:vAlign w:val="top"/>
          </w:tcPr>
          <w:p w14:paraId="028D0FC6">
            <w:pPr>
              <w:spacing w:before="37" w:line="274" w:lineRule="exact"/>
              <w:ind w:left="3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4.222</w:t>
            </w:r>
          </w:p>
        </w:tc>
        <w:tc>
          <w:tcPr>
            <w:tcW w:w="974" w:type="dxa"/>
            <w:vAlign w:val="top"/>
          </w:tcPr>
          <w:p w14:paraId="283E0862">
            <w:pPr>
              <w:spacing w:before="37"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4.624</w:t>
            </w:r>
          </w:p>
        </w:tc>
      </w:tr>
    </w:tbl>
    <w:p w14:paraId="2B7502AA">
      <w:pPr>
        <w:spacing w:before="250" w:line="361" w:lineRule="auto"/>
        <w:ind w:left="129" w:right="49" w:firstLine="502"/>
        <w:jc w:val="both"/>
        <w:rPr>
          <w:rFonts w:ascii="宋体" w:hAnsi="宋体" w:eastAsia="宋体" w:cs="宋体"/>
          <w:sz w:val="24"/>
          <w:szCs w:val="24"/>
        </w:rPr>
      </w:pPr>
      <w:r>
        <w:rPr>
          <w:rFonts w:ascii="宋体" w:hAnsi="宋体" w:eastAsia="宋体" w:cs="宋体"/>
          <w:spacing w:val="2"/>
          <w:sz w:val="24"/>
          <w:szCs w:val="24"/>
        </w:rPr>
        <w:t>由表</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5.1-1</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可知，尘粒的沉降速度随粒径的增大而迅速增大。当粒径为</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250μm</w:t>
      </w:r>
      <w:r>
        <w:rPr>
          <w:rFonts w:ascii="Times New Roman" w:hAnsi="Times New Roman" w:eastAsia="Times New Roman" w:cs="Times New Roman"/>
          <w:sz w:val="24"/>
          <w:szCs w:val="24"/>
        </w:rPr>
        <w:t xml:space="preserve">  </w:t>
      </w:r>
      <w:r>
        <w:rPr>
          <w:rFonts w:ascii="宋体" w:hAnsi="宋体" w:eastAsia="宋体" w:cs="宋体"/>
          <w:spacing w:val="1"/>
          <w:sz w:val="24"/>
          <w:szCs w:val="24"/>
        </w:rPr>
        <w:t>时，沉降速度已达到</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1.005m/s</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，因此，可以认为真正对</w:t>
      </w:r>
      <w:r>
        <w:rPr>
          <w:rFonts w:ascii="宋体" w:hAnsi="宋体" w:eastAsia="宋体" w:cs="宋体"/>
          <w:sz w:val="24"/>
          <w:szCs w:val="24"/>
        </w:rPr>
        <w:t xml:space="preserve">外环境产生影响的是一些微 </w:t>
      </w:r>
      <w:r>
        <w:rPr>
          <w:rFonts w:ascii="宋体" w:hAnsi="宋体" w:eastAsia="宋体" w:cs="宋体"/>
          <w:spacing w:val="-3"/>
          <w:sz w:val="24"/>
          <w:szCs w:val="24"/>
        </w:rPr>
        <w:t>小尘粒，其影响程度和范围随现场的气候变化而变化。根据类比调查，一般情况下，</w:t>
      </w:r>
    </w:p>
    <w:p w14:paraId="519182B2">
      <w:pPr>
        <w:spacing w:line="361" w:lineRule="auto"/>
        <w:rPr>
          <w:rFonts w:ascii="宋体" w:hAnsi="宋体" w:eastAsia="宋体" w:cs="宋体"/>
          <w:sz w:val="24"/>
          <w:szCs w:val="24"/>
        </w:rPr>
        <w:sectPr>
          <w:footerReference r:id="rId119" w:type="default"/>
          <w:pgSz w:w="11906" w:h="16839"/>
          <w:pgMar w:top="400" w:right="1475" w:bottom="1485" w:left="1475" w:header="0" w:footer="1249" w:gutter="0"/>
          <w:cols w:space="720" w:num="1"/>
        </w:sectPr>
      </w:pPr>
    </w:p>
    <w:p w14:paraId="77D50FF4">
      <w:pPr>
        <w:pStyle w:val="2"/>
        <w:spacing w:line="255" w:lineRule="auto"/>
      </w:pPr>
    </w:p>
    <w:p w14:paraId="2E5771CD">
      <w:pPr>
        <w:pStyle w:val="2"/>
        <w:spacing w:line="255" w:lineRule="auto"/>
      </w:pPr>
    </w:p>
    <w:p w14:paraId="0563F519">
      <w:pPr>
        <w:pStyle w:val="2"/>
        <w:spacing w:line="255" w:lineRule="auto"/>
      </w:pPr>
    </w:p>
    <w:p w14:paraId="3438B86D">
      <w:pPr>
        <w:pStyle w:val="2"/>
        <w:spacing w:line="256" w:lineRule="auto"/>
      </w:pPr>
    </w:p>
    <w:p w14:paraId="57781DDA">
      <w:pPr>
        <w:spacing w:before="78" w:line="367" w:lineRule="auto"/>
        <w:ind w:left="122" w:right="32"/>
        <w:jc w:val="both"/>
        <w:rPr>
          <w:rFonts w:ascii="宋体" w:hAnsi="宋体" w:eastAsia="宋体" w:cs="宋体"/>
          <w:sz w:val="24"/>
          <w:szCs w:val="24"/>
        </w:rPr>
      </w:pPr>
      <w:r>
        <w:rPr>
          <w:rFonts w:ascii="宋体" w:hAnsi="宋体" w:eastAsia="宋体" w:cs="宋体"/>
          <w:spacing w:val="-4"/>
          <w:sz w:val="24"/>
          <w:szCs w:val="24"/>
        </w:rPr>
        <w:t>施工场地、施工道路在自然风作用下产生的</w:t>
      </w:r>
      <w:r>
        <w:rPr>
          <w:rFonts w:ascii="宋体" w:hAnsi="宋体" w:eastAsia="宋体" w:cs="宋体"/>
          <w:spacing w:val="-5"/>
          <w:sz w:val="24"/>
          <w:szCs w:val="24"/>
        </w:rPr>
        <w:t>扬尘所影响的范围在</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100m</w:t>
      </w:r>
      <w:r>
        <w:rPr>
          <w:rFonts w:ascii="Times New Roman" w:hAnsi="Times New Roman" w:eastAsia="Times New Roman" w:cs="Times New Roman"/>
          <w:spacing w:val="38"/>
          <w:sz w:val="24"/>
          <w:szCs w:val="24"/>
        </w:rPr>
        <w:t xml:space="preserve"> </w:t>
      </w:r>
      <w:r>
        <w:rPr>
          <w:rFonts w:ascii="宋体" w:hAnsi="宋体" w:eastAsia="宋体" w:cs="宋体"/>
          <w:spacing w:val="-5"/>
          <w:sz w:val="24"/>
          <w:szCs w:val="24"/>
        </w:rPr>
        <w:t>以内。类比分</w:t>
      </w:r>
      <w:r>
        <w:rPr>
          <w:rFonts w:ascii="宋体" w:hAnsi="宋体" w:eastAsia="宋体" w:cs="宋体"/>
          <w:sz w:val="24"/>
          <w:szCs w:val="24"/>
        </w:rPr>
        <w:t xml:space="preserve"> </w:t>
      </w:r>
      <w:r>
        <w:rPr>
          <w:rFonts w:ascii="宋体" w:hAnsi="宋体" w:eastAsia="宋体" w:cs="宋体"/>
          <w:spacing w:val="-2"/>
          <w:sz w:val="24"/>
          <w:szCs w:val="24"/>
        </w:rPr>
        <w:t>析可知，本项目施工场地下风向</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50m</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处</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TSP </w:t>
      </w:r>
      <w:r>
        <w:rPr>
          <w:rFonts w:ascii="宋体" w:hAnsi="宋体" w:eastAsia="宋体" w:cs="宋体"/>
          <w:spacing w:val="-2"/>
          <w:sz w:val="24"/>
          <w:szCs w:val="24"/>
        </w:rPr>
        <w:t>浓度低于广东省地方标准《大气污染物</w:t>
      </w:r>
      <w:r>
        <w:rPr>
          <w:rFonts w:ascii="宋体" w:hAnsi="宋体" w:eastAsia="宋体" w:cs="宋体"/>
          <w:sz w:val="24"/>
          <w:szCs w:val="24"/>
        </w:rPr>
        <w:t xml:space="preserve"> </w:t>
      </w:r>
      <w:r>
        <w:rPr>
          <w:rFonts w:ascii="宋体" w:hAnsi="宋体" w:eastAsia="宋体" w:cs="宋体"/>
          <w:spacing w:val="-6"/>
          <w:sz w:val="24"/>
          <w:szCs w:val="24"/>
        </w:rPr>
        <w:t>排放限值》（</w:t>
      </w:r>
      <w:r>
        <w:rPr>
          <w:rFonts w:ascii="Times New Roman" w:hAnsi="Times New Roman" w:eastAsia="Times New Roman" w:cs="Times New Roman"/>
          <w:spacing w:val="-6"/>
          <w:sz w:val="24"/>
          <w:szCs w:val="24"/>
        </w:rPr>
        <w:t>DB44/27-2001</w:t>
      </w:r>
      <w:r>
        <w:rPr>
          <w:rFonts w:ascii="宋体" w:hAnsi="宋体" w:eastAsia="宋体" w:cs="宋体"/>
          <w:spacing w:val="-6"/>
          <w:sz w:val="24"/>
          <w:szCs w:val="24"/>
        </w:rPr>
        <w:t>）中规定的颗粒物无组织排放监控浓度限值（</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7"/>
          <w:sz w:val="24"/>
          <w:szCs w:val="24"/>
        </w:rPr>
        <w:t>0mg/m</w:t>
      </w:r>
      <w:r>
        <w:rPr>
          <w:rFonts w:ascii="Times New Roman" w:hAnsi="Times New Roman" w:eastAsia="Times New Roman" w:cs="Times New Roman"/>
          <w:spacing w:val="-7"/>
          <w:position w:val="7"/>
          <w:sz w:val="15"/>
          <w:szCs w:val="15"/>
        </w:rPr>
        <w:t>3</w:t>
      </w:r>
      <w:r>
        <w:rPr>
          <w:rFonts w:ascii="宋体" w:hAnsi="宋体" w:eastAsia="宋体" w:cs="宋体"/>
          <w:spacing w:val="-7"/>
          <w:sz w:val="24"/>
          <w:szCs w:val="24"/>
        </w:rPr>
        <w:t>）。</w:t>
      </w:r>
    </w:p>
    <w:p w14:paraId="23688A8B">
      <w:pPr>
        <w:spacing w:before="73" w:line="373" w:lineRule="auto"/>
        <w:ind w:left="123" w:right="113" w:firstLine="479"/>
        <w:jc w:val="both"/>
        <w:rPr>
          <w:rFonts w:ascii="宋体" w:hAnsi="宋体" w:eastAsia="宋体" w:cs="宋体"/>
          <w:sz w:val="24"/>
          <w:szCs w:val="24"/>
        </w:rPr>
      </w:pPr>
      <w:r>
        <w:rPr>
          <w:rFonts w:ascii="宋体" w:hAnsi="宋体" w:eastAsia="宋体" w:cs="宋体"/>
          <w:spacing w:val="2"/>
          <w:sz w:val="24"/>
          <w:szCs w:val="24"/>
        </w:rPr>
        <w:t>根据经验显示，施工场地、施工道路的扬尘可用洒水和清扫的方式予以防治，</w:t>
      </w:r>
      <w:r>
        <w:rPr>
          <w:rFonts w:ascii="宋体" w:hAnsi="宋体" w:eastAsia="宋体" w:cs="宋体"/>
          <w:spacing w:val="10"/>
          <w:sz w:val="24"/>
          <w:szCs w:val="24"/>
        </w:rPr>
        <w:t xml:space="preserve"> </w:t>
      </w:r>
      <w:r>
        <w:rPr>
          <w:rFonts w:ascii="宋体" w:hAnsi="宋体" w:eastAsia="宋体" w:cs="宋体"/>
          <w:spacing w:val="6"/>
          <w:sz w:val="24"/>
          <w:szCs w:val="24"/>
        </w:rPr>
        <w:t>若在施工期间对车辆行驶的路面和部分易起尘的部位实施洒水抑尘（每天洒水</w:t>
      </w:r>
      <w:r>
        <w:rPr>
          <w:rFonts w:ascii="Times New Roman" w:hAnsi="Times New Roman" w:eastAsia="Times New Roman" w:cs="Times New Roman"/>
          <w:spacing w:val="6"/>
          <w:sz w:val="24"/>
          <w:szCs w:val="24"/>
        </w:rPr>
        <w:t>4-5</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次</w:t>
      </w:r>
      <w:r>
        <w:rPr>
          <w:rFonts w:ascii="宋体" w:hAnsi="宋体" w:eastAsia="宋体" w:cs="宋体"/>
          <w:spacing w:val="15"/>
          <w:sz w:val="24"/>
          <w:szCs w:val="24"/>
        </w:rPr>
        <w:t>），</w:t>
      </w:r>
      <w:r>
        <w:rPr>
          <w:rFonts w:ascii="宋体" w:hAnsi="宋体" w:eastAsia="宋体" w:cs="宋体"/>
          <w:spacing w:val="-2"/>
          <w:sz w:val="24"/>
          <w:szCs w:val="24"/>
        </w:rPr>
        <w:t>可使扬尘减少</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50</w:t>
      </w:r>
      <w:r>
        <w:rPr>
          <w:rFonts w:ascii="宋体" w:hAnsi="宋体" w:eastAsia="宋体" w:cs="宋体"/>
          <w:spacing w:val="-2"/>
          <w:sz w:val="24"/>
          <w:szCs w:val="24"/>
        </w:rPr>
        <w:t>～</w:t>
      </w:r>
      <w:r>
        <w:rPr>
          <w:rFonts w:ascii="Times New Roman" w:hAnsi="Times New Roman" w:eastAsia="Times New Roman" w:cs="Times New Roman"/>
          <w:spacing w:val="-2"/>
          <w:sz w:val="24"/>
          <w:szCs w:val="24"/>
        </w:rPr>
        <w:t>70%</w:t>
      </w:r>
      <w:r>
        <w:rPr>
          <w:rFonts w:ascii="宋体" w:hAnsi="宋体" w:eastAsia="宋体" w:cs="宋体"/>
          <w:spacing w:val="-2"/>
          <w:sz w:val="24"/>
          <w:szCs w:val="24"/>
        </w:rPr>
        <w:t>左右，洒水抑尘的实验结果见表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5.1-2</w:t>
      </w:r>
      <w:r>
        <w:rPr>
          <w:rFonts w:ascii="宋体" w:hAnsi="宋体" w:eastAsia="宋体" w:cs="宋体"/>
          <w:spacing w:val="-2"/>
          <w:sz w:val="24"/>
          <w:szCs w:val="24"/>
        </w:rPr>
        <w:t>。</w:t>
      </w:r>
    </w:p>
    <w:p w14:paraId="63022F66">
      <w:pPr>
        <w:spacing w:before="26" w:line="221" w:lineRule="auto"/>
        <w:ind w:left="2664"/>
        <w:rPr>
          <w:rFonts w:ascii="Times New Roman" w:hAnsi="Times New Roman" w:eastAsia="Times New Roman" w:cs="Times New Roman"/>
          <w:sz w:val="13"/>
          <w:szCs w:val="13"/>
        </w:rPr>
      </w:pPr>
      <w:r>
        <w:rPr>
          <w:rFonts w:ascii="宋体" w:hAnsi="宋体" w:eastAsia="宋体" w:cs="宋体"/>
          <w:b/>
          <w:bCs/>
          <w:spacing w:val="6"/>
          <w:sz w:val="20"/>
          <w:szCs w:val="20"/>
        </w:rPr>
        <w:t>表</w:t>
      </w:r>
      <w:r>
        <w:rPr>
          <w:rFonts w:ascii="宋体" w:hAnsi="宋体" w:eastAsia="宋体" w:cs="宋体"/>
          <w:spacing w:val="-20"/>
          <w:sz w:val="20"/>
          <w:szCs w:val="20"/>
        </w:rPr>
        <w:t xml:space="preserve"> </w:t>
      </w:r>
      <w:r>
        <w:rPr>
          <w:rFonts w:ascii="Times New Roman" w:hAnsi="Times New Roman" w:eastAsia="Times New Roman" w:cs="Times New Roman"/>
          <w:b/>
          <w:bCs/>
          <w:spacing w:val="6"/>
          <w:sz w:val="20"/>
          <w:szCs w:val="20"/>
        </w:rPr>
        <w:t xml:space="preserve">5.1-2 </w:t>
      </w:r>
      <w:r>
        <w:rPr>
          <w:rFonts w:ascii="宋体" w:hAnsi="宋体" w:eastAsia="宋体" w:cs="宋体"/>
          <w:b/>
          <w:bCs/>
          <w:spacing w:val="6"/>
          <w:sz w:val="20"/>
          <w:szCs w:val="20"/>
        </w:rPr>
        <w:t>洒水路面扬尘监测结果单位：</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3</w:t>
      </w:r>
    </w:p>
    <w:p w14:paraId="12AEA8BC">
      <w:pPr>
        <w:spacing w:line="109"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2"/>
        <w:gridCol w:w="1277"/>
        <w:gridCol w:w="1278"/>
        <w:gridCol w:w="1277"/>
        <w:gridCol w:w="1277"/>
        <w:gridCol w:w="1277"/>
        <w:gridCol w:w="1282"/>
      </w:tblGrid>
      <w:tr w14:paraId="18B87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559" w:type="dxa"/>
            <w:gridSpan w:val="2"/>
            <w:vAlign w:val="top"/>
          </w:tcPr>
          <w:p w14:paraId="527E4546">
            <w:pPr>
              <w:pStyle w:val="6"/>
              <w:spacing w:before="63" w:line="228" w:lineRule="auto"/>
              <w:ind w:left="463"/>
            </w:pPr>
            <w:r>
              <w:rPr>
                <w:b/>
                <w:bCs/>
                <w:spacing w:val="5"/>
              </w:rPr>
              <w:t>距路面距离（</w:t>
            </w:r>
            <w:r>
              <w:rPr>
                <w:rFonts w:ascii="Times New Roman" w:hAnsi="Times New Roman" w:eastAsia="Times New Roman" w:cs="Times New Roman"/>
                <w:b/>
                <w:bCs/>
                <w:spacing w:val="5"/>
              </w:rPr>
              <w:t>m</w:t>
            </w:r>
            <w:r>
              <w:rPr>
                <w:b/>
                <w:bCs/>
                <w:spacing w:val="5"/>
              </w:rPr>
              <w:t>）</w:t>
            </w:r>
          </w:p>
        </w:tc>
        <w:tc>
          <w:tcPr>
            <w:tcW w:w="1278" w:type="dxa"/>
            <w:vAlign w:val="top"/>
          </w:tcPr>
          <w:p w14:paraId="03694981">
            <w:pPr>
              <w:spacing w:before="99" w:line="195" w:lineRule="auto"/>
              <w:ind w:left="590"/>
              <w:rPr>
                <w:rFonts w:ascii="Times New Roman" w:hAnsi="Times New Roman" w:eastAsia="Times New Roman" w:cs="Times New Roman"/>
                <w:sz w:val="20"/>
                <w:szCs w:val="20"/>
              </w:rPr>
            </w:pPr>
            <w:r>
              <w:rPr>
                <w:rFonts w:ascii="Times New Roman" w:hAnsi="Times New Roman" w:eastAsia="Times New Roman" w:cs="Times New Roman"/>
                <w:b/>
                <w:bCs/>
                <w:sz w:val="20"/>
                <w:szCs w:val="20"/>
              </w:rPr>
              <w:t>0</w:t>
            </w:r>
          </w:p>
        </w:tc>
        <w:tc>
          <w:tcPr>
            <w:tcW w:w="1277" w:type="dxa"/>
            <w:vAlign w:val="top"/>
          </w:tcPr>
          <w:p w14:paraId="4663B496">
            <w:pPr>
              <w:spacing w:before="99" w:line="195" w:lineRule="auto"/>
              <w:ind w:left="53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20</w:t>
            </w:r>
          </w:p>
        </w:tc>
        <w:tc>
          <w:tcPr>
            <w:tcW w:w="1277" w:type="dxa"/>
            <w:vAlign w:val="top"/>
          </w:tcPr>
          <w:p w14:paraId="71970D51">
            <w:pPr>
              <w:spacing w:before="99" w:line="195" w:lineRule="auto"/>
              <w:ind w:left="538"/>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50</w:t>
            </w:r>
          </w:p>
        </w:tc>
        <w:tc>
          <w:tcPr>
            <w:tcW w:w="1277" w:type="dxa"/>
            <w:vAlign w:val="top"/>
          </w:tcPr>
          <w:p w14:paraId="0CA947CB">
            <w:pPr>
              <w:spacing w:before="99" w:line="195" w:lineRule="auto"/>
              <w:ind w:left="49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100</w:t>
            </w:r>
          </w:p>
        </w:tc>
        <w:tc>
          <w:tcPr>
            <w:tcW w:w="1282" w:type="dxa"/>
            <w:vAlign w:val="top"/>
          </w:tcPr>
          <w:p w14:paraId="36C1A892">
            <w:pPr>
              <w:spacing w:before="99" w:line="195" w:lineRule="auto"/>
              <w:ind w:left="48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200</w:t>
            </w:r>
          </w:p>
        </w:tc>
      </w:tr>
      <w:tr w14:paraId="6D7EA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82" w:type="dxa"/>
            <w:vMerge w:val="restart"/>
            <w:tcBorders>
              <w:bottom w:val="nil"/>
            </w:tcBorders>
            <w:vAlign w:val="top"/>
          </w:tcPr>
          <w:p w14:paraId="10645960">
            <w:pPr>
              <w:pStyle w:val="6"/>
              <w:spacing w:before="228" w:line="229" w:lineRule="auto"/>
              <w:ind w:left="227"/>
            </w:pPr>
            <w:r>
              <w:rPr>
                <w:rFonts w:ascii="Times New Roman" w:hAnsi="Times New Roman" w:eastAsia="Times New Roman" w:cs="Times New Roman"/>
              </w:rPr>
              <w:t>TSP</w:t>
            </w:r>
            <w:r>
              <w:rPr>
                <w:rFonts w:ascii="Times New Roman" w:hAnsi="Times New Roman" w:eastAsia="Times New Roman" w:cs="Times New Roman"/>
                <w:spacing w:val="13"/>
              </w:rPr>
              <w:t xml:space="preserve"> </w:t>
            </w:r>
            <w:r>
              <w:rPr>
                <w:spacing w:val="9"/>
              </w:rPr>
              <w:t>浓度</w:t>
            </w:r>
          </w:p>
        </w:tc>
        <w:tc>
          <w:tcPr>
            <w:tcW w:w="1277" w:type="dxa"/>
            <w:vAlign w:val="top"/>
          </w:tcPr>
          <w:p w14:paraId="74DB910E">
            <w:pPr>
              <w:pStyle w:val="6"/>
              <w:spacing w:before="60" w:line="228" w:lineRule="auto"/>
              <w:ind w:left="330"/>
            </w:pPr>
            <w:r>
              <w:rPr>
                <w:spacing w:val="5"/>
              </w:rPr>
              <w:t>不洒水</w:t>
            </w:r>
          </w:p>
        </w:tc>
        <w:tc>
          <w:tcPr>
            <w:tcW w:w="1278" w:type="dxa"/>
            <w:vAlign w:val="top"/>
          </w:tcPr>
          <w:p w14:paraId="29ADB5EF">
            <w:pPr>
              <w:spacing w:before="29" w:line="274" w:lineRule="exact"/>
              <w:ind w:left="4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11.3</w:t>
            </w:r>
          </w:p>
        </w:tc>
        <w:tc>
          <w:tcPr>
            <w:tcW w:w="1277" w:type="dxa"/>
            <w:vAlign w:val="top"/>
          </w:tcPr>
          <w:p w14:paraId="752820ED">
            <w:pPr>
              <w:spacing w:before="29" w:line="274" w:lineRule="exact"/>
              <w:ind w:left="4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2.89</w:t>
            </w:r>
          </w:p>
        </w:tc>
        <w:tc>
          <w:tcPr>
            <w:tcW w:w="1277" w:type="dxa"/>
            <w:vAlign w:val="top"/>
          </w:tcPr>
          <w:p w14:paraId="58B5BE20">
            <w:pPr>
              <w:spacing w:before="29" w:line="274" w:lineRule="exact"/>
              <w:ind w:left="4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1.15</w:t>
            </w:r>
          </w:p>
        </w:tc>
        <w:tc>
          <w:tcPr>
            <w:tcW w:w="1277" w:type="dxa"/>
            <w:vAlign w:val="top"/>
          </w:tcPr>
          <w:p w14:paraId="24BF0C1F">
            <w:pPr>
              <w:spacing w:before="29"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0.86</w:t>
            </w:r>
          </w:p>
        </w:tc>
        <w:tc>
          <w:tcPr>
            <w:tcW w:w="1282" w:type="dxa"/>
            <w:vAlign w:val="top"/>
          </w:tcPr>
          <w:p w14:paraId="74A56BDF">
            <w:pPr>
              <w:spacing w:before="29"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0.56</w:t>
            </w:r>
          </w:p>
        </w:tc>
      </w:tr>
      <w:tr w14:paraId="6A4BE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82" w:type="dxa"/>
            <w:vMerge w:val="continue"/>
            <w:tcBorders>
              <w:top w:val="nil"/>
            </w:tcBorders>
            <w:vAlign w:val="top"/>
          </w:tcPr>
          <w:p w14:paraId="35106EBA">
            <w:pPr>
              <w:rPr>
                <w:rFonts w:ascii="Arial"/>
                <w:sz w:val="21"/>
              </w:rPr>
            </w:pPr>
          </w:p>
        </w:tc>
        <w:tc>
          <w:tcPr>
            <w:tcW w:w="1277" w:type="dxa"/>
            <w:vAlign w:val="top"/>
          </w:tcPr>
          <w:p w14:paraId="41959529">
            <w:pPr>
              <w:pStyle w:val="6"/>
              <w:spacing w:before="61" w:line="228" w:lineRule="auto"/>
              <w:ind w:left="435"/>
            </w:pPr>
            <w:r>
              <w:rPr>
                <w:spacing w:val="3"/>
              </w:rPr>
              <w:t>洒水</w:t>
            </w:r>
          </w:p>
        </w:tc>
        <w:tc>
          <w:tcPr>
            <w:tcW w:w="1278" w:type="dxa"/>
            <w:vAlign w:val="top"/>
          </w:tcPr>
          <w:p w14:paraId="0886B9A0">
            <w:pPr>
              <w:spacing w:before="30" w:line="274"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2.11</w:t>
            </w:r>
          </w:p>
        </w:tc>
        <w:tc>
          <w:tcPr>
            <w:tcW w:w="1277" w:type="dxa"/>
            <w:vAlign w:val="top"/>
          </w:tcPr>
          <w:p w14:paraId="56D63EF5">
            <w:pPr>
              <w:spacing w:before="30" w:line="274" w:lineRule="exact"/>
              <w:ind w:left="4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1.40</w:t>
            </w:r>
          </w:p>
        </w:tc>
        <w:tc>
          <w:tcPr>
            <w:tcW w:w="1277" w:type="dxa"/>
            <w:vAlign w:val="top"/>
          </w:tcPr>
          <w:p w14:paraId="6AF284DB">
            <w:pPr>
              <w:spacing w:before="30" w:line="274" w:lineRule="exact"/>
              <w:ind w:left="4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0.68</w:t>
            </w:r>
          </w:p>
        </w:tc>
        <w:tc>
          <w:tcPr>
            <w:tcW w:w="1277" w:type="dxa"/>
            <w:vAlign w:val="top"/>
          </w:tcPr>
          <w:p w14:paraId="5E33D12D">
            <w:pPr>
              <w:spacing w:before="30"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0.60</w:t>
            </w:r>
          </w:p>
        </w:tc>
        <w:tc>
          <w:tcPr>
            <w:tcW w:w="1282" w:type="dxa"/>
            <w:vAlign w:val="top"/>
          </w:tcPr>
          <w:p w14:paraId="7ED4E363">
            <w:pPr>
              <w:spacing w:before="30"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0.29</w:t>
            </w:r>
          </w:p>
        </w:tc>
      </w:tr>
      <w:tr w14:paraId="217F1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559" w:type="dxa"/>
            <w:gridSpan w:val="2"/>
            <w:vAlign w:val="top"/>
          </w:tcPr>
          <w:p w14:paraId="02AFAD00">
            <w:pPr>
              <w:pStyle w:val="6"/>
              <w:spacing w:before="62" w:line="228" w:lineRule="auto"/>
              <w:ind w:left="881"/>
            </w:pPr>
            <w:r>
              <w:rPr>
                <w:spacing w:val="3"/>
              </w:rPr>
              <w:t>降尘效率</w:t>
            </w:r>
          </w:p>
        </w:tc>
        <w:tc>
          <w:tcPr>
            <w:tcW w:w="1278" w:type="dxa"/>
            <w:vAlign w:val="top"/>
          </w:tcPr>
          <w:p w14:paraId="507242AF">
            <w:pPr>
              <w:spacing w:before="31" w:line="274" w:lineRule="exact"/>
              <w:ind w:left="46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80.2</w:t>
            </w:r>
          </w:p>
        </w:tc>
        <w:tc>
          <w:tcPr>
            <w:tcW w:w="1277" w:type="dxa"/>
            <w:vAlign w:val="top"/>
          </w:tcPr>
          <w:p w14:paraId="7544F07C">
            <w:pPr>
              <w:spacing w:before="31" w:line="274" w:lineRule="exact"/>
              <w:ind w:left="46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51.6</w:t>
            </w:r>
          </w:p>
        </w:tc>
        <w:tc>
          <w:tcPr>
            <w:tcW w:w="1277" w:type="dxa"/>
            <w:vAlign w:val="top"/>
          </w:tcPr>
          <w:p w14:paraId="4935E17B">
            <w:pPr>
              <w:spacing w:before="31" w:line="274"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41.7</w:t>
            </w:r>
          </w:p>
        </w:tc>
        <w:tc>
          <w:tcPr>
            <w:tcW w:w="1277" w:type="dxa"/>
            <w:vAlign w:val="top"/>
          </w:tcPr>
          <w:p w14:paraId="45942895">
            <w:pPr>
              <w:spacing w:before="31" w:line="274" w:lineRule="exact"/>
              <w:ind w:left="46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30.2</w:t>
            </w:r>
          </w:p>
        </w:tc>
        <w:tc>
          <w:tcPr>
            <w:tcW w:w="1282" w:type="dxa"/>
            <w:vAlign w:val="top"/>
          </w:tcPr>
          <w:p w14:paraId="703BC994">
            <w:pPr>
              <w:spacing w:before="31" w:line="274" w:lineRule="exact"/>
              <w:ind w:left="4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48.2</w:t>
            </w:r>
          </w:p>
        </w:tc>
      </w:tr>
    </w:tbl>
    <w:p w14:paraId="0446E579">
      <w:pPr>
        <w:spacing w:before="252" w:line="367" w:lineRule="auto"/>
        <w:ind w:left="122" w:right="110" w:firstLine="510"/>
        <w:jc w:val="both"/>
        <w:rPr>
          <w:rFonts w:ascii="宋体" w:hAnsi="宋体" w:eastAsia="宋体" w:cs="宋体"/>
          <w:sz w:val="24"/>
          <w:szCs w:val="24"/>
        </w:rPr>
      </w:pPr>
      <w:r>
        <w:rPr>
          <w:rFonts w:ascii="宋体" w:hAnsi="宋体" w:eastAsia="宋体" w:cs="宋体"/>
          <w:spacing w:val="-4"/>
          <w:sz w:val="24"/>
          <w:szCs w:val="24"/>
        </w:rPr>
        <w:t>由表</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 xml:space="preserve">1-2 </w:t>
      </w:r>
      <w:r>
        <w:rPr>
          <w:rFonts w:ascii="宋体" w:hAnsi="宋体" w:eastAsia="宋体" w:cs="宋体"/>
          <w:spacing w:val="-4"/>
          <w:sz w:val="24"/>
          <w:szCs w:val="24"/>
        </w:rPr>
        <w:t>可知，有效的洒水抑尘可以使施工扬尘在</w:t>
      </w:r>
      <w:r>
        <w:rPr>
          <w:rFonts w:ascii="Times New Roman" w:hAnsi="Times New Roman" w:eastAsia="Times New Roman" w:cs="Times New Roman"/>
          <w:spacing w:val="-4"/>
          <w:sz w:val="24"/>
          <w:szCs w:val="24"/>
        </w:rPr>
        <w:t>40m</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的</w:t>
      </w:r>
      <w:r>
        <w:rPr>
          <w:rFonts w:ascii="宋体" w:hAnsi="宋体" w:eastAsia="宋体" w:cs="宋体"/>
          <w:spacing w:val="-5"/>
          <w:sz w:val="24"/>
          <w:szCs w:val="24"/>
        </w:rPr>
        <w:t>距离内达到广东省地</w:t>
      </w:r>
      <w:r>
        <w:rPr>
          <w:rFonts w:ascii="宋体" w:hAnsi="宋体" w:eastAsia="宋体" w:cs="宋体"/>
          <w:sz w:val="24"/>
          <w:szCs w:val="24"/>
        </w:rPr>
        <w:t xml:space="preserve"> </w:t>
      </w:r>
      <w:r>
        <w:rPr>
          <w:rFonts w:ascii="宋体" w:hAnsi="宋体" w:eastAsia="宋体" w:cs="宋体"/>
          <w:spacing w:val="2"/>
          <w:sz w:val="24"/>
          <w:szCs w:val="24"/>
        </w:rPr>
        <w:t>方标准《大气污染物排放限值》（</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44/27-2001</w:t>
      </w:r>
      <w:r>
        <w:rPr>
          <w:rFonts w:ascii="宋体" w:hAnsi="宋体" w:eastAsia="宋体" w:cs="宋体"/>
          <w:spacing w:val="2"/>
          <w:sz w:val="24"/>
          <w:szCs w:val="24"/>
        </w:rPr>
        <w:t>）中颗粒物无组织排放监控浓度限</w:t>
      </w:r>
      <w:r>
        <w:rPr>
          <w:rFonts w:ascii="宋体" w:hAnsi="宋体" w:eastAsia="宋体" w:cs="宋体"/>
          <w:spacing w:val="1"/>
          <w:sz w:val="24"/>
          <w:szCs w:val="24"/>
        </w:rPr>
        <w:t xml:space="preserve"> </w:t>
      </w:r>
      <w:r>
        <w:rPr>
          <w:rFonts w:ascii="宋体" w:hAnsi="宋体" w:eastAsia="宋体" w:cs="宋体"/>
          <w:spacing w:val="3"/>
          <w:sz w:val="24"/>
          <w:szCs w:val="24"/>
        </w:rPr>
        <w:t>值要求（</w:t>
      </w:r>
      <w:r>
        <w:rPr>
          <w:rFonts w:ascii="Times New Roman" w:hAnsi="Times New Roman" w:eastAsia="Times New Roman" w:cs="Times New Roman"/>
          <w:spacing w:val="3"/>
          <w:sz w:val="24"/>
          <w:szCs w:val="24"/>
        </w:rPr>
        <w:t>1.0</w:t>
      </w:r>
      <w:r>
        <w:rPr>
          <w:rFonts w:ascii="Times New Roman" w:hAnsi="Times New Roman" w:eastAsia="Times New Roman" w:cs="Times New Roman"/>
          <w:sz w:val="24"/>
          <w:szCs w:val="24"/>
        </w:rPr>
        <w:t>mg</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 xml:space="preserve">3 </w:t>
      </w:r>
      <w:r>
        <w:rPr>
          <w:rFonts w:ascii="宋体" w:hAnsi="宋体" w:eastAsia="宋体" w:cs="宋体"/>
          <w:spacing w:val="-10"/>
          <w:sz w:val="24"/>
          <w:szCs w:val="24"/>
        </w:rPr>
        <w:t>），</w:t>
      </w:r>
      <w:r>
        <w:rPr>
          <w:rFonts w:ascii="宋体" w:hAnsi="宋体" w:eastAsia="宋体" w:cs="宋体"/>
          <w:spacing w:val="3"/>
          <w:sz w:val="24"/>
          <w:szCs w:val="24"/>
        </w:rPr>
        <w:t>在此范围内洒水降尘</w:t>
      </w:r>
      <w:r>
        <w:rPr>
          <w:rFonts w:ascii="宋体" w:hAnsi="宋体" w:eastAsia="宋体" w:cs="宋体"/>
          <w:spacing w:val="2"/>
          <w:sz w:val="24"/>
          <w:szCs w:val="24"/>
        </w:rPr>
        <w:t>效率达到</w:t>
      </w:r>
      <w:r>
        <w:rPr>
          <w:rFonts w:ascii="Times New Roman" w:hAnsi="Times New Roman" w:eastAsia="Times New Roman" w:cs="Times New Roman"/>
          <w:spacing w:val="2"/>
          <w:sz w:val="24"/>
          <w:szCs w:val="24"/>
        </w:rPr>
        <w:t>40</w:t>
      </w:r>
      <w:r>
        <w:rPr>
          <w:rFonts w:ascii="宋体" w:hAnsi="宋体" w:eastAsia="宋体" w:cs="宋体"/>
          <w:spacing w:val="2"/>
          <w:sz w:val="24"/>
          <w:szCs w:val="24"/>
        </w:rPr>
        <w:t>～</w:t>
      </w:r>
      <w:r>
        <w:rPr>
          <w:rFonts w:ascii="Times New Roman" w:hAnsi="Times New Roman" w:eastAsia="Times New Roman" w:cs="Times New Roman"/>
          <w:spacing w:val="2"/>
          <w:sz w:val="24"/>
          <w:szCs w:val="24"/>
        </w:rPr>
        <w:t>50%</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，有效降低了施工现</w:t>
      </w:r>
      <w:r>
        <w:rPr>
          <w:rFonts w:ascii="宋体" w:hAnsi="宋体" w:eastAsia="宋体" w:cs="宋体"/>
          <w:sz w:val="24"/>
          <w:szCs w:val="24"/>
        </w:rPr>
        <w:t xml:space="preserve"> </w:t>
      </w:r>
      <w:r>
        <w:rPr>
          <w:rFonts w:ascii="宋体" w:hAnsi="宋体" w:eastAsia="宋体" w:cs="宋体"/>
          <w:spacing w:val="-1"/>
          <w:sz w:val="24"/>
          <w:szCs w:val="24"/>
        </w:rPr>
        <w:t>场的扬尘污染程度。</w:t>
      </w:r>
    </w:p>
    <w:p w14:paraId="0610495A">
      <w:pPr>
        <w:spacing w:before="86" w:line="366" w:lineRule="auto"/>
        <w:ind w:left="124" w:right="49" w:firstLine="479"/>
        <w:jc w:val="both"/>
        <w:rPr>
          <w:rFonts w:ascii="宋体" w:hAnsi="宋体" w:eastAsia="宋体" w:cs="宋体"/>
          <w:sz w:val="24"/>
          <w:szCs w:val="24"/>
        </w:rPr>
      </w:pPr>
      <w:r>
        <w:rPr>
          <w:rFonts w:ascii="宋体" w:hAnsi="宋体" w:eastAsia="宋体" w:cs="宋体"/>
          <w:spacing w:val="2"/>
          <w:sz w:val="24"/>
          <w:szCs w:val="24"/>
        </w:rPr>
        <w:t>本项目位于远离市区，周边居民很少，做好施工过程中的防尘措施，则施工扬</w:t>
      </w:r>
      <w:r>
        <w:rPr>
          <w:rFonts w:ascii="宋体" w:hAnsi="宋体" w:eastAsia="宋体" w:cs="宋体"/>
          <w:spacing w:val="9"/>
          <w:sz w:val="24"/>
          <w:szCs w:val="24"/>
        </w:rPr>
        <w:t xml:space="preserve"> </w:t>
      </w:r>
      <w:r>
        <w:rPr>
          <w:rFonts w:ascii="宋体" w:hAnsi="宋体" w:eastAsia="宋体" w:cs="宋体"/>
          <w:spacing w:val="-3"/>
          <w:sz w:val="24"/>
          <w:szCs w:val="24"/>
        </w:rPr>
        <w:t>尘对敏感点的影响不大。对于特定的工程施工，扬尘造成的污染是短期的、局部的，</w:t>
      </w:r>
      <w:r>
        <w:rPr>
          <w:rFonts w:ascii="宋体" w:hAnsi="宋体" w:eastAsia="宋体" w:cs="宋体"/>
          <w:spacing w:val="10"/>
          <w:sz w:val="24"/>
          <w:szCs w:val="24"/>
        </w:rPr>
        <w:t xml:space="preserve"> </w:t>
      </w:r>
      <w:r>
        <w:rPr>
          <w:rFonts w:ascii="宋体" w:hAnsi="宋体" w:eastAsia="宋体" w:cs="宋体"/>
          <w:sz w:val="24"/>
          <w:szCs w:val="24"/>
        </w:rPr>
        <w:t>随着施工期结束其排放即为零。因此，本项目施</w:t>
      </w:r>
      <w:r>
        <w:rPr>
          <w:rFonts w:ascii="宋体" w:hAnsi="宋体" w:eastAsia="宋体" w:cs="宋体"/>
          <w:spacing w:val="-1"/>
          <w:sz w:val="24"/>
          <w:szCs w:val="24"/>
        </w:rPr>
        <w:t>工期大气环境影响是有限的。</w:t>
      </w:r>
    </w:p>
    <w:p w14:paraId="458CF6B2">
      <w:pPr>
        <w:spacing w:line="359" w:lineRule="exact"/>
        <w:ind w:left="598"/>
        <w:rPr>
          <w:rFonts w:ascii="宋体" w:hAnsi="宋体" w:eastAsia="宋体" w:cs="宋体"/>
          <w:sz w:val="24"/>
          <w:szCs w:val="24"/>
        </w:rPr>
      </w:pPr>
      <w:r>
        <w:rPr>
          <w:rFonts w:ascii="Times New Roman" w:hAnsi="Times New Roman" w:eastAsia="Times New Roman" w:cs="Times New Roman"/>
          <w:spacing w:val="-2"/>
          <w:position w:val="2"/>
          <w:sz w:val="24"/>
          <w:szCs w:val="24"/>
        </w:rPr>
        <w:t>2</w:t>
      </w:r>
      <w:r>
        <w:rPr>
          <w:rFonts w:ascii="Times New Roman" w:hAnsi="Times New Roman" w:eastAsia="Times New Roman" w:cs="Times New Roman"/>
          <w:spacing w:val="-29"/>
          <w:position w:val="2"/>
          <w:sz w:val="24"/>
          <w:szCs w:val="24"/>
        </w:rPr>
        <w:t xml:space="preserve"> </w:t>
      </w:r>
      <w:r>
        <w:rPr>
          <w:rFonts w:ascii="宋体" w:hAnsi="宋体" w:eastAsia="宋体" w:cs="宋体"/>
          <w:spacing w:val="-2"/>
          <w:position w:val="2"/>
          <w:sz w:val="24"/>
          <w:szCs w:val="24"/>
        </w:rPr>
        <w:t>、施工期机械及运输车辆产生的燃油废气</w:t>
      </w:r>
    </w:p>
    <w:p w14:paraId="64AD7728">
      <w:pPr>
        <w:spacing w:before="168" w:line="376" w:lineRule="auto"/>
        <w:ind w:left="122" w:right="32" w:firstLine="494"/>
        <w:rPr>
          <w:rFonts w:ascii="宋体" w:hAnsi="宋体" w:eastAsia="宋体" w:cs="宋体"/>
          <w:sz w:val="24"/>
          <w:szCs w:val="24"/>
        </w:rPr>
      </w:pPr>
      <w:r>
        <w:rPr>
          <w:rFonts w:ascii="宋体" w:hAnsi="宋体" w:eastAsia="宋体" w:cs="宋体"/>
          <w:spacing w:val="2"/>
          <w:sz w:val="24"/>
          <w:szCs w:val="24"/>
        </w:rPr>
        <w:t>除施工扬尘影响外，建设施工机械排放的废气和进出施工场地的各类</w:t>
      </w:r>
      <w:r>
        <w:rPr>
          <w:rFonts w:ascii="宋体" w:hAnsi="宋体" w:eastAsia="宋体" w:cs="宋体"/>
          <w:spacing w:val="1"/>
          <w:sz w:val="24"/>
          <w:szCs w:val="24"/>
        </w:rPr>
        <w:t>运输车辆</w:t>
      </w:r>
      <w:r>
        <w:rPr>
          <w:rFonts w:ascii="宋体" w:hAnsi="宋体" w:eastAsia="宋体" w:cs="宋体"/>
          <w:sz w:val="24"/>
          <w:szCs w:val="24"/>
        </w:rPr>
        <w:t xml:space="preserve"> </w:t>
      </w:r>
      <w:r>
        <w:rPr>
          <w:rFonts w:ascii="宋体" w:hAnsi="宋体" w:eastAsia="宋体" w:cs="宋体"/>
          <w:spacing w:val="2"/>
          <w:sz w:val="24"/>
          <w:szCs w:val="24"/>
        </w:rPr>
        <w:t>排放的汽车尾气也将在短期内影响项目周边的环境空气质量，施工机械排放废气主</w:t>
      </w:r>
      <w:r>
        <w:rPr>
          <w:rFonts w:ascii="宋体" w:hAnsi="宋体" w:eastAsia="宋体" w:cs="宋体"/>
          <w:spacing w:val="6"/>
          <w:sz w:val="24"/>
          <w:szCs w:val="24"/>
        </w:rPr>
        <w:t xml:space="preserve"> </w:t>
      </w:r>
      <w:r>
        <w:rPr>
          <w:rFonts w:ascii="宋体" w:hAnsi="宋体" w:eastAsia="宋体" w:cs="宋体"/>
          <w:spacing w:val="2"/>
          <w:sz w:val="24"/>
          <w:szCs w:val="24"/>
        </w:rPr>
        <w:t>要集中在钻桩、挖土阶段，废气排放量与同时运转的机械设备的数量有关；而运输</w:t>
      </w:r>
      <w:r>
        <w:rPr>
          <w:rFonts w:ascii="宋体" w:hAnsi="宋体" w:eastAsia="宋体" w:cs="宋体"/>
          <w:spacing w:val="6"/>
          <w:sz w:val="24"/>
          <w:szCs w:val="24"/>
        </w:rPr>
        <w:t xml:space="preserve"> </w:t>
      </w:r>
      <w:r>
        <w:rPr>
          <w:rFonts w:ascii="宋体" w:hAnsi="宋体" w:eastAsia="宋体" w:cs="宋体"/>
          <w:spacing w:val="-2"/>
          <w:sz w:val="24"/>
          <w:szCs w:val="24"/>
        </w:rPr>
        <w:t>车辆的废气排放，除与进出施工场地的车辆数量相关外，还与汽车的</w:t>
      </w:r>
      <w:r>
        <w:rPr>
          <w:rFonts w:ascii="宋体" w:hAnsi="宋体" w:eastAsia="宋体" w:cs="宋体"/>
          <w:spacing w:val="-3"/>
          <w:sz w:val="24"/>
          <w:szCs w:val="24"/>
        </w:rPr>
        <w:t>行驶状态有关。</w:t>
      </w:r>
      <w:r>
        <w:rPr>
          <w:rFonts w:ascii="宋体" w:hAnsi="宋体" w:eastAsia="宋体" w:cs="宋体"/>
          <w:sz w:val="24"/>
          <w:szCs w:val="24"/>
        </w:rPr>
        <w:t xml:space="preserve"> </w:t>
      </w:r>
      <w:r>
        <w:rPr>
          <w:rFonts w:ascii="宋体" w:hAnsi="宋体" w:eastAsia="宋体" w:cs="宋体"/>
          <w:spacing w:val="2"/>
          <w:sz w:val="24"/>
          <w:szCs w:val="24"/>
        </w:rPr>
        <w:t>合理地进行施工作业，加强施工的现场管理，将直接影响施工现场的大气污染物排</w:t>
      </w:r>
      <w:r>
        <w:rPr>
          <w:rFonts w:ascii="宋体" w:hAnsi="宋体" w:eastAsia="宋体" w:cs="宋体"/>
          <w:spacing w:val="6"/>
          <w:sz w:val="24"/>
          <w:szCs w:val="24"/>
        </w:rPr>
        <w:t xml:space="preserve"> </w:t>
      </w:r>
      <w:r>
        <w:rPr>
          <w:rFonts w:ascii="宋体" w:hAnsi="宋体" w:eastAsia="宋体" w:cs="宋体"/>
          <w:spacing w:val="-5"/>
          <w:sz w:val="24"/>
          <w:szCs w:val="24"/>
        </w:rPr>
        <w:t>放。</w:t>
      </w:r>
    </w:p>
    <w:p w14:paraId="1D99885F">
      <w:pPr>
        <w:spacing w:before="4" w:line="376" w:lineRule="auto"/>
        <w:ind w:left="124" w:right="42" w:firstLine="438"/>
        <w:jc w:val="both"/>
        <w:rPr>
          <w:rFonts w:ascii="宋体" w:hAnsi="宋体" w:eastAsia="宋体" w:cs="宋体"/>
          <w:sz w:val="24"/>
          <w:szCs w:val="24"/>
        </w:rPr>
      </w:pPr>
      <w:r>
        <w:rPr>
          <w:rFonts w:ascii="宋体" w:hAnsi="宋体" w:eastAsia="宋体" w:cs="宋体"/>
          <w:spacing w:val="-2"/>
          <w:sz w:val="24"/>
          <w:szCs w:val="24"/>
        </w:rPr>
        <w:t>本项目施工时施工车辆、钻桩机、挖土机等因燃油产生的二氧化硫、氮氧化物、</w:t>
      </w:r>
      <w:r>
        <w:rPr>
          <w:rFonts w:ascii="宋体" w:hAnsi="宋体" w:eastAsia="宋体" w:cs="宋体"/>
          <w:spacing w:val="18"/>
          <w:sz w:val="24"/>
          <w:szCs w:val="24"/>
        </w:rPr>
        <w:t xml:space="preserve"> </w:t>
      </w:r>
      <w:r>
        <w:rPr>
          <w:rFonts w:ascii="宋体" w:hAnsi="宋体" w:eastAsia="宋体" w:cs="宋体"/>
          <w:spacing w:val="2"/>
          <w:sz w:val="24"/>
          <w:szCs w:val="24"/>
        </w:rPr>
        <w:t>一氧化碳、烃类等污染物对大气环境将有所影响，但此类污染物排放量不大，且表</w:t>
      </w:r>
      <w:r>
        <w:rPr>
          <w:rFonts w:ascii="宋体" w:hAnsi="宋体" w:eastAsia="宋体" w:cs="宋体"/>
          <w:spacing w:val="4"/>
          <w:sz w:val="24"/>
          <w:szCs w:val="24"/>
        </w:rPr>
        <w:t xml:space="preserve"> </w:t>
      </w:r>
      <w:r>
        <w:rPr>
          <w:rFonts w:ascii="宋体" w:hAnsi="宋体" w:eastAsia="宋体" w:cs="宋体"/>
          <w:spacing w:val="2"/>
          <w:sz w:val="24"/>
          <w:szCs w:val="24"/>
        </w:rPr>
        <w:t>现为间歇特征，受影响的为现场施工人员。为了防治施工期间机械燃油尾气，须加</w:t>
      </w:r>
      <w:r>
        <w:rPr>
          <w:rFonts w:ascii="宋体" w:hAnsi="宋体" w:eastAsia="宋体" w:cs="宋体"/>
          <w:spacing w:val="4"/>
          <w:sz w:val="24"/>
          <w:szCs w:val="24"/>
        </w:rPr>
        <w:t xml:space="preserve"> </w:t>
      </w:r>
      <w:r>
        <w:rPr>
          <w:rFonts w:ascii="宋体" w:hAnsi="宋体" w:eastAsia="宋体" w:cs="宋体"/>
          <w:spacing w:val="-1"/>
          <w:sz w:val="24"/>
          <w:szCs w:val="24"/>
        </w:rPr>
        <w:t>强施工机械管理，确保油料燃烧完全。</w:t>
      </w:r>
    </w:p>
    <w:p w14:paraId="668B9168">
      <w:pPr>
        <w:spacing w:line="376" w:lineRule="auto"/>
        <w:rPr>
          <w:rFonts w:ascii="宋体" w:hAnsi="宋体" w:eastAsia="宋体" w:cs="宋体"/>
          <w:sz w:val="24"/>
          <w:szCs w:val="24"/>
        </w:rPr>
        <w:sectPr>
          <w:footerReference r:id="rId120" w:type="default"/>
          <w:pgSz w:w="11906" w:h="16839"/>
          <w:pgMar w:top="400" w:right="1475" w:bottom="1485" w:left="1475" w:header="0" w:footer="1249" w:gutter="0"/>
          <w:cols w:space="720" w:num="1"/>
        </w:sectPr>
      </w:pPr>
    </w:p>
    <w:p w14:paraId="18DC1010">
      <w:pPr>
        <w:pStyle w:val="2"/>
        <w:spacing w:line="255" w:lineRule="auto"/>
      </w:pPr>
    </w:p>
    <w:p w14:paraId="6F11B3A4">
      <w:pPr>
        <w:pStyle w:val="2"/>
        <w:spacing w:line="255" w:lineRule="auto"/>
      </w:pPr>
    </w:p>
    <w:p w14:paraId="54CC9C69">
      <w:pPr>
        <w:pStyle w:val="2"/>
        <w:spacing w:line="256" w:lineRule="auto"/>
      </w:pPr>
    </w:p>
    <w:p w14:paraId="682718AA">
      <w:pPr>
        <w:pStyle w:val="2"/>
        <w:spacing w:line="256" w:lineRule="auto"/>
      </w:pPr>
    </w:p>
    <w:p w14:paraId="2D6C9F00">
      <w:pPr>
        <w:spacing w:before="78" w:line="360" w:lineRule="exact"/>
        <w:ind w:left="481"/>
        <w:outlineLvl w:val="0"/>
        <w:rPr>
          <w:rFonts w:ascii="宋体" w:hAnsi="宋体" w:eastAsia="宋体" w:cs="宋体"/>
          <w:sz w:val="24"/>
          <w:szCs w:val="24"/>
        </w:rPr>
      </w:pPr>
      <w:r>
        <w:rPr>
          <w:rFonts w:ascii="Times New Roman" w:hAnsi="Times New Roman" w:eastAsia="Times New Roman" w:cs="Times New Roman"/>
          <w:spacing w:val="-6"/>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6"/>
          <w:position w:val="2"/>
          <w:sz w:val="24"/>
          <w:szCs w:val="24"/>
        </w:rPr>
        <w:t>、装修废气</w:t>
      </w:r>
    </w:p>
    <w:p w14:paraId="7848C46F">
      <w:pPr>
        <w:spacing w:before="166" w:line="372" w:lineRule="auto"/>
        <w:ind w:right="63" w:firstLine="480"/>
        <w:jc w:val="both"/>
        <w:rPr>
          <w:rFonts w:ascii="宋体" w:hAnsi="宋体" w:eastAsia="宋体" w:cs="宋体"/>
          <w:sz w:val="24"/>
          <w:szCs w:val="24"/>
        </w:rPr>
      </w:pPr>
      <w:r>
        <w:rPr>
          <w:rFonts w:ascii="宋体" w:hAnsi="宋体" w:eastAsia="宋体" w:cs="宋体"/>
          <w:spacing w:val="2"/>
          <w:sz w:val="24"/>
          <w:szCs w:val="24"/>
        </w:rPr>
        <w:t>本项目属于简单装修，装修时油漆废气产生量较少，该废气的排放属无组织排</w:t>
      </w:r>
      <w:r>
        <w:rPr>
          <w:rFonts w:ascii="宋体" w:hAnsi="宋体" w:eastAsia="宋体" w:cs="宋体"/>
          <w:spacing w:val="6"/>
          <w:sz w:val="24"/>
          <w:szCs w:val="24"/>
        </w:rPr>
        <w:t xml:space="preserve"> </w:t>
      </w:r>
      <w:r>
        <w:rPr>
          <w:rFonts w:ascii="宋体" w:hAnsi="宋体" w:eastAsia="宋体" w:cs="宋体"/>
          <w:spacing w:val="2"/>
          <w:sz w:val="24"/>
          <w:szCs w:val="24"/>
        </w:rPr>
        <w:t>放，其主要污染因子为二甲苯和甲苯，此外还有极少量的汽油、丁醇和丙醇等。但</w:t>
      </w:r>
      <w:r>
        <w:rPr>
          <w:rFonts w:ascii="宋体" w:hAnsi="宋体" w:eastAsia="宋体" w:cs="宋体"/>
          <w:spacing w:val="6"/>
          <w:sz w:val="24"/>
          <w:szCs w:val="24"/>
        </w:rPr>
        <w:t xml:space="preserve"> </w:t>
      </w:r>
      <w:r>
        <w:rPr>
          <w:rFonts w:ascii="宋体" w:hAnsi="宋体" w:eastAsia="宋体" w:cs="宋体"/>
          <w:spacing w:val="2"/>
          <w:sz w:val="24"/>
          <w:szCs w:val="24"/>
        </w:rPr>
        <w:t>排放时间和部位不明确，装修阶段的油漆废气排放周期短，且作业分散。因此在装</w:t>
      </w:r>
      <w:r>
        <w:rPr>
          <w:rFonts w:ascii="宋体" w:hAnsi="宋体" w:eastAsia="宋体" w:cs="宋体"/>
          <w:spacing w:val="6"/>
          <w:sz w:val="24"/>
          <w:szCs w:val="24"/>
        </w:rPr>
        <w:t xml:space="preserve"> </w:t>
      </w:r>
      <w:r>
        <w:rPr>
          <w:rFonts w:ascii="宋体" w:hAnsi="宋体" w:eastAsia="宋体" w:cs="宋体"/>
          <w:spacing w:val="2"/>
          <w:sz w:val="24"/>
          <w:szCs w:val="24"/>
        </w:rPr>
        <w:t>修期间应加强室内的通风换气。由于油漆中含有甲醛、二甲苯和甲苯等影响环境质</w:t>
      </w:r>
      <w:r>
        <w:rPr>
          <w:rFonts w:ascii="宋体" w:hAnsi="宋体" w:eastAsia="宋体" w:cs="宋体"/>
          <w:spacing w:val="6"/>
          <w:sz w:val="24"/>
          <w:szCs w:val="24"/>
        </w:rPr>
        <w:t xml:space="preserve"> </w:t>
      </w:r>
      <w:r>
        <w:rPr>
          <w:rFonts w:ascii="宋体" w:hAnsi="宋体" w:eastAsia="宋体" w:cs="宋体"/>
          <w:spacing w:val="2"/>
          <w:sz w:val="24"/>
          <w:szCs w:val="24"/>
        </w:rPr>
        <w:t>量的有毒有害物质挥发时间较长，所以正式运行后一段时间内也要注意室内空气的</w:t>
      </w:r>
      <w:r>
        <w:rPr>
          <w:rFonts w:ascii="宋体" w:hAnsi="宋体" w:eastAsia="宋体" w:cs="宋体"/>
          <w:spacing w:val="6"/>
          <w:sz w:val="24"/>
          <w:szCs w:val="24"/>
        </w:rPr>
        <w:t xml:space="preserve"> </w:t>
      </w:r>
      <w:r>
        <w:rPr>
          <w:rFonts w:ascii="宋体" w:hAnsi="宋体" w:eastAsia="宋体" w:cs="宋体"/>
          <w:spacing w:val="2"/>
          <w:sz w:val="24"/>
          <w:szCs w:val="24"/>
        </w:rPr>
        <w:t>流畅。而油漆挥发需要一定时间，受影响的空间方位一般只局限于墙面的附近，因</w:t>
      </w:r>
      <w:r>
        <w:rPr>
          <w:rFonts w:ascii="宋体" w:hAnsi="宋体" w:eastAsia="宋体" w:cs="宋体"/>
          <w:spacing w:val="6"/>
          <w:sz w:val="24"/>
          <w:szCs w:val="24"/>
        </w:rPr>
        <w:t xml:space="preserve"> </w:t>
      </w:r>
      <w:r>
        <w:rPr>
          <w:rFonts w:ascii="宋体" w:hAnsi="宋体" w:eastAsia="宋体" w:cs="宋体"/>
          <w:spacing w:val="-1"/>
          <w:sz w:val="24"/>
          <w:szCs w:val="24"/>
        </w:rPr>
        <w:t>此，油漆废气对建筑物外的大气环境不会造成很大影响。</w:t>
      </w:r>
    </w:p>
    <w:p w14:paraId="4730F7D5">
      <w:pPr>
        <w:spacing w:line="361" w:lineRule="exact"/>
        <w:ind w:left="475"/>
        <w:rPr>
          <w:rFonts w:ascii="宋体" w:hAnsi="宋体" w:eastAsia="宋体" w:cs="宋体"/>
          <w:sz w:val="24"/>
          <w:szCs w:val="24"/>
        </w:rPr>
      </w:pPr>
      <w:r>
        <w:rPr>
          <w:rFonts w:ascii="Times New Roman" w:hAnsi="Times New Roman" w:eastAsia="Times New Roman" w:cs="Times New Roman"/>
          <w:spacing w:val="-2"/>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2"/>
          <w:position w:val="2"/>
          <w:sz w:val="24"/>
          <w:szCs w:val="24"/>
        </w:rPr>
        <w:t>、施工期大气环境污染防治措施</w:t>
      </w:r>
    </w:p>
    <w:p w14:paraId="61CDA136">
      <w:pPr>
        <w:spacing w:before="164" w:line="362" w:lineRule="auto"/>
        <w:ind w:left="1" w:right="63" w:firstLine="481"/>
        <w:rPr>
          <w:rFonts w:ascii="宋体" w:hAnsi="宋体" w:eastAsia="宋体" w:cs="宋体"/>
          <w:sz w:val="24"/>
          <w:szCs w:val="24"/>
        </w:rPr>
      </w:pPr>
      <w:r>
        <w:rPr>
          <w:rFonts w:ascii="宋体" w:hAnsi="宋体" w:eastAsia="宋体" w:cs="宋体"/>
          <w:spacing w:val="2"/>
          <w:sz w:val="24"/>
          <w:szCs w:val="24"/>
        </w:rPr>
        <w:t>为减少施工废气对周边环境的影响，建设单位应采取屏蔽作业等合理可行的控</w:t>
      </w:r>
      <w:r>
        <w:rPr>
          <w:rFonts w:ascii="宋体" w:hAnsi="宋体" w:eastAsia="宋体" w:cs="宋体"/>
          <w:spacing w:val="7"/>
          <w:sz w:val="24"/>
          <w:szCs w:val="24"/>
        </w:rPr>
        <w:t xml:space="preserve"> </w:t>
      </w:r>
      <w:r>
        <w:rPr>
          <w:rFonts w:ascii="宋体" w:hAnsi="宋体" w:eastAsia="宋体" w:cs="宋体"/>
          <w:spacing w:val="-1"/>
          <w:sz w:val="24"/>
          <w:szCs w:val="24"/>
        </w:rPr>
        <w:t>制措施。针对不同的废气采取不同的对策。</w:t>
      </w:r>
    </w:p>
    <w:p w14:paraId="61A1D3D7">
      <w:pPr>
        <w:spacing w:line="343" w:lineRule="auto"/>
        <w:ind w:firstLine="49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）施工现场要实行屏蔽作业，现场四周除留必</w:t>
      </w:r>
      <w:r>
        <w:rPr>
          <w:rFonts w:ascii="宋体" w:hAnsi="宋体" w:eastAsia="宋体" w:cs="宋体"/>
          <w:spacing w:val="-7"/>
          <w:sz w:val="24"/>
          <w:szCs w:val="24"/>
        </w:rPr>
        <w:t>要的人员、车辆进出口通道外，</w:t>
      </w:r>
      <w:r>
        <w:rPr>
          <w:rFonts w:ascii="宋体" w:hAnsi="宋体" w:eastAsia="宋体" w:cs="宋体"/>
          <w:sz w:val="24"/>
          <w:szCs w:val="24"/>
        </w:rPr>
        <w:t xml:space="preserve"> </w:t>
      </w:r>
      <w:r>
        <w:rPr>
          <w:rFonts w:ascii="宋体" w:hAnsi="宋体" w:eastAsia="宋体" w:cs="宋体"/>
          <w:spacing w:val="2"/>
          <w:sz w:val="24"/>
          <w:szCs w:val="24"/>
        </w:rPr>
        <w:t>施工单位必须在施工开始前设置好连续封闭的围墙、围板或围栏，其高度从内外地</w:t>
      </w:r>
      <w:r>
        <w:rPr>
          <w:rFonts w:ascii="宋体" w:hAnsi="宋体" w:eastAsia="宋体" w:cs="宋体"/>
          <w:spacing w:val="7"/>
          <w:sz w:val="24"/>
          <w:szCs w:val="24"/>
        </w:rPr>
        <w:t xml:space="preserve"> </w:t>
      </w:r>
      <w:r>
        <w:rPr>
          <w:rFonts w:ascii="宋体" w:hAnsi="宋体" w:eastAsia="宋体" w:cs="宋体"/>
          <w:spacing w:val="-1"/>
          <w:sz w:val="24"/>
          <w:szCs w:val="24"/>
        </w:rPr>
        <w:t>面最高处计，围墙不得低于</w:t>
      </w:r>
      <w:r>
        <w:rPr>
          <w:rFonts w:ascii="Times New Roman" w:hAnsi="Times New Roman" w:eastAsia="Times New Roman" w:cs="Times New Roman"/>
          <w:spacing w:val="-1"/>
          <w:sz w:val="24"/>
          <w:szCs w:val="24"/>
        </w:rPr>
        <w:t>2m</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，围板不得低于</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1.8m</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，围栏为标准密扣式钢护栏。</w:t>
      </w:r>
    </w:p>
    <w:p w14:paraId="08D73FA1">
      <w:pPr>
        <w:spacing w:before="129" w:line="312" w:lineRule="auto"/>
        <w:ind w:right="63"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）对施工现场实行合理化管理，使砂石料统一堆放，袋装的粉体建筑材料应</w:t>
      </w:r>
      <w:r>
        <w:rPr>
          <w:rFonts w:ascii="宋体" w:hAnsi="宋体" w:eastAsia="宋体" w:cs="宋体"/>
          <w:spacing w:val="16"/>
          <w:sz w:val="24"/>
          <w:szCs w:val="24"/>
        </w:rPr>
        <w:t xml:space="preserve"> </w:t>
      </w:r>
      <w:r>
        <w:rPr>
          <w:rFonts w:ascii="宋体" w:hAnsi="宋体" w:eastAsia="宋体" w:cs="宋体"/>
          <w:sz w:val="24"/>
          <w:szCs w:val="24"/>
        </w:rPr>
        <w:t>在专门库房堆放，并尽量减少搬运环节，搬运时做到轻举轻</w:t>
      </w:r>
      <w:r>
        <w:rPr>
          <w:rFonts w:ascii="宋体" w:hAnsi="宋体" w:eastAsia="宋体" w:cs="宋体"/>
          <w:spacing w:val="-1"/>
          <w:sz w:val="24"/>
          <w:szCs w:val="24"/>
        </w:rPr>
        <w:t>放，防止包装袋破裂。</w:t>
      </w:r>
    </w:p>
    <w:p w14:paraId="2372A38A">
      <w:pPr>
        <w:spacing w:before="166" w:line="334" w:lineRule="auto"/>
        <w:ind w:right="63"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）开挖时，对作业面和土堆适当喷水，使其保持一定湿度，以减少扬尘量，</w:t>
      </w:r>
      <w:r>
        <w:rPr>
          <w:rFonts w:ascii="宋体" w:hAnsi="宋体" w:eastAsia="宋体" w:cs="宋体"/>
          <w:spacing w:val="16"/>
          <w:sz w:val="24"/>
          <w:szCs w:val="24"/>
        </w:rPr>
        <w:t xml:space="preserve"> </w:t>
      </w:r>
      <w:r>
        <w:rPr>
          <w:rFonts w:ascii="宋体" w:hAnsi="宋体" w:eastAsia="宋体" w:cs="宋体"/>
          <w:spacing w:val="2"/>
          <w:sz w:val="24"/>
          <w:szCs w:val="24"/>
        </w:rPr>
        <w:t>而且开挖的泥土和建筑垃圾要及时运走，以防长期堆放表面干燥而起尘或被雨水冲</w:t>
      </w:r>
      <w:r>
        <w:rPr>
          <w:rFonts w:ascii="宋体" w:hAnsi="宋体" w:eastAsia="宋体" w:cs="宋体"/>
          <w:spacing w:val="7"/>
          <w:sz w:val="24"/>
          <w:szCs w:val="24"/>
        </w:rPr>
        <w:t xml:space="preserve"> </w:t>
      </w:r>
      <w:r>
        <w:rPr>
          <w:rFonts w:ascii="宋体" w:hAnsi="宋体" w:eastAsia="宋体" w:cs="宋体"/>
          <w:spacing w:val="-5"/>
          <w:sz w:val="24"/>
          <w:szCs w:val="24"/>
        </w:rPr>
        <w:t>刷。</w:t>
      </w:r>
    </w:p>
    <w:p w14:paraId="281B7E1B">
      <w:pPr>
        <w:spacing w:before="166" w:line="333" w:lineRule="auto"/>
        <w:ind w:right="63"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）运输车辆应完好，不应装载过满，并尽量采取遮盖、密闭措施，减少沿途</w:t>
      </w:r>
      <w:r>
        <w:rPr>
          <w:rFonts w:ascii="宋体" w:hAnsi="宋体" w:eastAsia="宋体" w:cs="宋体"/>
          <w:spacing w:val="16"/>
          <w:sz w:val="24"/>
          <w:szCs w:val="24"/>
        </w:rPr>
        <w:t xml:space="preserve"> </w:t>
      </w:r>
      <w:r>
        <w:rPr>
          <w:rFonts w:ascii="宋体" w:hAnsi="宋体" w:eastAsia="宋体" w:cs="宋体"/>
          <w:spacing w:val="2"/>
          <w:sz w:val="24"/>
          <w:szCs w:val="24"/>
        </w:rPr>
        <w:t>抛洒，并及时清扫散落在路面上的泥土和建筑材料，冲洗轮胎，定时洒水压尘，以</w:t>
      </w:r>
      <w:r>
        <w:rPr>
          <w:rFonts w:ascii="宋体" w:hAnsi="宋体" w:eastAsia="宋体" w:cs="宋体"/>
          <w:spacing w:val="6"/>
          <w:sz w:val="24"/>
          <w:szCs w:val="24"/>
        </w:rPr>
        <w:t xml:space="preserve"> </w:t>
      </w:r>
      <w:r>
        <w:rPr>
          <w:rFonts w:ascii="宋体" w:hAnsi="宋体" w:eastAsia="宋体" w:cs="宋体"/>
          <w:spacing w:val="-1"/>
          <w:sz w:val="24"/>
          <w:szCs w:val="24"/>
        </w:rPr>
        <w:t>减少运输过程中的扬尘。</w:t>
      </w:r>
    </w:p>
    <w:p w14:paraId="1CBD4CE8">
      <w:pPr>
        <w:spacing w:before="204" w:line="298" w:lineRule="auto"/>
        <w:ind w:left="20" w:right="63" w:firstLine="47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）遇到四级风以上天气不得进行土方回填、转运以及其他可能产生扬尘污染</w:t>
      </w:r>
      <w:r>
        <w:rPr>
          <w:rFonts w:ascii="宋体" w:hAnsi="宋体" w:eastAsia="宋体" w:cs="宋体"/>
          <w:spacing w:val="16"/>
          <w:sz w:val="24"/>
          <w:szCs w:val="24"/>
        </w:rPr>
        <w:t xml:space="preserve"> </w:t>
      </w:r>
      <w:r>
        <w:rPr>
          <w:rFonts w:ascii="宋体" w:hAnsi="宋体" w:eastAsia="宋体" w:cs="宋体"/>
          <w:spacing w:val="-2"/>
          <w:sz w:val="24"/>
          <w:szCs w:val="24"/>
        </w:rPr>
        <w:t>的施工，并对堆存的砂粉等建筑材料采取遮盖措施。</w:t>
      </w:r>
    </w:p>
    <w:p w14:paraId="42437DE9">
      <w:pPr>
        <w:spacing w:before="166" w:line="312" w:lineRule="auto"/>
        <w:ind w:left="10" w:right="60" w:firstLine="48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）有扬尘产生的施工切割、打磨等尽量</w:t>
      </w:r>
      <w:r>
        <w:rPr>
          <w:rFonts w:ascii="宋体" w:hAnsi="宋体" w:eastAsia="宋体" w:cs="宋体"/>
          <w:spacing w:val="-2"/>
          <w:sz w:val="24"/>
          <w:szCs w:val="24"/>
        </w:rPr>
        <w:t>集中进行，密闭施工或带水作业，不</w:t>
      </w:r>
      <w:r>
        <w:rPr>
          <w:rFonts w:ascii="宋体" w:hAnsi="宋体" w:eastAsia="宋体" w:cs="宋体"/>
          <w:sz w:val="24"/>
          <w:szCs w:val="24"/>
        </w:rPr>
        <w:t xml:space="preserve"> </w:t>
      </w:r>
      <w:r>
        <w:rPr>
          <w:rFonts w:ascii="宋体" w:hAnsi="宋体" w:eastAsia="宋体" w:cs="宋体"/>
          <w:spacing w:val="-2"/>
          <w:sz w:val="24"/>
          <w:szCs w:val="24"/>
        </w:rPr>
        <w:t>能集中进行的尽量密闭作业。</w:t>
      </w:r>
    </w:p>
    <w:p w14:paraId="1E3B338C">
      <w:pPr>
        <w:spacing w:before="203" w:line="299" w:lineRule="auto"/>
        <w:ind w:left="3" w:right="63" w:firstLine="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）建筑工程脚手架外侧必须使用合格的密目式安全网进行全封闭，并做到定</w:t>
      </w:r>
      <w:r>
        <w:rPr>
          <w:rFonts w:ascii="宋体" w:hAnsi="宋体" w:eastAsia="宋体" w:cs="宋体"/>
          <w:spacing w:val="16"/>
          <w:sz w:val="24"/>
          <w:szCs w:val="24"/>
        </w:rPr>
        <w:t xml:space="preserve"> </w:t>
      </w:r>
      <w:r>
        <w:rPr>
          <w:rFonts w:ascii="宋体" w:hAnsi="宋体" w:eastAsia="宋体" w:cs="宋体"/>
          <w:spacing w:val="-1"/>
          <w:sz w:val="24"/>
          <w:szCs w:val="24"/>
        </w:rPr>
        <w:t>期清洗，对破损安全网要及时更换。</w:t>
      </w:r>
    </w:p>
    <w:p w14:paraId="3FFEEB4C">
      <w:pPr>
        <w:spacing w:line="299" w:lineRule="auto"/>
        <w:rPr>
          <w:rFonts w:ascii="宋体" w:hAnsi="宋体" w:eastAsia="宋体" w:cs="宋体"/>
          <w:sz w:val="24"/>
          <w:szCs w:val="24"/>
        </w:rPr>
        <w:sectPr>
          <w:footerReference r:id="rId121" w:type="default"/>
          <w:pgSz w:w="11906" w:h="16839"/>
          <w:pgMar w:top="400" w:right="1525" w:bottom="1485" w:left="1597" w:header="0" w:footer="1249" w:gutter="0"/>
          <w:cols w:space="720" w:num="1"/>
        </w:sectPr>
      </w:pPr>
    </w:p>
    <w:p w14:paraId="6B63152F">
      <w:pPr>
        <w:pStyle w:val="2"/>
        <w:spacing w:line="255" w:lineRule="auto"/>
      </w:pPr>
    </w:p>
    <w:p w14:paraId="011D0550">
      <w:pPr>
        <w:pStyle w:val="2"/>
        <w:spacing w:line="255" w:lineRule="auto"/>
      </w:pPr>
    </w:p>
    <w:p w14:paraId="415F1AB6">
      <w:pPr>
        <w:pStyle w:val="2"/>
        <w:spacing w:line="256" w:lineRule="auto"/>
      </w:pPr>
    </w:p>
    <w:p w14:paraId="69907F02">
      <w:pPr>
        <w:pStyle w:val="2"/>
        <w:spacing w:line="256" w:lineRule="auto"/>
      </w:pPr>
    </w:p>
    <w:p w14:paraId="65832D62">
      <w:pPr>
        <w:spacing w:before="78" w:line="360" w:lineRule="exact"/>
        <w:ind w:right="51"/>
        <w:jc w:val="right"/>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8</w:t>
      </w:r>
      <w:r>
        <w:rPr>
          <w:rFonts w:ascii="宋体" w:hAnsi="宋体" w:eastAsia="宋体" w:cs="宋体"/>
          <w:spacing w:val="-1"/>
          <w:position w:val="2"/>
          <w:sz w:val="24"/>
          <w:szCs w:val="24"/>
        </w:rPr>
        <w:t>）施工现场进出口、主要道路和砂、石堆场，各种加工场地进行硬化处理。</w:t>
      </w:r>
    </w:p>
    <w:p w14:paraId="7B29F523">
      <w:pPr>
        <w:spacing w:before="129" w:line="312" w:lineRule="auto"/>
        <w:ind w:left="3" w:right="82" w:firstLine="49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9</w:t>
      </w:r>
      <w:r>
        <w:rPr>
          <w:rFonts w:ascii="宋体" w:hAnsi="宋体" w:eastAsia="宋体" w:cs="宋体"/>
          <w:spacing w:val="-2"/>
          <w:sz w:val="24"/>
          <w:szCs w:val="24"/>
        </w:rPr>
        <w:t>）为最大程度减少施工期对项目四周的敏感点影响，施工场地设置应尽量设</w:t>
      </w:r>
      <w:r>
        <w:rPr>
          <w:rFonts w:ascii="宋体" w:hAnsi="宋体" w:eastAsia="宋体" w:cs="宋体"/>
          <w:spacing w:val="16"/>
          <w:sz w:val="24"/>
          <w:szCs w:val="24"/>
        </w:rPr>
        <w:t xml:space="preserve"> </w:t>
      </w:r>
      <w:r>
        <w:rPr>
          <w:rFonts w:ascii="宋体" w:hAnsi="宋体" w:eastAsia="宋体" w:cs="宋体"/>
          <w:sz w:val="24"/>
          <w:szCs w:val="24"/>
        </w:rPr>
        <w:t>置在场地中央，并且应在四周靠近敏感点处设置双</w:t>
      </w:r>
      <w:r>
        <w:rPr>
          <w:rFonts w:ascii="宋体" w:hAnsi="宋体" w:eastAsia="宋体" w:cs="宋体"/>
          <w:spacing w:val="-1"/>
          <w:sz w:val="24"/>
          <w:szCs w:val="24"/>
        </w:rPr>
        <w:t>层细目滞尘防护网。</w:t>
      </w:r>
    </w:p>
    <w:p w14:paraId="45ED1110">
      <w:pPr>
        <w:spacing w:before="166" w:line="312" w:lineRule="auto"/>
        <w:ind w:left="6" w:right="82"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宋体" w:hAnsi="宋体" w:eastAsia="宋体" w:cs="宋体"/>
          <w:spacing w:val="2"/>
          <w:sz w:val="24"/>
          <w:szCs w:val="24"/>
        </w:rPr>
        <w:t>）施工机械设备、车辆必须定期维修保养，施工车辆应达到相应</w:t>
      </w:r>
      <w:r>
        <w:rPr>
          <w:rFonts w:ascii="宋体" w:hAnsi="宋体" w:eastAsia="宋体" w:cs="宋体"/>
          <w:spacing w:val="1"/>
          <w:sz w:val="24"/>
          <w:szCs w:val="24"/>
        </w:rPr>
        <w:t>的汽车废</w:t>
      </w:r>
      <w:r>
        <w:rPr>
          <w:rFonts w:ascii="宋体" w:hAnsi="宋体" w:eastAsia="宋体" w:cs="宋体"/>
          <w:sz w:val="24"/>
          <w:szCs w:val="24"/>
        </w:rPr>
        <w:t xml:space="preserve"> </w:t>
      </w:r>
      <w:r>
        <w:rPr>
          <w:rFonts w:ascii="宋体" w:hAnsi="宋体" w:eastAsia="宋体" w:cs="宋体"/>
          <w:spacing w:val="-2"/>
          <w:sz w:val="24"/>
          <w:szCs w:val="24"/>
        </w:rPr>
        <w:t>气排放标准。</w:t>
      </w:r>
    </w:p>
    <w:p w14:paraId="41D5BCB6">
      <w:pPr>
        <w:spacing w:before="201" w:line="379" w:lineRule="auto"/>
        <w:ind w:left="24" w:right="82" w:firstLine="459"/>
        <w:rPr>
          <w:rFonts w:ascii="宋体" w:hAnsi="宋体" w:eastAsia="宋体" w:cs="宋体"/>
          <w:sz w:val="24"/>
          <w:szCs w:val="24"/>
        </w:rPr>
      </w:pPr>
      <w:r>
        <w:rPr>
          <w:rFonts w:ascii="宋体" w:hAnsi="宋体" w:eastAsia="宋体" w:cs="宋体"/>
          <w:spacing w:val="2"/>
          <w:sz w:val="24"/>
          <w:szCs w:val="24"/>
        </w:rPr>
        <w:t>在采取有效措施处理后，可降低施工废气对周围大气环境的影响，且施工期造</w:t>
      </w:r>
      <w:r>
        <w:rPr>
          <w:rFonts w:ascii="宋体" w:hAnsi="宋体" w:eastAsia="宋体" w:cs="宋体"/>
          <w:spacing w:val="11"/>
          <w:sz w:val="24"/>
          <w:szCs w:val="24"/>
        </w:rPr>
        <w:t xml:space="preserve"> </w:t>
      </w:r>
      <w:r>
        <w:rPr>
          <w:rFonts w:ascii="宋体" w:hAnsi="宋体" w:eastAsia="宋体" w:cs="宋体"/>
          <w:spacing w:val="-1"/>
          <w:sz w:val="24"/>
          <w:szCs w:val="24"/>
        </w:rPr>
        <w:t>的大气污染是短期、局部的，随着施工期的结束，这些影响可以逐步得到恢复。</w:t>
      </w:r>
    </w:p>
    <w:p w14:paraId="72095C75">
      <w:pPr>
        <w:spacing w:before="292" w:line="220" w:lineRule="auto"/>
        <w:ind w:left="4"/>
        <w:outlineLvl w:val="1"/>
        <w:rPr>
          <w:rFonts w:ascii="宋体" w:hAnsi="宋体" w:eastAsia="宋体" w:cs="宋体"/>
          <w:sz w:val="24"/>
          <w:szCs w:val="24"/>
        </w:rPr>
      </w:pPr>
      <w:r>
        <w:rPr>
          <w:rFonts w:ascii="Times New Roman" w:hAnsi="Times New Roman" w:eastAsia="Times New Roman" w:cs="Times New Roman"/>
          <w:b/>
          <w:bCs/>
          <w:spacing w:val="-2"/>
          <w:sz w:val="24"/>
          <w:szCs w:val="24"/>
        </w:rPr>
        <w:t>5.1.2</w:t>
      </w:r>
      <w:r>
        <w:rPr>
          <w:rFonts w:ascii="宋体" w:hAnsi="宋体" w:eastAsia="宋体" w:cs="宋体"/>
          <w:b/>
          <w:bCs/>
          <w:spacing w:val="-2"/>
          <w:sz w:val="24"/>
          <w:szCs w:val="24"/>
        </w:rPr>
        <w:t>施工期地表水环境影响分析</w:t>
      </w:r>
    </w:p>
    <w:p w14:paraId="28788EF7">
      <w:pPr>
        <w:pStyle w:val="2"/>
        <w:spacing w:line="277" w:lineRule="auto"/>
      </w:pPr>
    </w:p>
    <w:p w14:paraId="6A2A4C61">
      <w:pPr>
        <w:spacing w:before="78" w:line="363" w:lineRule="auto"/>
        <w:ind w:left="4" w:right="82" w:firstLine="484"/>
        <w:rPr>
          <w:rFonts w:ascii="宋体" w:hAnsi="宋体" w:eastAsia="宋体" w:cs="宋体"/>
          <w:sz w:val="24"/>
          <w:szCs w:val="24"/>
        </w:rPr>
      </w:pPr>
      <w:r>
        <w:rPr>
          <w:rFonts w:ascii="宋体" w:hAnsi="宋体" w:eastAsia="宋体" w:cs="宋体"/>
          <w:spacing w:val="2"/>
          <w:sz w:val="24"/>
          <w:szCs w:val="24"/>
        </w:rPr>
        <w:t>项目施工期间产生的污水主要包括如下几类：施工人员生活污水，砂石料冲洗</w:t>
      </w:r>
      <w:r>
        <w:rPr>
          <w:rFonts w:ascii="宋体" w:hAnsi="宋体" w:eastAsia="宋体" w:cs="宋体"/>
          <w:spacing w:val="6"/>
          <w:sz w:val="24"/>
          <w:szCs w:val="24"/>
        </w:rPr>
        <w:t xml:space="preserve"> </w:t>
      </w:r>
      <w:r>
        <w:rPr>
          <w:rFonts w:ascii="宋体" w:hAnsi="宋体" w:eastAsia="宋体" w:cs="宋体"/>
          <w:sz w:val="24"/>
          <w:szCs w:val="24"/>
        </w:rPr>
        <w:t>及混凝土搅拌产生的生产废水，机械车辆冲洗、</w:t>
      </w:r>
      <w:r>
        <w:rPr>
          <w:rFonts w:ascii="宋体" w:hAnsi="宋体" w:eastAsia="宋体" w:cs="宋体"/>
          <w:spacing w:val="-1"/>
          <w:sz w:val="24"/>
          <w:szCs w:val="24"/>
        </w:rPr>
        <w:t>检修产生的含油废水。</w:t>
      </w:r>
    </w:p>
    <w:p w14:paraId="4215559A">
      <w:pPr>
        <w:spacing w:line="361" w:lineRule="exact"/>
        <w:ind w:left="503"/>
        <w:rPr>
          <w:rFonts w:ascii="宋体" w:hAnsi="宋体" w:eastAsia="宋体" w:cs="宋体"/>
          <w:sz w:val="24"/>
          <w:szCs w:val="24"/>
        </w:rPr>
      </w:pPr>
      <w:r>
        <w:rPr>
          <w:rFonts w:ascii="Times New Roman" w:hAnsi="Times New Roman" w:eastAsia="Times New Roman" w:cs="Times New Roman"/>
          <w:spacing w:val="-10"/>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10"/>
          <w:position w:val="2"/>
          <w:sz w:val="24"/>
          <w:szCs w:val="24"/>
        </w:rPr>
        <w:t>、施工废水</w:t>
      </w:r>
    </w:p>
    <w:p w14:paraId="73C90475">
      <w:pPr>
        <w:spacing w:before="166" w:line="372" w:lineRule="auto"/>
        <w:ind w:left="4" w:right="19" w:firstLine="480"/>
        <w:rPr>
          <w:rFonts w:ascii="宋体" w:hAnsi="宋体" w:eastAsia="宋体" w:cs="宋体"/>
          <w:sz w:val="24"/>
          <w:szCs w:val="24"/>
        </w:rPr>
      </w:pPr>
      <w:r>
        <w:rPr>
          <w:rFonts w:ascii="宋体" w:hAnsi="宋体" w:eastAsia="宋体" w:cs="宋体"/>
          <w:spacing w:val="2"/>
          <w:sz w:val="24"/>
          <w:szCs w:val="24"/>
        </w:rPr>
        <w:t>施工期废水主要为施工过程中产生的施工废水和施工人员的清洁废水等，其特</w:t>
      </w:r>
      <w:r>
        <w:rPr>
          <w:rFonts w:ascii="宋体" w:hAnsi="宋体" w:eastAsia="宋体" w:cs="宋体"/>
          <w:spacing w:val="11"/>
          <w:sz w:val="24"/>
          <w:szCs w:val="24"/>
        </w:rPr>
        <w:t xml:space="preserve"> </w:t>
      </w:r>
      <w:r>
        <w:rPr>
          <w:rFonts w:ascii="宋体" w:hAnsi="宋体" w:eastAsia="宋体" w:cs="宋体"/>
          <w:spacing w:val="-1"/>
          <w:sz w:val="24"/>
          <w:szCs w:val="24"/>
        </w:rPr>
        <w:t xml:space="preserve">点是排放量较少，主要污染物为 </w:t>
      </w:r>
      <w:r>
        <w:rPr>
          <w:rFonts w:ascii="Times New Roman" w:hAnsi="Times New Roman" w:eastAsia="Times New Roman" w:cs="Times New Roman"/>
          <w:spacing w:val="-1"/>
          <w:sz w:val="24"/>
          <w:szCs w:val="24"/>
        </w:rPr>
        <w:t>SS</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，运输车辆和机械冲洗也会产生少量含油废水，</w:t>
      </w:r>
      <w:r>
        <w:rPr>
          <w:rFonts w:ascii="宋体" w:hAnsi="宋体" w:eastAsia="宋体" w:cs="宋体"/>
          <w:sz w:val="24"/>
          <w:szCs w:val="24"/>
        </w:rPr>
        <w:t xml:space="preserve"> </w:t>
      </w:r>
      <w:r>
        <w:rPr>
          <w:rFonts w:ascii="宋体" w:hAnsi="宋体" w:eastAsia="宋体" w:cs="宋体"/>
          <w:spacing w:val="2"/>
          <w:sz w:val="24"/>
          <w:szCs w:val="24"/>
        </w:rPr>
        <w:t>不含其它可溶性的有害物质。施工方拟在施工区分区设置临时沉淀池，施工期废水</w:t>
      </w:r>
      <w:r>
        <w:rPr>
          <w:rFonts w:ascii="宋体" w:hAnsi="宋体" w:eastAsia="宋体" w:cs="宋体"/>
          <w:spacing w:val="7"/>
          <w:sz w:val="24"/>
          <w:szCs w:val="24"/>
        </w:rPr>
        <w:t xml:space="preserve"> </w:t>
      </w:r>
      <w:r>
        <w:rPr>
          <w:rFonts w:ascii="宋体" w:hAnsi="宋体" w:eastAsia="宋体" w:cs="宋体"/>
          <w:spacing w:val="2"/>
          <w:sz w:val="24"/>
          <w:szCs w:val="24"/>
        </w:rPr>
        <w:t>通过沟渠收集排入沉淀池进行沉淀等处理，处理后的废水全部回用于施工过程和场</w:t>
      </w:r>
      <w:r>
        <w:rPr>
          <w:rFonts w:ascii="宋体" w:hAnsi="宋体" w:eastAsia="宋体" w:cs="宋体"/>
          <w:spacing w:val="7"/>
          <w:sz w:val="24"/>
          <w:szCs w:val="24"/>
        </w:rPr>
        <w:t xml:space="preserve"> </w:t>
      </w:r>
      <w:r>
        <w:rPr>
          <w:rFonts w:ascii="宋体" w:hAnsi="宋体" w:eastAsia="宋体" w:cs="宋体"/>
          <w:spacing w:val="-3"/>
          <w:sz w:val="24"/>
          <w:szCs w:val="24"/>
        </w:rPr>
        <w:t>地洒水抑尘，不外排。本项目施工场区面积较大，施工场地抑尘需要消耗大量的水，</w:t>
      </w:r>
      <w:r>
        <w:rPr>
          <w:rFonts w:ascii="宋体" w:hAnsi="宋体" w:eastAsia="宋体" w:cs="宋体"/>
          <w:spacing w:val="13"/>
          <w:sz w:val="24"/>
          <w:szCs w:val="24"/>
        </w:rPr>
        <w:t xml:space="preserve"> </w:t>
      </w:r>
      <w:r>
        <w:rPr>
          <w:rFonts w:ascii="宋体" w:hAnsi="宋体" w:eastAsia="宋体" w:cs="宋体"/>
          <w:spacing w:val="3"/>
          <w:sz w:val="24"/>
          <w:szCs w:val="24"/>
        </w:rPr>
        <w:t>施工废水、机械车辆清洗废水和施工人员清洁废水等水量较小，通过沉淀池</w:t>
      </w:r>
      <w:r>
        <w:rPr>
          <w:rFonts w:ascii="宋体" w:hAnsi="宋体" w:eastAsia="宋体" w:cs="宋体"/>
          <w:spacing w:val="2"/>
          <w:sz w:val="24"/>
          <w:szCs w:val="24"/>
        </w:rPr>
        <w:t>沉淀、</w:t>
      </w:r>
      <w:r>
        <w:rPr>
          <w:rFonts w:ascii="宋体" w:hAnsi="宋体" w:eastAsia="宋体" w:cs="宋体"/>
          <w:sz w:val="24"/>
          <w:szCs w:val="24"/>
        </w:rPr>
        <w:t xml:space="preserve"> </w:t>
      </w:r>
      <w:r>
        <w:rPr>
          <w:rFonts w:ascii="宋体" w:hAnsi="宋体" w:eastAsia="宋体" w:cs="宋体"/>
          <w:spacing w:val="-1"/>
          <w:sz w:val="24"/>
          <w:szCs w:val="24"/>
        </w:rPr>
        <w:t>澄清处理后可全部回用，对周围水环境的影响不大。</w:t>
      </w:r>
    </w:p>
    <w:p w14:paraId="42FCDE60">
      <w:pPr>
        <w:spacing w:line="361" w:lineRule="exact"/>
        <w:ind w:left="480"/>
        <w:rPr>
          <w:rFonts w:ascii="宋体" w:hAnsi="宋体" w:eastAsia="宋体" w:cs="宋体"/>
          <w:sz w:val="24"/>
          <w:szCs w:val="24"/>
        </w:rPr>
      </w:pPr>
      <w:r>
        <w:rPr>
          <w:rFonts w:ascii="Times New Roman" w:hAnsi="Times New Roman" w:eastAsia="Times New Roman" w:cs="Times New Roman"/>
          <w:spacing w:val="-6"/>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6"/>
          <w:position w:val="2"/>
          <w:sz w:val="24"/>
          <w:szCs w:val="24"/>
        </w:rPr>
        <w:t>、生活污水</w:t>
      </w:r>
    </w:p>
    <w:p w14:paraId="4EF3459C">
      <w:pPr>
        <w:spacing w:before="125" w:line="371" w:lineRule="auto"/>
        <w:ind w:firstLine="485"/>
        <w:rPr>
          <w:rFonts w:ascii="宋体" w:hAnsi="宋体" w:eastAsia="宋体" w:cs="宋体"/>
          <w:sz w:val="24"/>
          <w:szCs w:val="24"/>
        </w:rPr>
      </w:pPr>
      <w:r>
        <w:rPr>
          <w:rFonts w:ascii="宋体" w:hAnsi="宋体" w:eastAsia="宋体" w:cs="宋体"/>
          <w:spacing w:val="-1"/>
          <w:sz w:val="24"/>
          <w:szCs w:val="24"/>
        </w:rPr>
        <w:t>根据前文估算，项目施工期排放生活污水量为</w:t>
      </w:r>
      <w:r>
        <w:rPr>
          <w:rFonts w:ascii="宋体" w:hAnsi="宋体" w:eastAsia="宋体" w:cs="宋体"/>
          <w:spacing w:val="-17"/>
          <w:sz w:val="24"/>
          <w:szCs w:val="24"/>
        </w:rPr>
        <w:t xml:space="preserve"> </w:t>
      </w:r>
      <w:r>
        <w:rPr>
          <w:rFonts w:ascii="Times New Roman" w:hAnsi="Times New Roman" w:eastAsia="Times New Roman" w:cs="Times New Roman"/>
          <w:spacing w:val="-1"/>
          <w:sz w:val="24"/>
          <w:szCs w:val="24"/>
        </w:rPr>
        <w:t>1.62t/d</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，实际施工天数约为</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150</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天，项目施工期间生活污水排放量为</w:t>
      </w:r>
      <w:r>
        <w:rPr>
          <w:rFonts w:ascii="Times New Roman" w:hAnsi="Times New Roman" w:eastAsia="Times New Roman" w:cs="Times New Roman"/>
          <w:spacing w:val="-1"/>
          <w:sz w:val="24"/>
          <w:szCs w:val="24"/>
        </w:rPr>
        <w:t>243t</w:t>
      </w:r>
      <w:r>
        <w:rPr>
          <w:rFonts w:ascii="宋体" w:hAnsi="宋体" w:eastAsia="宋体" w:cs="宋体"/>
          <w:spacing w:val="-1"/>
          <w:sz w:val="24"/>
          <w:szCs w:val="24"/>
        </w:rPr>
        <w:t>。施工人员生活污水主要污染物是</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COD</w:t>
      </w:r>
      <w:r>
        <w:rPr>
          <w:rFonts w:ascii="Times New Roman" w:hAnsi="Times New Roman" w:eastAsia="Times New Roman" w:cs="Times New Roman"/>
          <w:spacing w:val="-1"/>
          <w:position w:val="-1"/>
          <w:sz w:val="15"/>
          <w:szCs w:val="15"/>
        </w:rPr>
        <w:t>Cr</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BOD</w:t>
      </w:r>
      <w:r>
        <w:rPr>
          <w:rFonts w:ascii="Times New Roman" w:hAnsi="Times New Roman" w:eastAsia="Times New Roman" w:cs="Times New Roman"/>
          <w:spacing w:val="-1"/>
          <w:position w:val="-1"/>
          <w:sz w:val="15"/>
          <w:szCs w:val="15"/>
        </w:rPr>
        <w:t>5</w:t>
      </w:r>
      <w:r>
        <w:rPr>
          <w:rFonts w:ascii="Times New Roman" w:hAnsi="Times New Roman" w:eastAsia="Times New Roman" w:cs="Times New Roman"/>
          <w:spacing w:val="-10"/>
          <w:position w:val="-1"/>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SS  </w:t>
      </w:r>
      <w:r>
        <w:rPr>
          <w:rFonts w:ascii="宋体" w:hAnsi="宋体" w:eastAsia="宋体" w:cs="宋体"/>
          <w:spacing w:val="-1"/>
          <w:sz w:val="24"/>
          <w:szCs w:val="24"/>
        </w:rPr>
        <w:t xml:space="preserve">和 </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sz w:val="15"/>
          <w:szCs w:val="15"/>
        </w:rPr>
        <w:t>3</w:t>
      </w:r>
      <w:r>
        <w:rPr>
          <w:rFonts w:ascii="Times New Roman" w:hAnsi="Times New Roman" w:eastAsia="Times New Roman" w:cs="Times New Roman"/>
          <w:spacing w:val="-1"/>
          <w:sz w:val="24"/>
          <w:szCs w:val="24"/>
        </w:rPr>
        <w:t>-N</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。施工场地拟设置旱厕，并</w:t>
      </w:r>
      <w:r>
        <w:rPr>
          <w:rFonts w:ascii="宋体" w:hAnsi="宋体" w:eastAsia="宋体" w:cs="宋体"/>
          <w:spacing w:val="-2"/>
          <w:sz w:val="24"/>
          <w:szCs w:val="24"/>
        </w:rPr>
        <w:t>配置临时化粪池，施工期产生的生</w:t>
      </w:r>
      <w:r>
        <w:rPr>
          <w:rFonts w:ascii="宋体" w:hAnsi="宋体" w:eastAsia="宋体" w:cs="宋体"/>
          <w:sz w:val="24"/>
          <w:szCs w:val="24"/>
        </w:rPr>
        <w:t xml:space="preserve"> 活污水经化粪池处理后，用于周边果林地施</w:t>
      </w:r>
      <w:r>
        <w:rPr>
          <w:rFonts w:ascii="宋体" w:hAnsi="宋体" w:eastAsia="宋体" w:cs="宋体"/>
          <w:spacing w:val="-1"/>
          <w:sz w:val="24"/>
          <w:szCs w:val="24"/>
        </w:rPr>
        <w:t>肥，不外排。</w:t>
      </w:r>
    </w:p>
    <w:p w14:paraId="56B2CC30">
      <w:pPr>
        <w:pStyle w:val="2"/>
        <w:spacing w:line="283" w:lineRule="auto"/>
      </w:pPr>
    </w:p>
    <w:p w14:paraId="068E657C">
      <w:pPr>
        <w:spacing w:before="79" w:line="220" w:lineRule="auto"/>
        <w:ind w:left="4"/>
        <w:outlineLvl w:val="1"/>
        <w:rPr>
          <w:rFonts w:ascii="宋体" w:hAnsi="宋体" w:eastAsia="宋体" w:cs="宋体"/>
          <w:sz w:val="24"/>
          <w:szCs w:val="24"/>
        </w:rPr>
      </w:pPr>
      <w:r>
        <w:rPr>
          <w:rFonts w:ascii="Times New Roman" w:hAnsi="Times New Roman" w:eastAsia="Times New Roman" w:cs="Times New Roman"/>
          <w:b/>
          <w:bCs/>
          <w:spacing w:val="-2"/>
          <w:sz w:val="24"/>
          <w:szCs w:val="24"/>
        </w:rPr>
        <w:t>5.1.3</w:t>
      </w:r>
      <w:r>
        <w:rPr>
          <w:rFonts w:ascii="宋体" w:hAnsi="宋体" w:eastAsia="宋体" w:cs="宋体"/>
          <w:b/>
          <w:bCs/>
          <w:spacing w:val="-2"/>
          <w:sz w:val="24"/>
          <w:szCs w:val="24"/>
        </w:rPr>
        <w:t>施工期地下水环境影响分析</w:t>
      </w:r>
    </w:p>
    <w:p w14:paraId="44BC4DD1">
      <w:pPr>
        <w:pStyle w:val="2"/>
        <w:spacing w:line="244" w:lineRule="auto"/>
      </w:pPr>
    </w:p>
    <w:p w14:paraId="69B96715">
      <w:pPr>
        <w:spacing w:before="79" w:line="360" w:lineRule="exact"/>
        <w:ind w:left="503"/>
        <w:rPr>
          <w:rFonts w:ascii="宋体" w:hAnsi="宋体" w:eastAsia="宋体" w:cs="宋体"/>
          <w:sz w:val="24"/>
          <w:szCs w:val="24"/>
        </w:rPr>
      </w:pPr>
      <w:r>
        <w:rPr>
          <w:rFonts w:ascii="Times New Roman" w:hAnsi="Times New Roman" w:eastAsia="Times New Roman" w:cs="Times New Roman"/>
          <w:spacing w:val="-3"/>
          <w:position w:val="2"/>
          <w:sz w:val="24"/>
          <w:szCs w:val="24"/>
        </w:rPr>
        <w:t>1</w:t>
      </w:r>
      <w:r>
        <w:rPr>
          <w:rFonts w:ascii="Times New Roman" w:hAnsi="Times New Roman" w:eastAsia="Times New Roman" w:cs="Times New Roman"/>
          <w:spacing w:val="-21"/>
          <w:position w:val="2"/>
          <w:sz w:val="24"/>
          <w:szCs w:val="24"/>
        </w:rPr>
        <w:t xml:space="preserve"> </w:t>
      </w:r>
      <w:r>
        <w:rPr>
          <w:rFonts w:ascii="宋体" w:hAnsi="宋体" w:eastAsia="宋体" w:cs="宋体"/>
          <w:spacing w:val="-3"/>
          <w:position w:val="2"/>
          <w:sz w:val="24"/>
          <w:szCs w:val="24"/>
        </w:rPr>
        <w:t>、施工期主要可能造成地下水污染的污染源包括：</w:t>
      </w:r>
    </w:p>
    <w:p w14:paraId="738FE3B5">
      <w:pPr>
        <w:spacing w:before="127" w:line="360" w:lineRule="exact"/>
        <w:ind w:left="496"/>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）施工期废水：特别是车辆冲洗废水，含有大量的泥沙，处理不当，有可能</w:t>
      </w:r>
    </w:p>
    <w:p w14:paraId="3496A845">
      <w:pPr>
        <w:spacing w:line="360" w:lineRule="exact"/>
        <w:rPr>
          <w:rFonts w:ascii="宋体" w:hAnsi="宋体" w:eastAsia="宋体" w:cs="宋体"/>
          <w:sz w:val="24"/>
          <w:szCs w:val="24"/>
        </w:rPr>
        <w:sectPr>
          <w:footerReference r:id="rId122" w:type="default"/>
          <w:pgSz w:w="11906" w:h="16839"/>
          <w:pgMar w:top="400" w:right="1505" w:bottom="1485" w:left="1592" w:header="0" w:footer="1249" w:gutter="0"/>
          <w:cols w:space="720" w:num="1"/>
        </w:sectPr>
      </w:pPr>
    </w:p>
    <w:p w14:paraId="4CB94F7A">
      <w:pPr>
        <w:pStyle w:val="2"/>
        <w:spacing w:line="264" w:lineRule="auto"/>
      </w:pPr>
    </w:p>
    <w:p w14:paraId="7519584A">
      <w:pPr>
        <w:pStyle w:val="2"/>
        <w:spacing w:line="264" w:lineRule="auto"/>
      </w:pPr>
    </w:p>
    <w:p w14:paraId="4388E37C">
      <w:pPr>
        <w:pStyle w:val="2"/>
        <w:spacing w:line="264" w:lineRule="auto"/>
      </w:pPr>
    </w:p>
    <w:p w14:paraId="7E0D8CFF">
      <w:pPr>
        <w:pStyle w:val="2"/>
        <w:spacing w:line="265" w:lineRule="auto"/>
      </w:pPr>
    </w:p>
    <w:p w14:paraId="36B4B96A">
      <w:pPr>
        <w:spacing w:before="78" w:line="220" w:lineRule="auto"/>
        <w:ind w:left="483"/>
        <w:rPr>
          <w:rFonts w:ascii="宋体" w:hAnsi="宋体" w:eastAsia="宋体" w:cs="宋体"/>
          <w:sz w:val="24"/>
          <w:szCs w:val="24"/>
        </w:rPr>
      </w:pPr>
      <w:r>
        <w:rPr>
          <w:rFonts w:ascii="宋体" w:hAnsi="宋体" w:eastAsia="宋体" w:cs="宋体"/>
          <w:spacing w:val="-2"/>
          <w:sz w:val="24"/>
          <w:szCs w:val="24"/>
        </w:rPr>
        <w:t>污染地下水；</w:t>
      </w:r>
    </w:p>
    <w:p w14:paraId="08FD0FE9">
      <w:pPr>
        <w:spacing w:before="167" w:line="312" w:lineRule="auto"/>
        <w:ind w:left="1"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）施工产生的余泥、建筑垃圾等随意堆</w:t>
      </w:r>
      <w:r>
        <w:rPr>
          <w:rFonts w:ascii="宋体" w:hAnsi="宋体" w:eastAsia="宋体" w:cs="宋体"/>
          <w:spacing w:val="-2"/>
          <w:sz w:val="24"/>
          <w:szCs w:val="24"/>
        </w:rPr>
        <w:t>放，降雨时随雨水浸入到地下，造成</w:t>
      </w:r>
      <w:r>
        <w:rPr>
          <w:rFonts w:ascii="宋体" w:hAnsi="宋体" w:eastAsia="宋体" w:cs="宋体"/>
          <w:sz w:val="24"/>
          <w:szCs w:val="24"/>
        </w:rPr>
        <w:t xml:space="preserve"> </w:t>
      </w:r>
      <w:r>
        <w:rPr>
          <w:rFonts w:ascii="宋体" w:hAnsi="宋体" w:eastAsia="宋体" w:cs="宋体"/>
          <w:spacing w:val="-2"/>
          <w:sz w:val="24"/>
          <w:szCs w:val="24"/>
        </w:rPr>
        <w:t>地下会污染；</w:t>
      </w:r>
    </w:p>
    <w:p w14:paraId="71964FEE">
      <w:pPr>
        <w:spacing w:before="166" w:line="312" w:lineRule="auto"/>
        <w:ind w:left="1" w:right="2"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）施工过程中机械维修产生的废油地漏到地面，下渗到土壤中，有可能造成</w:t>
      </w:r>
      <w:r>
        <w:rPr>
          <w:rFonts w:ascii="宋体" w:hAnsi="宋体" w:eastAsia="宋体" w:cs="宋体"/>
          <w:spacing w:val="16"/>
          <w:sz w:val="24"/>
          <w:szCs w:val="24"/>
        </w:rPr>
        <w:t xml:space="preserve"> </w:t>
      </w:r>
      <w:r>
        <w:rPr>
          <w:rFonts w:ascii="宋体" w:hAnsi="宋体" w:eastAsia="宋体" w:cs="宋体"/>
          <w:spacing w:val="-2"/>
          <w:sz w:val="24"/>
          <w:szCs w:val="24"/>
        </w:rPr>
        <w:t>地下水污染；</w:t>
      </w:r>
    </w:p>
    <w:p w14:paraId="0D4BFC01">
      <w:pPr>
        <w:spacing w:before="170" w:line="333" w:lineRule="auto"/>
        <w:ind w:right="2"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）施工期地基开挖，可能从基坑周围渗漏出含有泥浆的废水，渗漏水排放浸</w:t>
      </w:r>
      <w:r>
        <w:rPr>
          <w:rFonts w:ascii="宋体" w:hAnsi="宋体" w:eastAsia="宋体" w:cs="宋体"/>
          <w:spacing w:val="16"/>
          <w:sz w:val="24"/>
          <w:szCs w:val="24"/>
        </w:rPr>
        <w:t xml:space="preserve"> </w:t>
      </w:r>
      <w:r>
        <w:rPr>
          <w:rFonts w:ascii="宋体" w:hAnsi="宋体" w:eastAsia="宋体" w:cs="宋体"/>
          <w:spacing w:val="2"/>
          <w:sz w:val="24"/>
          <w:szCs w:val="24"/>
        </w:rPr>
        <w:t>入地下水，有可能造成地表水污染，另外，基坑废水随基坑底部渗漏，有可能造成</w:t>
      </w:r>
      <w:r>
        <w:rPr>
          <w:rFonts w:ascii="宋体" w:hAnsi="宋体" w:eastAsia="宋体" w:cs="宋体"/>
          <w:spacing w:val="7"/>
          <w:sz w:val="24"/>
          <w:szCs w:val="24"/>
        </w:rPr>
        <w:t xml:space="preserve"> </w:t>
      </w:r>
      <w:r>
        <w:rPr>
          <w:rFonts w:ascii="宋体" w:hAnsi="宋体" w:eastAsia="宋体" w:cs="宋体"/>
          <w:spacing w:val="-1"/>
          <w:sz w:val="24"/>
          <w:szCs w:val="24"/>
        </w:rPr>
        <w:t>地下水的污染影响。</w:t>
      </w:r>
    </w:p>
    <w:p w14:paraId="556D1CE8">
      <w:pPr>
        <w:spacing w:before="165" w:line="360" w:lineRule="exact"/>
        <w:ind w:left="476"/>
        <w:rPr>
          <w:rFonts w:ascii="宋体" w:hAnsi="宋体" w:eastAsia="宋体" w:cs="宋体"/>
          <w:sz w:val="24"/>
          <w:szCs w:val="24"/>
        </w:rPr>
      </w:pPr>
      <w:r>
        <w:rPr>
          <w:rFonts w:ascii="Times New Roman" w:hAnsi="Times New Roman" w:eastAsia="Times New Roman" w:cs="Times New Roman"/>
          <w:spacing w:val="-2"/>
          <w:position w:val="2"/>
          <w:sz w:val="24"/>
          <w:szCs w:val="24"/>
        </w:rPr>
        <w:t>2</w:t>
      </w:r>
      <w:r>
        <w:rPr>
          <w:rFonts w:ascii="Times New Roman" w:hAnsi="Times New Roman" w:eastAsia="Times New Roman" w:cs="Times New Roman"/>
          <w:spacing w:val="-17"/>
          <w:position w:val="2"/>
          <w:sz w:val="24"/>
          <w:szCs w:val="24"/>
        </w:rPr>
        <w:t xml:space="preserve"> </w:t>
      </w:r>
      <w:r>
        <w:rPr>
          <w:rFonts w:ascii="宋体" w:hAnsi="宋体" w:eastAsia="宋体" w:cs="宋体"/>
          <w:spacing w:val="-2"/>
          <w:position w:val="2"/>
          <w:sz w:val="24"/>
          <w:szCs w:val="24"/>
        </w:rPr>
        <w:t>、为减少地下水环境污染，建设单位应采取以下措施：</w:t>
      </w:r>
    </w:p>
    <w:p w14:paraId="6BB4AE6E">
      <w:pPr>
        <w:spacing w:before="132" w:line="333" w:lineRule="auto"/>
        <w:ind w:left="1" w:right="2"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）车辆冲洗在地面进行混凝土硬化，产生的废水汇集到沉淀池沉淀，并且沉</w:t>
      </w:r>
      <w:r>
        <w:rPr>
          <w:rFonts w:ascii="宋体" w:hAnsi="宋体" w:eastAsia="宋体" w:cs="宋体"/>
          <w:spacing w:val="16"/>
          <w:sz w:val="24"/>
          <w:szCs w:val="24"/>
        </w:rPr>
        <w:t xml:space="preserve"> </w:t>
      </w:r>
      <w:r>
        <w:rPr>
          <w:rFonts w:ascii="宋体" w:hAnsi="宋体" w:eastAsia="宋体" w:cs="宋体"/>
          <w:spacing w:val="2"/>
          <w:sz w:val="24"/>
          <w:szCs w:val="24"/>
        </w:rPr>
        <w:t>淀后回用，减少污水产生量，同事采用混凝土对沉淀池壁及底面进行硬化，及时清</w:t>
      </w:r>
      <w:r>
        <w:rPr>
          <w:rFonts w:ascii="宋体" w:hAnsi="宋体" w:eastAsia="宋体" w:cs="宋体"/>
          <w:spacing w:val="6"/>
          <w:sz w:val="24"/>
          <w:szCs w:val="24"/>
        </w:rPr>
        <w:t xml:space="preserve"> </w:t>
      </w:r>
      <w:r>
        <w:rPr>
          <w:rFonts w:ascii="宋体" w:hAnsi="宋体" w:eastAsia="宋体" w:cs="宋体"/>
          <w:spacing w:val="-2"/>
          <w:sz w:val="24"/>
          <w:szCs w:val="24"/>
        </w:rPr>
        <w:t>运沉淀池内的泥沙。</w:t>
      </w:r>
    </w:p>
    <w:p w14:paraId="3EE0F27A">
      <w:pPr>
        <w:spacing w:before="166" w:line="312" w:lineRule="auto"/>
        <w:ind w:left="5" w:right="2" w:firstLine="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）及时对建筑垃圾及生活垃圾进行清运，避免其成为污染源，产生地下水污</w:t>
      </w:r>
      <w:r>
        <w:rPr>
          <w:rFonts w:ascii="宋体" w:hAnsi="宋体" w:eastAsia="宋体" w:cs="宋体"/>
          <w:spacing w:val="16"/>
          <w:sz w:val="24"/>
          <w:szCs w:val="24"/>
        </w:rPr>
        <w:t xml:space="preserve"> </w:t>
      </w:r>
      <w:r>
        <w:rPr>
          <w:rFonts w:ascii="宋体" w:hAnsi="宋体" w:eastAsia="宋体" w:cs="宋体"/>
          <w:spacing w:val="-7"/>
          <w:sz w:val="24"/>
          <w:szCs w:val="24"/>
        </w:rPr>
        <w:t>染。</w:t>
      </w:r>
    </w:p>
    <w:p w14:paraId="453D165F">
      <w:pPr>
        <w:spacing w:before="163" w:line="334" w:lineRule="auto"/>
        <w:ind w:left="3" w:right="2" w:firstLine="48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）车辆维修点地面进行硬化，滴漏在底面的油污及时进行清理，加强机械设</w:t>
      </w:r>
      <w:r>
        <w:rPr>
          <w:rFonts w:ascii="宋体" w:hAnsi="宋体" w:eastAsia="宋体" w:cs="宋体"/>
          <w:spacing w:val="16"/>
          <w:sz w:val="24"/>
          <w:szCs w:val="24"/>
        </w:rPr>
        <w:t xml:space="preserve"> </w:t>
      </w:r>
      <w:r>
        <w:rPr>
          <w:rFonts w:ascii="宋体" w:hAnsi="宋体" w:eastAsia="宋体" w:cs="宋体"/>
          <w:spacing w:val="2"/>
          <w:sz w:val="24"/>
          <w:szCs w:val="24"/>
        </w:rPr>
        <w:t>备维护，减少设备在施工过程油污的滴漏，加强施工期环保巡查，发现地面有有油</w:t>
      </w:r>
      <w:r>
        <w:rPr>
          <w:rFonts w:ascii="宋体" w:hAnsi="宋体" w:eastAsia="宋体" w:cs="宋体"/>
          <w:spacing w:val="4"/>
          <w:sz w:val="24"/>
          <w:szCs w:val="24"/>
        </w:rPr>
        <w:t xml:space="preserve"> </w:t>
      </w:r>
      <w:r>
        <w:rPr>
          <w:rFonts w:ascii="宋体" w:hAnsi="宋体" w:eastAsia="宋体" w:cs="宋体"/>
          <w:spacing w:val="-1"/>
          <w:sz w:val="24"/>
          <w:szCs w:val="24"/>
        </w:rPr>
        <w:t>污斑迹，及时清理油污及其受污染的土壤。</w:t>
      </w:r>
    </w:p>
    <w:p w14:paraId="5BC8B6E1">
      <w:pPr>
        <w:pStyle w:val="2"/>
        <w:spacing w:line="419" w:lineRule="auto"/>
      </w:pPr>
    </w:p>
    <w:p w14:paraId="6FBF47E6">
      <w:pPr>
        <w:spacing w:before="79" w:line="221"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5.1.4</w:t>
      </w:r>
      <w:r>
        <w:rPr>
          <w:rFonts w:ascii="宋体" w:hAnsi="宋体" w:eastAsia="宋体" w:cs="宋体"/>
          <w:b/>
          <w:bCs/>
          <w:spacing w:val="-2"/>
          <w:sz w:val="24"/>
          <w:szCs w:val="24"/>
        </w:rPr>
        <w:t>施工期噪声环境影响分析</w:t>
      </w:r>
    </w:p>
    <w:p w14:paraId="6DEC1AEF">
      <w:pPr>
        <w:pStyle w:val="2"/>
        <w:spacing w:line="277" w:lineRule="auto"/>
      </w:pPr>
    </w:p>
    <w:p w14:paraId="3094E0FB">
      <w:pPr>
        <w:spacing w:before="78" w:line="369" w:lineRule="auto"/>
        <w:ind w:left="2" w:firstLine="478"/>
        <w:jc w:val="both"/>
        <w:rPr>
          <w:rFonts w:ascii="宋体" w:hAnsi="宋体" w:eastAsia="宋体" w:cs="宋体"/>
          <w:sz w:val="24"/>
          <w:szCs w:val="24"/>
        </w:rPr>
      </w:pPr>
      <w:r>
        <w:rPr>
          <w:rFonts w:ascii="宋体" w:hAnsi="宋体" w:eastAsia="宋体" w:cs="宋体"/>
          <w:spacing w:val="2"/>
          <w:sz w:val="24"/>
          <w:szCs w:val="24"/>
        </w:rPr>
        <w:t>施工期的主要噪声源是施工机械作业时产生的噪声和振动、出入施工场地车辆</w:t>
      </w:r>
      <w:r>
        <w:rPr>
          <w:rFonts w:ascii="宋体" w:hAnsi="宋体" w:eastAsia="宋体" w:cs="宋体"/>
          <w:spacing w:val="11"/>
          <w:sz w:val="24"/>
          <w:szCs w:val="24"/>
        </w:rPr>
        <w:t xml:space="preserve"> </w:t>
      </w:r>
      <w:r>
        <w:rPr>
          <w:rFonts w:ascii="宋体" w:hAnsi="宋体" w:eastAsia="宋体" w:cs="宋体"/>
          <w:spacing w:val="9"/>
          <w:sz w:val="24"/>
          <w:szCs w:val="24"/>
        </w:rPr>
        <w:t>（主要是建筑材料运输车辆）产生的噪声。机械设备振动产生的噪声声压级介于</w:t>
      </w:r>
      <w:r>
        <w:rPr>
          <w:rFonts w:ascii="宋体" w:hAnsi="宋体" w:eastAsia="宋体" w:cs="宋体"/>
          <w:spacing w:val="2"/>
          <w:sz w:val="24"/>
          <w:szCs w:val="24"/>
        </w:rPr>
        <w:t xml:space="preserve"> </w:t>
      </w:r>
      <w:r>
        <w:rPr>
          <w:rFonts w:ascii="Times New Roman" w:hAnsi="Times New Roman" w:eastAsia="Times New Roman" w:cs="Times New Roman"/>
          <w:spacing w:val="2"/>
          <w:sz w:val="24"/>
          <w:szCs w:val="24"/>
        </w:rPr>
        <w:t>80~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105</w:t>
      </w:r>
      <w:r>
        <w:rPr>
          <w:rFonts w:ascii="Times New Roman" w:hAnsi="Times New Roman" w:eastAsia="Times New Roman" w:cs="Times New Roman"/>
          <w:sz w:val="24"/>
          <w:szCs w:val="24"/>
        </w:rPr>
        <w:t>dB</w:t>
      </w:r>
      <w:r>
        <w:rPr>
          <w:rFonts w:ascii="宋体" w:hAnsi="宋体" w:eastAsia="宋体" w:cs="宋体"/>
          <w:spacing w:val="2"/>
          <w:sz w:val="24"/>
          <w:szCs w:val="24"/>
        </w:rPr>
        <w:t>（</w:t>
      </w:r>
      <w:r>
        <w:rPr>
          <w:rFonts w:ascii="Times New Roman" w:hAnsi="Times New Roman" w:eastAsia="Times New Roman" w:cs="Times New Roman"/>
          <w:spacing w:val="2"/>
          <w:sz w:val="24"/>
          <w:szCs w:val="24"/>
        </w:rPr>
        <w:t>A</w:t>
      </w:r>
      <w:r>
        <w:rPr>
          <w:rFonts w:ascii="宋体" w:hAnsi="宋体" w:eastAsia="宋体" w:cs="宋体"/>
          <w:spacing w:val="2"/>
          <w:sz w:val="24"/>
          <w:szCs w:val="24"/>
        </w:rPr>
        <w:t>）之间且随距离的衰减较快，其影响范围较小，因</w:t>
      </w:r>
      <w:r>
        <w:rPr>
          <w:rFonts w:ascii="宋体" w:hAnsi="宋体" w:eastAsia="宋体" w:cs="宋体"/>
          <w:spacing w:val="1"/>
          <w:sz w:val="24"/>
          <w:szCs w:val="24"/>
        </w:rPr>
        <w:t>此对于机械振动对</w:t>
      </w:r>
      <w:r>
        <w:rPr>
          <w:rFonts w:ascii="宋体" w:hAnsi="宋体" w:eastAsia="宋体" w:cs="宋体"/>
          <w:sz w:val="24"/>
          <w:szCs w:val="24"/>
        </w:rPr>
        <w:t xml:space="preserve"> </w:t>
      </w:r>
      <w:r>
        <w:rPr>
          <w:rFonts w:ascii="宋体" w:hAnsi="宋体" w:eastAsia="宋体" w:cs="宋体"/>
          <w:spacing w:val="-1"/>
          <w:sz w:val="24"/>
          <w:szCs w:val="24"/>
        </w:rPr>
        <w:t>周围环境的影响不作具体分析，仅考虑噪声的影响。</w:t>
      </w:r>
    </w:p>
    <w:p w14:paraId="6567C257">
      <w:pPr>
        <w:spacing w:before="40" w:line="378" w:lineRule="auto"/>
        <w:ind w:left="12" w:right="2" w:firstLine="471"/>
        <w:rPr>
          <w:rFonts w:ascii="宋体" w:hAnsi="宋体" w:eastAsia="宋体" w:cs="宋体"/>
          <w:sz w:val="24"/>
          <w:szCs w:val="24"/>
        </w:rPr>
      </w:pPr>
      <w:r>
        <w:rPr>
          <w:rFonts w:ascii="宋体" w:hAnsi="宋体" w:eastAsia="宋体" w:cs="宋体"/>
          <w:spacing w:val="2"/>
          <w:sz w:val="24"/>
          <w:szCs w:val="24"/>
        </w:rPr>
        <w:t>建设期间，运输车辆和各种施工机械如挖土机、搅拌机等都是噪声值比较大的</w:t>
      </w:r>
      <w:r>
        <w:rPr>
          <w:rFonts w:ascii="宋体" w:hAnsi="宋体" w:eastAsia="宋体" w:cs="宋体"/>
          <w:spacing w:val="7"/>
          <w:sz w:val="24"/>
          <w:szCs w:val="24"/>
        </w:rPr>
        <w:t xml:space="preserve"> </w:t>
      </w:r>
      <w:r>
        <w:rPr>
          <w:rFonts w:ascii="宋体" w:hAnsi="宋体" w:eastAsia="宋体" w:cs="宋体"/>
          <w:spacing w:val="-1"/>
          <w:sz w:val="24"/>
          <w:szCs w:val="24"/>
        </w:rPr>
        <w:t>噪声设备，根据有关资料，这些机械、设备运行时的噪声值如下表。</w:t>
      </w:r>
    </w:p>
    <w:p w14:paraId="1CAEFDFD">
      <w:pPr>
        <w:spacing w:line="378" w:lineRule="auto"/>
        <w:rPr>
          <w:rFonts w:ascii="宋体" w:hAnsi="宋体" w:eastAsia="宋体" w:cs="宋体"/>
          <w:sz w:val="24"/>
          <w:szCs w:val="24"/>
        </w:rPr>
        <w:sectPr>
          <w:footerReference r:id="rId123" w:type="default"/>
          <w:pgSz w:w="11906" w:h="16839"/>
          <w:pgMar w:top="400" w:right="1585" w:bottom="1485" w:left="1596" w:header="0" w:footer="1249" w:gutter="0"/>
          <w:cols w:space="720" w:num="1"/>
        </w:sectPr>
      </w:pPr>
    </w:p>
    <w:p w14:paraId="027CF632">
      <w:pPr>
        <w:pStyle w:val="2"/>
        <w:spacing w:line="271" w:lineRule="auto"/>
      </w:pPr>
    </w:p>
    <w:p w14:paraId="19B96562">
      <w:pPr>
        <w:pStyle w:val="2"/>
        <w:spacing w:line="271" w:lineRule="auto"/>
      </w:pPr>
    </w:p>
    <w:p w14:paraId="3569C773">
      <w:pPr>
        <w:pStyle w:val="2"/>
        <w:spacing w:line="271" w:lineRule="auto"/>
      </w:pPr>
    </w:p>
    <w:p w14:paraId="205EC80C">
      <w:pPr>
        <w:pStyle w:val="2"/>
        <w:spacing w:line="271" w:lineRule="auto"/>
      </w:pPr>
    </w:p>
    <w:p w14:paraId="433E5091">
      <w:pPr>
        <w:spacing w:before="65" w:line="228" w:lineRule="auto"/>
        <w:ind w:left="2540"/>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3"/>
          <w:sz w:val="20"/>
          <w:szCs w:val="20"/>
        </w:rPr>
        <w:t xml:space="preserve"> </w:t>
      </w:r>
      <w:r>
        <w:rPr>
          <w:rFonts w:ascii="Times New Roman" w:hAnsi="Times New Roman" w:eastAsia="Times New Roman" w:cs="Times New Roman"/>
          <w:b/>
          <w:bCs/>
          <w:spacing w:val="6"/>
          <w:sz w:val="20"/>
          <w:szCs w:val="20"/>
        </w:rPr>
        <w:t xml:space="preserve">5.1-3 </w:t>
      </w:r>
      <w:r>
        <w:rPr>
          <w:rFonts w:ascii="宋体" w:hAnsi="宋体" w:eastAsia="宋体" w:cs="宋体"/>
          <w:b/>
          <w:bCs/>
          <w:spacing w:val="6"/>
          <w:sz w:val="20"/>
          <w:szCs w:val="20"/>
        </w:rPr>
        <w:t>各种施工机械的噪声值单位：</w:t>
      </w:r>
      <w:r>
        <w:rPr>
          <w:rFonts w:ascii="Times New Roman" w:hAnsi="Times New Roman" w:eastAsia="Times New Roman" w:cs="Times New Roman"/>
          <w:b/>
          <w:bCs/>
          <w:sz w:val="20"/>
          <w:szCs w:val="20"/>
        </w:rPr>
        <w:t>dB</w:t>
      </w: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A</w:t>
      </w:r>
      <w:r>
        <w:rPr>
          <w:rFonts w:ascii="宋体" w:hAnsi="宋体" w:eastAsia="宋体" w:cs="宋体"/>
          <w:b/>
          <w:bCs/>
          <w:spacing w:val="6"/>
          <w:sz w:val="20"/>
          <w:szCs w:val="20"/>
        </w:rPr>
        <w:t>）</w:t>
      </w:r>
    </w:p>
    <w:p w14:paraId="4DE0FB27">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0"/>
        <w:gridCol w:w="2309"/>
        <w:gridCol w:w="1489"/>
        <w:gridCol w:w="876"/>
        <w:gridCol w:w="2103"/>
        <w:gridCol w:w="1493"/>
      </w:tblGrid>
      <w:tr w14:paraId="12A9A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80" w:type="dxa"/>
            <w:vAlign w:val="top"/>
          </w:tcPr>
          <w:p w14:paraId="5EF70DF9">
            <w:pPr>
              <w:pStyle w:val="6"/>
              <w:spacing w:before="62" w:line="230" w:lineRule="auto"/>
              <w:ind w:left="135"/>
            </w:pPr>
            <w:r>
              <w:rPr>
                <w:b/>
                <w:bCs/>
                <w:spacing w:val="4"/>
              </w:rPr>
              <w:t>序号</w:t>
            </w:r>
          </w:p>
        </w:tc>
        <w:tc>
          <w:tcPr>
            <w:tcW w:w="2309" w:type="dxa"/>
            <w:vAlign w:val="top"/>
          </w:tcPr>
          <w:p w14:paraId="7B3E506C">
            <w:pPr>
              <w:pStyle w:val="6"/>
              <w:spacing w:before="62" w:line="230" w:lineRule="auto"/>
              <w:ind w:left="527"/>
            </w:pPr>
            <w:r>
              <w:rPr>
                <w:b/>
                <w:bCs/>
                <w:spacing w:val="7"/>
              </w:rPr>
              <w:t>施工设备名称</w:t>
            </w:r>
          </w:p>
        </w:tc>
        <w:tc>
          <w:tcPr>
            <w:tcW w:w="1489" w:type="dxa"/>
            <w:vAlign w:val="top"/>
          </w:tcPr>
          <w:p w14:paraId="4D574FCE">
            <w:pPr>
              <w:pStyle w:val="6"/>
              <w:spacing w:before="62" w:line="229" w:lineRule="auto"/>
              <w:ind w:left="268"/>
              <w:rPr>
                <w:rFonts w:ascii="Times New Roman" w:hAnsi="Times New Roman" w:eastAsia="Times New Roman" w:cs="Times New Roman"/>
              </w:rPr>
            </w:pPr>
            <w:r>
              <w:rPr>
                <w:b/>
                <w:bCs/>
                <w:spacing w:val="4"/>
              </w:rPr>
              <w:t>距振源</w:t>
            </w:r>
            <w:r>
              <w:rPr>
                <w:spacing w:val="-38"/>
              </w:rPr>
              <w:t xml:space="preserve"> </w:t>
            </w:r>
            <w:r>
              <w:rPr>
                <w:rFonts w:ascii="Times New Roman" w:hAnsi="Times New Roman" w:eastAsia="Times New Roman" w:cs="Times New Roman"/>
                <w:b/>
                <w:bCs/>
                <w:spacing w:val="4"/>
              </w:rPr>
              <w:t>5m</w:t>
            </w:r>
          </w:p>
        </w:tc>
        <w:tc>
          <w:tcPr>
            <w:tcW w:w="876" w:type="dxa"/>
            <w:vAlign w:val="top"/>
          </w:tcPr>
          <w:p w14:paraId="027C4F8E">
            <w:pPr>
              <w:pStyle w:val="6"/>
              <w:spacing w:before="62" w:line="230" w:lineRule="auto"/>
              <w:ind w:left="233"/>
            </w:pPr>
            <w:r>
              <w:rPr>
                <w:b/>
                <w:bCs/>
                <w:spacing w:val="4"/>
              </w:rPr>
              <w:t>序号</w:t>
            </w:r>
          </w:p>
        </w:tc>
        <w:tc>
          <w:tcPr>
            <w:tcW w:w="2103" w:type="dxa"/>
            <w:vAlign w:val="top"/>
          </w:tcPr>
          <w:p w14:paraId="604B4CE2">
            <w:pPr>
              <w:pStyle w:val="6"/>
              <w:spacing w:before="62" w:line="230" w:lineRule="auto"/>
              <w:ind w:left="428"/>
            </w:pPr>
            <w:r>
              <w:rPr>
                <w:b/>
                <w:bCs/>
                <w:spacing w:val="7"/>
              </w:rPr>
              <w:t>施工设备名称</w:t>
            </w:r>
          </w:p>
        </w:tc>
        <w:tc>
          <w:tcPr>
            <w:tcW w:w="1493" w:type="dxa"/>
            <w:vAlign w:val="top"/>
          </w:tcPr>
          <w:p w14:paraId="797BCE63">
            <w:pPr>
              <w:pStyle w:val="6"/>
              <w:spacing w:before="62" w:line="229" w:lineRule="auto"/>
              <w:ind w:left="269"/>
              <w:rPr>
                <w:rFonts w:ascii="Times New Roman" w:hAnsi="Times New Roman" w:eastAsia="Times New Roman" w:cs="Times New Roman"/>
              </w:rPr>
            </w:pPr>
            <w:r>
              <w:rPr>
                <w:b/>
                <w:bCs/>
                <w:spacing w:val="4"/>
              </w:rPr>
              <w:t>距振源</w:t>
            </w:r>
            <w:r>
              <w:rPr>
                <w:spacing w:val="-38"/>
              </w:rPr>
              <w:t xml:space="preserve"> </w:t>
            </w:r>
            <w:r>
              <w:rPr>
                <w:rFonts w:ascii="Times New Roman" w:hAnsi="Times New Roman" w:eastAsia="Times New Roman" w:cs="Times New Roman"/>
                <w:b/>
                <w:bCs/>
                <w:spacing w:val="4"/>
              </w:rPr>
              <w:t>5m</w:t>
            </w:r>
          </w:p>
        </w:tc>
      </w:tr>
      <w:tr w14:paraId="7F707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0" w:type="dxa"/>
            <w:vAlign w:val="top"/>
          </w:tcPr>
          <w:p w14:paraId="3EC34197">
            <w:pPr>
              <w:spacing w:before="27" w:line="274" w:lineRule="exact"/>
              <w:ind w:left="3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309" w:type="dxa"/>
            <w:vAlign w:val="top"/>
          </w:tcPr>
          <w:p w14:paraId="332E6B93">
            <w:pPr>
              <w:pStyle w:val="6"/>
              <w:spacing w:before="57" w:line="228" w:lineRule="auto"/>
              <w:ind w:left="842"/>
            </w:pPr>
            <w:r>
              <w:rPr>
                <w:spacing w:val="7"/>
              </w:rPr>
              <w:t>挖掘机</w:t>
            </w:r>
          </w:p>
        </w:tc>
        <w:tc>
          <w:tcPr>
            <w:tcW w:w="1489" w:type="dxa"/>
            <w:vAlign w:val="top"/>
          </w:tcPr>
          <w:p w14:paraId="380D4467">
            <w:pPr>
              <w:spacing w:before="27"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82~90</w:t>
            </w:r>
          </w:p>
        </w:tc>
        <w:tc>
          <w:tcPr>
            <w:tcW w:w="876" w:type="dxa"/>
            <w:vAlign w:val="top"/>
          </w:tcPr>
          <w:p w14:paraId="0225A173">
            <w:pPr>
              <w:spacing w:before="27" w:line="274" w:lineRule="exact"/>
              <w:ind w:left="39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103" w:type="dxa"/>
            <w:vAlign w:val="top"/>
          </w:tcPr>
          <w:p w14:paraId="20E246F8">
            <w:pPr>
              <w:pStyle w:val="6"/>
              <w:spacing w:before="57" w:line="228" w:lineRule="auto"/>
              <w:ind w:left="746"/>
            </w:pPr>
            <w:r>
              <w:rPr>
                <w:spacing w:val="5"/>
              </w:rPr>
              <w:t>打桩机</w:t>
            </w:r>
          </w:p>
        </w:tc>
        <w:tc>
          <w:tcPr>
            <w:tcW w:w="1493" w:type="dxa"/>
            <w:vAlign w:val="top"/>
          </w:tcPr>
          <w:p w14:paraId="4B758858">
            <w:pPr>
              <w:spacing w:before="27" w:line="274" w:lineRule="exact"/>
              <w:ind w:left="3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2"/>
                <w:position w:val="2"/>
                <w:sz w:val="20"/>
                <w:szCs w:val="20"/>
              </w:rPr>
              <w:t>105</w:t>
            </w:r>
          </w:p>
        </w:tc>
      </w:tr>
      <w:tr w14:paraId="6A80E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0" w:type="dxa"/>
            <w:vAlign w:val="top"/>
          </w:tcPr>
          <w:p w14:paraId="4CAACD01">
            <w:pPr>
              <w:spacing w:before="28" w:line="274" w:lineRule="exact"/>
              <w:ind w:left="28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309" w:type="dxa"/>
            <w:vAlign w:val="top"/>
          </w:tcPr>
          <w:p w14:paraId="659BB6D9">
            <w:pPr>
              <w:pStyle w:val="6"/>
              <w:spacing w:before="58" w:line="228" w:lineRule="auto"/>
              <w:ind w:left="843"/>
            </w:pPr>
            <w:r>
              <w:rPr>
                <w:spacing w:val="6"/>
              </w:rPr>
              <w:t>装载机</w:t>
            </w:r>
          </w:p>
        </w:tc>
        <w:tc>
          <w:tcPr>
            <w:tcW w:w="1489" w:type="dxa"/>
            <w:vAlign w:val="top"/>
          </w:tcPr>
          <w:p w14:paraId="15EBD49B">
            <w:pPr>
              <w:spacing w:before="28"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90~95</w:t>
            </w:r>
          </w:p>
        </w:tc>
        <w:tc>
          <w:tcPr>
            <w:tcW w:w="876" w:type="dxa"/>
            <w:vAlign w:val="top"/>
          </w:tcPr>
          <w:p w14:paraId="3564ACCE">
            <w:pPr>
              <w:spacing w:before="28"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103" w:type="dxa"/>
            <w:vAlign w:val="top"/>
          </w:tcPr>
          <w:p w14:paraId="1A799601">
            <w:pPr>
              <w:pStyle w:val="6"/>
              <w:spacing w:before="58" w:line="228" w:lineRule="auto"/>
              <w:ind w:left="744"/>
            </w:pPr>
            <w:r>
              <w:rPr>
                <w:spacing w:val="6"/>
              </w:rPr>
              <w:t>压桩机</w:t>
            </w:r>
          </w:p>
        </w:tc>
        <w:tc>
          <w:tcPr>
            <w:tcW w:w="1493" w:type="dxa"/>
            <w:vAlign w:val="top"/>
          </w:tcPr>
          <w:p w14:paraId="65832080">
            <w:pPr>
              <w:spacing w:before="28" w:line="274" w:lineRule="exact"/>
              <w:ind w:left="4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70~75</w:t>
            </w:r>
          </w:p>
        </w:tc>
      </w:tr>
      <w:tr w14:paraId="6D87B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80" w:type="dxa"/>
            <w:vAlign w:val="top"/>
          </w:tcPr>
          <w:p w14:paraId="3FE90D3B">
            <w:pPr>
              <w:spacing w:before="29"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309" w:type="dxa"/>
            <w:vAlign w:val="top"/>
          </w:tcPr>
          <w:p w14:paraId="1575CF21">
            <w:pPr>
              <w:pStyle w:val="6"/>
              <w:spacing w:before="59" w:line="228" w:lineRule="auto"/>
              <w:ind w:left="843"/>
            </w:pPr>
            <w:r>
              <w:rPr>
                <w:spacing w:val="6"/>
              </w:rPr>
              <w:t>推土机</w:t>
            </w:r>
          </w:p>
        </w:tc>
        <w:tc>
          <w:tcPr>
            <w:tcW w:w="1489" w:type="dxa"/>
            <w:vAlign w:val="top"/>
          </w:tcPr>
          <w:p w14:paraId="62FBB13C">
            <w:pPr>
              <w:spacing w:before="29"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83~88</w:t>
            </w:r>
          </w:p>
        </w:tc>
        <w:tc>
          <w:tcPr>
            <w:tcW w:w="876" w:type="dxa"/>
            <w:vAlign w:val="top"/>
          </w:tcPr>
          <w:p w14:paraId="0C1F5E52">
            <w:pPr>
              <w:spacing w:before="29"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2103" w:type="dxa"/>
            <w:vAlign w:val="top"/>
          </w:tcPr>
          <w:p w14:paraId="29706497">
            <w:pPr>
              <w:pStyle w:val="6"/>
              <w:spacing w:before="60" w:line="229" w:lineRule="auto"/>
              <w:ind w:left="849"/>
            </w:pPr>
            <w:r>
              <w:rPr>
                <w:spacing w:val="4"/>
              </w:rPr>
              <w:t>风镐</w:t>
            </w:r>
          </w:p>
        </w:tc>
        <w:tc>
          <w:tcPr>
            <w:tcW w:w="1493" w:type="dxa"/>
            <w:vAlign w:val="top"/>
          </w:tcPr>
          <w:p w14:paraId="73EC4A9C">
            <w:pPr>
              <w:spacing w:before="29"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88~92</w:t>
            </w:r>
          </w:p>
        </w:tc>
      </w:tr>
      <w:tr w14:paraId="6C1CA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0" w:type="dxa"/>
            <w:vAlign w:val="top"/>
          </w:tcPr>
          <w:p w14:paraId="6BEC9759">
            <w:pPr>
              <w:spacing w:before="29"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309" w:type="dxa"/>
            <w:vAlign w:val="top"/>
          </w:tcPr>
          <w:p w14:paraId="212F04EC">
            <w:pPr>
              <w:pStyle w:val="6"/>
              <w:spacing w:before="59" w:line="228" w:lineRule="auto"/>
              <w:ind w:left="529"/>
            </w:pPr>
            <w:r>
              <w:rPr>
                <w:spacing w:val="8"/>
              </w:rPr>
              <w:t>移动式发电机</w:t>
            </w:r>
          </w:p>
        </w:tc>
        <w:tc>
          <w:tcPr>
            <w:tcW w:w="1489" w:type="dxa"/>
            <w:vAlign w:val="top"/>
          </w:tcPr>
          <w:p w14:paraId="0F81E5A3">
            <w:pPr>
              <w:spacing w:before="29"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95~</w:t>
            </w:r>
            <w:r>
              <w:rPr>
                <w:rFonts w:ascii="Times New Roman" w:hAnsi="Times New Roman" w:eastAsia="Times New Roman" w:cs="Times New Roman"/>
                <w:spacing w:val="-22"/>
                <w:position w:val="2"/>
                <w:sz w:val="20"/>
                <w:szCs w:val="20"/>
              </w:rPr>
              <w:t xml:space="preserve"> </w:t>
            </w:r>
            <w:r>
              <w:rPr>
                <w:rFonts w:ascii="Times New Roman" w:hAnsi="Times New Roman" w:eastAsia="Times New Roman" w:cs="Times New Roman"/>
                <w:spacing w:val="-1"/>
                <w:position w:val="2"/>
                <w:sz w:val="20"/>
                <w:szCs w:val="20"/>
              </w:rPr>
              <w:t>102</w:t>
            </w:r>
          </w:p>
        </w:tc>
        <w:tc>
          <w:tcPr>
            <w:tcW w:w="876" w:type="dxa"/>
            <w:vAlign w:val="top"/>
          </w:tcPr>
          <w:p w14:paraId="080854CC">
            <w:pPr>
              <w:spacing w:before="29"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2103" w:type="dxa"/>
            <w:vAlign w:val="top"/>
          </w:tcPr>
          <w:p w14:paraId="4C59EB1D">
            <w:pPr>
              <w:pStyle w:val="6"/>
              <w:spacing w:before="60" w:line="228" w:lineRule="auto"/>
              <w:ind w:left="431"/>
            </w:pPr>
            <w:r>
              <w:rPr>
                <w:spacing w:val="7"/>
              </w:rPr>
              <w:t>混凝土运输泵</w:t>
            </w:r>
          </w:p>
        </w:tc>
        <w:tc>
          <w:tcPr>
            <w:tcW w:w="1493" w:type="dxa"/>
            <w:vAlign w:val="top"/>
          </w:tcPr>
          <w:p w14:paraId="0924C5EF">
            <w:pPr>
              <w:spacing w:before="29"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88~95</w:t>
            </w:r>
          </w:p>
        </w:tc>
      </w:tr>
      <w:tr w14:paraId="74DA5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80" w:type="dxa"/>
            <w:vAlign w:val="top"/>
          </w:tcPr>
          <w:p w14:paraId="524223A4">
            <w:pPr>
              <w:spacing w:before="100" w:line="192"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09" w:type="dxa"/>
            <w:vAlign w:val="top"/>
          </w:tcPr>
          <w:p w14:paraId="62D33BDB">
            <w:pPr>
              <w:pStyle w:val="6"/>
              <w:spacing w:before="61" w:line="229" w:lineRule="auto"/>
              <w:ind w:left="740"/>
            </w:pPr>
            <w:r>
              <w:rPr>
                <w:spacing w:val="7"/>
              </w:rPr>
              <w:t>木工电锯</w:t>
            </w:r>
          </w:p>
        </w:tc>
        <w:tc>
          <w:tcPr>
            <w:tcW w:w="1489" w:type="dxa"/>
            <w:vAlign w:val="top"/>
          </w:tcPr>
          <w:p w14:paraId="1311A9BF">
            <w:pPr>
              <w:spacing w:before="30"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95~99</w:t>
            </w:r>
          </w:p>
        </w:tc>
        <w:tc>
          <w:tcPr>
            <w:tcW w:w="876" w:type="dxa"/>
            <w:vAlign w:val="top"/>
          </w:tcPr>
          <w:p w14:paraId="5C7FE713">
            <w:pPr>
              <w:spacing w:before="30"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2103" w:type="dxa"/>
            <w:vAlign w:val="top"/>
          </w:tcPr>
          <w:p w14:paraId="28D65668">
            <w:pPr>
              <w:pStyle w:val="6"/>
              <w:spacing w:before="60" w:line="228" w:lineRule="auto"/>
              <w:ind w:left="742"/>
            </w:pPr>
            <w:r>
              <w:rPr>
                <w:spacing w:val="7"/>
              </w:rPr>
              <w:t>搅拌机</w:t>
            </w:r>
          </w:p>
        </w:tc>
        <w:tc>
          <w:tcPr>
            <w:tcW w:w="1493" w:type="dxa"/>
            <w:vAlign w:val="top"/>
          </w:tcPr>
          <w:p w14:paraId="442574E2">
            <w:pPr>
              <w:spacing w:before="30"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85~90</w:t>
            </w:r>
          </w:p>
        </w:tc>
      </w:tr>
      <w:tr w14:paraId="0A0D2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80" w:type="dxa"/>
            <w:vAlign w:val="top"/>
          </w:tcPr>
          <w:p w14:paraId="0138844B">
            <w:pPr>
              <w:spacing w:before="30"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309" w:type="dxa"/>
            <w:vAlign w:val="top"/>
          </w:tcPr>
          <w:p w14:paraId="051FCBAF">
            <w:pPr>
              <w:pStyle w:val="6"/>
              <w:spacing w:before="61" w:line="228" w:lineRule="auto"/>
              <w:ind w:left="531"/>
            </w:pPr>
            <w:r>
              <w:rPr>
                <w:spacing w:val="7"/>
              </w:rPr>
              <w:t>各类型压路车</w:t>
            </w:r>
          </w:p>
        </w:tc>
        <w:tc>
          <w:tcPr>
            <w:tcW w:w="1489" w:type="dxa"/>
            <w:vAlign w:val="top"/>
          </w:tcPr>
          <w:p w14:paraId="6BBBF3D5">
            <w:pPr>
              <w:spacing w:before="30"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80~90</w:t>
            </w:r>
          </w:p>
        </w:tc>
        <w:tc>
          <w:tcPr>
            <w:tcW w:w="876" w:type="dxa"/>
            <w:vAlign w:val="top"/>
          </w:tcPr>
          <w:p w14:paraId="601A56A1">
            <w:pPr>
              <w:spacing w:before="30"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2103" w:type="dxa"/>
            <w:vAlign w:val="top"/>
          </w:tcPr>
          <w:p w14:paraId="6A0DE77F">
            <w:pPr>
              <w:pStyle w:val="6"/>
              <w:spacing w:before="61" w:line="228" w:lineRule="auto"/>
              <w:ind w:left="431"/>
            </w:pPr>
            <w:r>
              <w:rPr>
                <w:spacing w:val="7"/>
              </w:rPr>
              <w:t>混凝土振捣器</w:t>
            </w:r>
          </w:p>
        </w:tc>
        <w:tc>
          <w:tcPr>
            <w:tcW w:w="1493" w:type="dxa"/>
            <w:vAlign w:val="top"/>
          </w:tcPr>
          <w:p w14:paraId="556BF90E">
            <w:pPr>
              <w:spacing w:before="30"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80~88</w:t>
            </w:r>
          </w:p>
        </w:tc>
      </w:tr>
      <w:tr w14:paraId="6B669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80" w:type="dxa"/>
            <w:vAlign w:val="top"/>
          </w:tcPr>
          <w:p w14:paraId="79C11B2B">
            <w:pPr>
              <w:spacing w:before="101" w:line="192"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09" w:type="dxa"/>
            <w:vAlign w:val="top"/>
          </w:tcPr>
          <w:p w14:paraId="23949673">
            <w:pPr>
              <w:pStyle w:val="6"/>
              <w:spacing w:before="62" w:line="234" w:lineRule="auto"/>
              <w:ind w:left="973"/>
            </w:pPr>
            <w:r>
              <w:rPr>
                <w:spacing w:val="-8"/>
              </w:rPr>
              <w:t>电锤</w:t>
            </w:r>
          </w:p>
        </w:tc>
        <w:tc>
          <w:tcPr>
            <w:tcW w:w="1489" w:type="dxa"/>
            <w:vAlign w:val="top"/>
          </w:tcPr>
          <w:p w14:paraId="1F2E78F9">
            <w:pPr>
              <w:spacing w:before="31" w:line="274" w:lineRule="exact"/>
              <w:ind w:left="3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2"/>
                <w:position w:val="2"/>
                <w:sz w:val="20"/>
                <w:szCs w:val="20"/>
              </w:rPr>
              <w:t>105</w:t>
            </w:r>
          </w:p>
        </w:tc>
        <w:tc>
          <w:tcPr>
            <w:tcW w:w="876" w:type="dxa"/>
            <w:vAlign w:val="top"/>
          </w:tcPr>
          <w:p w14:paraId="06272EDE">
            <w:pPr>
              <w:spacing w:before="31"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2103" w:type="dxa"/>
            <w:vAlign w:val="top"/>
          </w:tcPr>
          <w:p w14:paraId="628A4EA2">
            <w:pPr>
              <w:pStyle w:val="6"/>
              <w:spacing w:before="61" w:line="228" w:lineRule="auto"/>
              <w:ind w:left="329"/>
            </w:pPr>
            <w:r>
              <w:rPr>
                <w:spacing w:val="7"/>
              </w:rPr>
              <w:t>云石机、角磨机</w:t>
            </w:r>
          </w:p>
        </w:tc>
        <w:tc>
          <w:tcPr>
            <w:tcW w:w="1493" w:type="dxa"/>
            <w:vAlign w:val="top"/>
          </w:tcPr>
          <w:p w14:paraId="311C95F3">
            <w:pPr>
              <w:spacing w:before="31" w:line="274" w:lineRule="exact"/>
              <w:ind w:left="48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90~96</w:t>
            </w:r>
          </w:p>
        </w:tc>
      </w:tr>
      <w:tr w14:paraId="14784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80" w:type="dxa"/>
            <w:vAlign w:val="top"/>
          </w:tcPr>
          <w:p w14:paraId="0A81F2A2">
            <w:pPr>
              <w:spacing w:before="31" w:line="274" w:lineRule="exact"/>
              <w:ind w:left="29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309" w:type="dxa"/>
            <w:vAlign w:val="top"/>
          </w:tcPr>
          <w:p w14:paraId="0D55D980">
            <w:pPr>
              <w:pStyle w:val="6"/>
              <w:spacing w:before="62" w:line="229" w:lineRule="auto"/>
              <w:ind w:left="949"/>
            </w:pPr>
            <w:r>
              <w:rPr>
                <w:spacing w:val="4"/>
              </w:rPr>
              <w:t>夯锤</w:t>
            </w:r>
          </w:p>
        </w:tc>
        <w:tc>
          <w:tcPr>
            <w:tcW w:w="1489" w:type="dxa"/>
            <w:vAlign w:val="top"/>
          </w:tcPr>
          <w:p w14:paraId="70A7C754">
            <w:pPr>
              <w:spacing w:before="31"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90~</w:t>
            </w:r>
            <w:r>
              <w:rPr>
                <w:rFonts w:ascii="Times New Roman" w:hAnsi="Times New Roman" w:eastAsia="Times New Roman" w:cs="Times New Roman"/>
                <w:spacing w:val="-22"/>
                <w:position w:val="2"/>
                <w:sz w:val="20"/>
                <w:szCs w:val="20"/>
              </w:rPr>
              <w:t xml:space="preserve"> </w:t>
            </w:r>
            <w:r>
              <w:rPr>
                <w:rFonts w:ascii="Times New Roman" w:hAnsi="Times New Roman" w:eastAsia="Times New Roman" w:cs="Times New Roman"/>
                <w:spacing w:val="-1"/>
                <w:position w:val="2"/>
                <w:sz w:val="20"/>
                <w:szCs w:val="20"/>
              </w:rPr>
              <w:t>100</w:t>
            </w:r>
          </w:p>
        </w:tc>
        <w:tc>
          <w:tcPr>
            <w:tcW w:w="876" w:type="dxa"/>
            <w:vAlign w:val="top"/>
          </w:tcPr>
          <w:p w14:paraId="7DB3A870">
            <w:pPr>
              <w:spacing w:before="31" w:line="274"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2103" w:type="dxa"/>
            <w:vAlign w:val="top"/>
          </w:tcPr>
          <w:p w14:paraId="54600D39">
            <w:pPr>
              <w:pStyle w:val="6"/>
              <w:spacing w:before="61" w:line="228" w:lineRule="auto"/>
              <w:ind w:left="750"/>
            </w:pPr>
            <w:r>
              <w:rPr>
                <w:spacing w:val="4"/>
              </w:rPr>
              <w:t>空压机</w:t>
            </w:r>
          </w:p>
        </w:tc>
        <w:tc>
          <w:tcPr>
            <w:tcW w:w="1493" w:type="dxa"/>
            <w:vAlign w:val="top"/>
          </w:tcPr>
          <w:p w14:paraId="79C6364B">
            <w:pPr>
              <w:spacing w:before="31" w:line="274"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88~92</w:t>
            </w:r>
          </w:p>
        </w:tc>
      </w:tr>
    </w:tbl>
    <w:p w14:paraId="4484F23D">
      <w:pPr>
        <w:pStyle w:val="2"/>
        <w:spacing w:line="335" w:lineRule="auto"/>
      </w:pPr>
    </w:p>
    <w:p w14:paraId="4FC402D8">
      <w:pPr>
        <w:spacing w:before="78" w:line="360" w:lineRule="exact"/>
        <w:ind w:left="621"/>
        <w:rPr>
          <w:rFonts w:ascii="宋体" w:hAnsi="宋体" w:eastAsia="宋体" w:cs="宋体"/>
          <w:sz w:val="24"/>
          <w:szCs w:val="24"/>
        </w:rPr>
      </w:pPr>
      <w:r>
        <w:rPr>
          <w:rFonts w:ascii="Times New Roman" w:hAnsi="Times New Roman" w:eastAsia="Times New Roman" w:cs="Times New Roman"/>
          <w:spacing w:val="-7"/>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7"/>
          <w:position w:val="2"/>
          <w:sz w:val="24"/>
          <w:szCs w:val="24"/>
        </w:rPr>
        <w:t>、噪声预测模式</w:t>
      </w:r>
    </w:p>
    <w:p w14:paraId="77701960">
      <w:pPr>
        <w:spacing w:before="165" w:line="362" w:lineRule="auto"/>
        <w:ind w:left="125" w:right="113" w:firstLine="480"/>
        <w:rPr>
          <w:rFonts w:ascii="宋体" w:hAnsi="宋体" w:eastAsia="宋体" w:cs="宋体"/>
          <w:sz w:val="24"/>
          <w:szCs w:val="24"/>
        </w:rPr>
      </w:pPr>
      <w:r>
        <w:rPr>
          <w:rFonts w:ascii="宋体" w:hAnsi="宋体" w:eastAsia="宋体" w:cs="宋体"/>
          <w:spacing w:val="2"/>
          <w:sz w:val="24"/>
          <w:szCs w:val="24"/>
        </w:rPr>
        <w:t>工程噪声源可近似作为点声源处理，根据点声源噪声衰减模式，可估算其施工</w:t>
      </w:r>
      <w:r>
        <w:rPr>
          <w:rFonts w:ascii="宋体" w:hAnsi="宋体" w:eastAsia="宋体" w:cs="宋体"/>
          <w:spacing w:val="7"/>
          <w:sz w:val="24"/>
          <w:szCs w:val="24"/>
        </w:rPr>
        <w:t xml:space="preserve"> </w:t>
      </w:r>
      <w:r>
        <w:rPr>
          <w:rFonts w:ascii="宋体" w:hAnsi="宋体" w:eastAsia="宋体" w:cs="宋体"/>
          <w:spacing w:val="-1"/>
          <w:sz w:val="24"/>
          <w:szCs w:val="24"/>
        </w:rPr>
        <w:t>期间距离噪声源不同距离处的噪声值，预测模式如下：</w:t>
      </w:r>
    </w:p>
    <w:p w14:paraId="13512F93">
      <w:pPr>
        <w:spacing w:line="333" w:lineRule="exact"/>
        <w:ind w:left="3749"/>
        <w:outlineLvl w:val="0"/>
        <w:rPr>
          <w:rFonts w:ascii="宋体" w:hAnsi="宋体" w:eastAsia="宋体" w:cs="宋体"/>
          <w:sz w:val="24"/>
          <w:szCs w:val="24"/>
        </w:rPr>
      </w:pPr>
      <w:r>
        <w:rPr>
          <w:rFonts w:ascii="Times New Roman" w:hAnsi="Times New Roman" w:eastAsia="Times New Roman" w:cs="Times New Roman"/>
          <w:position w:val="3"/>
          <w:sz w:val="24"/>
          <w:szCs w:val="24"/>
        </w:rPr>
        <w:t>L</w:t>
      </w:r>
      <w:r>
        <w:rPr>
          <w:rFonts w:ascii="Times New Roman" w:hAnsi="Times New Roman" w:eastAsia="Times New Roman" w:cs="Times New Roman"/>
          <w:position w:val="2"/>
          <w:sz w:val="15"/>
          <w:szCs w:val="15"/>
        </w:rPr>
        <w:t>2</w:t>
      </w:r>
      <w:r>
        <w:rPr>
          <w:rFonts w:ascii="Times New Roman" w:hAnsi="Times New Roman" w:eastAsia="Times New Roman" w:cs="Times New Roman"/>
          <w:position w:val="3"/>
          <w:sz w:val="24"/>
          <w:szCs w:val="24"/>
        </w:rPr>
        <w:t>=L</w:t>
      </w:r>
      <w:r>
        <w:rPr>
          <w:rFonts w:ascii="Times New Roman" w:hAnsi="Times New Roman" w:eastAsia="Times New Roman" w:cs="Times New Roman"/>
          <w:position w:val="3"/>
          <w:sz w:val="15"/>
          <w:szCs w:val="15"/>
        </w:rPr>
        <w:t>1</w:t>
      </w:r>
      <w:r>
        <w:rPr>
          <w:rFonts w:ascii="Times New Roman" w:hAnsi="Times New Roman" w:eastAsia="Times New Roman" w:cs="Times New Roman"/>
          <w:position w:val="3"/>
          <w:sz w:val="24"/>
          <w:szCs w:val="24"/>
        </w:rPr>
        <w:t>-20lg</w:t>
      </w:r>
      <w:r>
        <w:rPr>
          <w:rFonts w:ascii="宋体" w:hAnsi="宋体" w:eastAsia="宋体" w:cs="宋体"/>
          <w:position w:val="3"/>
          <w:sz w:val="24"/>
          <w:szCs w:val="24"/>
        </w:rPr>
        <w:t>（</w:t>
      </w:r>
      <w:r>
        <w:rPr>
          <w:rFonts w:ascii="Times New Roman" w:hAnsi="Times New Roman" w:eastAsia="Times New Roman" w:cs="Times New Roman"/>
          <w:position w:val="3"/>
          <w:sz w:val="24"/>
          <w:szCs w:val="24"/>
        </w:rPr>
        <w:t>r</w:t>
      </w:r>
      <w:r>
        <w:rPr>
          <w:rFonts w:ascii="Times New Roman" w:hAnsi="Times New Roman" w:eastAsia="Times New Roman" w:cs="Times New Roman"/>
          <w:position w:val="3"/>
          <w:sz w:val="15"/>
          <w:szCs w:val="15"/>
        </w:rPr>
        <w:t>2</w:t>
      </w:r>
      <w:r>
        <w:rPr>
          <w:rFonts w:ascii="Times New Roman" w:hAnsi="Times New Roman" w:eastAsia="Times New Roman" w:cs="Times New Roman"/>
          <w:position w:val="3"/>
          <w:sz w:val="24"/>
          <w:szCs w:val="24"/>
        </w:rPr>
        <w:t>/r</w:t>
      </w:r>
      <w:r>
        <w:rPr>
          <w:rFonts w:ascii="Times New Roman" w:hAnsi="Times New Roman" w:eastAsia="Times New Roman" w:cs="Times New Roman"/>
          <w:position w:val="3"/>
          <w:sz w:val="15"/>
          <w:szCs w:val="15"/>
        </w:rPr>
        <w:t>1</w:t>
      </w:r>
      <w:r>
        <w:rPr>
          <w:rFonts w:ascii="宋体" w:hAnsi="宋体" w:eastAsia="宋体" w:cs="宋体"/>
          <w:position w:val="3"/>
          <w:sz w:val="24"/>
          <w:szCs w:val="24"/>
        </w:rPr>
        <w:t>）</w:t>
      </w:r>
    </w:p>
    <w:p w14:paraId="1B5A93A8">
      <w:pPr>
        <w:spacing w:before="156" w:line="361" w:lineRule="exact"/>
        <w:ind w:left="123"/>
        <w:rPr>
          <w:rFonts w:ascii="宋体" w:hAnsi="宋体" w:eastAsia="宋体" w:cs="宋体"/>
          <w:sz w:val="24"/>
          <w:szCs w:val="24"/>
        </w:rPr>
      </w:pPr>
      <w:r>
        <w:rPr>
          <w:rFonts w:ascii="宋体" w:hAnsi="宋体" w:eastAsia="宋体" w:cs="宋体"/>
          <w:spacing w:val="-3"/>
          <w:position w:val="2"/>
          <w:sz w:val="24"/>
          <w:szCs w:val="24"/>
        </w:rPr>
        <w:t>其中：</w:t>
      </w:r>
      <w:r>
        <w:rPr>
          <w:rFonts w:ascii="Times New Roman" w:hAnsi="Times New Roman" w:eastAsia="Times New Roman" w:cs="Times New Roman"/>
          <w:spacing w:val="-3"/>
          <w:position w:val="2"/>
          <w:sz w:val="24"/>
          <w:szCs w:val="24"/>
        </w:rPr>
        <w:t>L</w:t>
      </w:r>
      <w:r>
        <w:rPr>
          <w:rFonts w:ascii="Times New Roman" w:hAnsi="Times New Roman" w:eastAsia="Times New Roman" w:cs="Times New Roman"/>
          <w:spacing w:val="-3"/>
          <w:position w:val="1"/>
          <w:sz w:val="15"/>
          <w:szCs w:val="15"/>
        </w:rPr>
        <w:t>1</w:t>
      </w:r>
      <w:r>
        <w:rPr>
          <w:rFonts w:ascii="Times New Roman" w:hAnsi="Times New Roman" w:eastAsia="Times New Roman" w:cs="Times New Roman"/>
          <w:spacing w:val="-9"/>
          <w:position w:val="1"/>
          <w:sz w:val="15"/>
          <w:szCs w:val="15"/>
        </w:rPr>
        <w:t xml:space="preserve"> </w:t>
      </w: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L</w:t>
      </w:r>
      <w:r>
        <w:rPr>
          <w:rFonts w:ascii="Times New Roman" w:hAnsi="Times New Roman" w:eastAsia="Times New Roman" w:cs="Times New Roman"/>
          <w:spacing w:val="-3"/>
          <w:position w:val="2"/>
          <w:sz w:val="15"/>
          <w:szCs w:val="15"/>
        </w:rPr>
        <w:t>2</w:t>
      </w:r>
      <w:r>
        <w:rPr>
          <w:rFonts w:ascii="Times New Roman" w:hAnsi="Times New Roman" w:eastAsia="Times New Roman" w:cs="Times New Roman"/>
          <w:spacing w:val="-3"/>
          <w:position w:val="2"/>
          <w:sz w:val="24"/>
          <w:szCs w:val="24"/>
        </w:rPr>
        <w:t>—</w:t>
      </w:r>
      <w:r>
        <w:rPr>
          <w:rFonts w:ascii="宋体" w:hAnsi="宋体" w:eastAsia="宋体" w:cs="宋体"/>
          <w:spacing w:val="-3"/>
          <w:position w:val="2"/>
          <w:sz w:val="24"/>
          <w:szCs w:val="24"/>
        </w:rPr>
        <w:t>距离声源</w:t>
      </w:r>
      <w:r>
        <w:rPr>
          <w:rFonts w:ascii="宋体" w:hAnsi="宋体" w:eastAsia="宋体" w:cs="宋体"/>
          <w:spacing w:val="-59"/>
          <w:position w:val="2"/>
          <w:sz w:val="24"/>
          <w:szCs w:val="24"/>
        </w:rPr>
        <w:t xml:space="preserve"> </w:t>
      </w:r>
      <w:r>
        <w:rPr>
          <w:rFonts w:ascii="Times New Roman" w:hAnsi="Times New Roman" w:eastAsia="Times New Roman" w:cs="Times New Roman"/>
          <w:spacing w:val="-3"/>
          <w:position w:val="1"/>
          <w:sz w:val="24"/>
          <w:szCs w:val="24"/>
        </w:rPr>
        <w:t>r</w:t>
      </w:r>
      <w:r>
        <w:rPr>
          <w:rFonts w:ascii="Times New Roman" w:hAnsi="Times New Roman" w:eastAsia="Times New Roman" w:cs="Times New Roman"/>
          <w:spacing w:val="-3"/>
          <w:position w:val="1"/>
          <w:sz w:val="15"/>
          <w:szCs w:val="15"/>
        </w:rPr>
        <w:t>1</w:t>
      </w:r>
      <w:r>
        <w:rPr>
          <w:rFonts w:ascii="Times New Roman" w:hAnsi="Times New Roman" w:eastAsia="Times New Roman" w:cs="Times New Roman"/>
          <w:spacing w:val="-12"/>
          <w:position w:val="1"/>
          <w:sz w:val="15"/>
          <w:szCs w:val="15"/>
        </w:rPr>
        <w:t xml:space="preserve"> </w:t>
      </w:r>
      <w:r>
        <w:rPr>
          <w:rFonts w:ascii="宋体" w:hAnsi="宋体" w:eastAsia="宋体" w:cs="宋体"/>
          <w:spacing w:val="-3"/>
          <w:position w:val="2"/>
          <w:sz w:val="24"/>
          <w:szCs w:val="24"/>
        </w:rPr>
        <w:t xml:space="preserve">、 </w:t>
      </w:r>
      <w:r>
        <w:rPr>
          <w:rFonts w:ascii="Times New Roman" w:hAnsi="Times New Roman" w:eastAsia="Times New Roman" w:cs="Times New Roman"/>
          <w:spacing w:val="-3"/>
          <w:position w:val="1"/>
          <w:sz w:val="24"/>
          <w:szCs w:val="24"/>
        </w:rPr>
        <w:t>r</w:t>
      </w:r>
      <w:r>
        <w:rPr>
          <w:rFonts w:ascii="Times New Roman" w:hAnsi="Times New Roman" w:eastAsia="Times New Roman" w:cs="Times New Roman"/>
          <w:spacing w:val="-3"/>
          <w:position w:val="1"/>
          <w:sz w:val="15"/>
          <w:szCs w:val="15"/>
        </w:rPr>
        <w:t>2</w:t>
      </w: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m</w:t>
      </w:r>
      <w:r>
        <w:rPr>
          <w:rFonts w:ascii="Times New Roman" w:hAnsi="Times New Roman" w:eastAsia="Times New Roman" w:cs="Times New Roman"/>
          <w:spacing w:val="-27"/>
          <w:position w:val="2"/>
          <w:sz w:val="24"/>
          <w:szCs w:val="24"/>
        </w:rPr>
        <w:t xml:space="preserve"> </w:t>
      </w:r>
      <w:r>
        <w:rPr>
          <w:rFonts w:ascii="宋体" w:hAnsi="宋体" w:eastAsia="宋体" w:cs="宋体"/>
          <w:spacing w:val="-3"/>
          <w:position w:val="2"/>
          <w:sz w:val="24"/>
          <w:szCs w:val="24"/>
        </w:rPr>
        <w:t>）距离的噪声值，</w:t>
      </w:r>
      <w:r>
        <w:rPr>
          <w:rFonts w:ascii="Times New Roman" w:hAnsi="Times New Roman" w:eastAsia="Times New Roman" w:cs="Times New Roman"/>
          <w:spacing w:val="-3"/>
          <w:position w:val="2"/>
          <w:sz w:val="24"/>
          <w:szCs w:val="24"/>
        </w:rPr>
        <w:t>dB</w:t>
      </w: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A</w:t>
      </w:r>
      <w:r>
        <w:rPr>
          <w:rFonts w:ascii="宋体" w:hAnsi="宋体" w:eastAsia="宋体" w:cs="宋体"/>
          <w:spacing w:val="4"/>
          <w:position w:val="2"/>
          <w:sz w:val="24"/>
          <w:szCs w:val="24"/>
        </w:rPr>
        <w:t>）；</w:t>
      </w:r>
    </w:p>
    <w:p w14:paraId="3848D57C">
      <w:pPr>
        <w:spacing w:before="127" w:line="361" w:lineRule="exact"/>
        <w:ind w:left="1675"/>
        <w:rPr>
          <w:rFonts w:ascii="宋体" w:hAnsi="宋体" w:eastAsia="宋体" w:cs="宋体"/>
          <w:sz w:val="24"/>
          <w:szCs w:val="24"/>
        </w:rPr>
      </w:pPr>
      <w:r>
        <w:rPr>
          <w:rFonts w:ascii="Times New Roman" w:hAnsi="Times New Roman" w:eastAsia="Times New Roman" w:cs="Times New Roman"/>
          <w:spacing w:val="-4"/>
          <w:position w:val="2"/>
          <w:sz w:val="24"/>
          <w:szCs w:val="24"/>
        </w:rPr>
        <w:t>r</w:t>
      </w:r>
      <w:r>
        <w:rPr>
          <w:rFonts w:ascii="Times New Roman" w:hAnsi="Times New Roman" w:eastAsia="Times New Roman" w:cs="Times New Roman"/>
          <w:spacing w:val="-4"/>
          <w:position w:val="2"/>
          <w:sz w:val="15"/>
          <w:szCs w:val="15"/>
        </w:rPr>
        <w:t>1</w:t>
      </w:r>
      <w:r>
        <w:rPr>
          <w:rFonts w:ascii="Times New Roman" w:hAnsi="Times New Roman" w:eastAsia="Times New Roman" w:cs="Times New Roman"/>
          <w:spacing w:val="-4"/>
          <w:position w:val="2"/>
          <w:sz w:val="24"/>
          <w:szCs w:val="24"/>
        </w:rPr>
        <w:t>—</w:t>
      </w:r>
      <w:r>
        <w:rPr>
          <w:rFonts w:ascii="宋体" w:hAnsi="宋体" w:eastAsia="宋体" w:cs="宋体"/>
          <w:spacing w:val="-4"/>
          <w:position w:val="2"/>
          <w:sz w:val="24"/>
          <w:szCs w:val="24"/>
        </w:rPr>
        <w:t>点声源至受声点</w:t>
      </w:r>
      <w:r>
        <w:rPr>
          <w:rFonts w:ascii="宋体" w:hAnsi="宋体" w:eastAsia="宋体" w:cs="宋体"/>
          <w:spacing w:val="-31"/>
          <w:position w:val="2"/>
          <w:sz w:val="24"/>
          <w:szCs w:val="24"/>
        </w:rPr>
        <w:t xml:space="preserve"> </w:t>
      </w:r>
      <w:r>
        <w:rPr>
          <w:rFonts w:ascii="Times New Roman" w:hAnsi="Times New Roman" w:eastAsia="Times New Roman" w:cs="Times New Roman"/>
          <w:spacing w:val="-4"/>
          <w:position w:val="2"/>
          <w:sz w:val="24"/>
          <w:szCs w:val="24"/>
        </w:rPr>
        <w:t>1</w:t>
      </w:r>
      <w:r>
        <w:rPr>
          <w:rFonts w:ascii="Times New Roman" w:hAnsi="Times New Roman" w:eastAsia="Times New Roman" w:cs="Times New Roman"/>
          <w:spacing w:val="29"/>
          <w:w w:val="101"/>
          <w:position w:val="2"/>
          <w:sz w:val="24"/>
          <w:szCs w:val="24"/>
        </w:rPr>
        <w:t xml:space="preserve"> </w:t>
      </w:r>
      <w:r>
        <w:rPr>
          <w:rFonts w:ascii="宋体" w:hAnsi="宋体" w:eastAsia="宋体" w:cs="宋体"/>
          <w:spacing w:val="-4"/>
          <w:position w:val="2"/>
          <w:sz w:val="24"/>
          <w:szCs w:val="24"/>
        </w:rPr>
        <w:t>的距离；</w:t>
      </w:r>
    </w:p>
    <w:p w14:paraId="34911D68">
      <w:pPr>
        <w:spacing w:before="128" w:line="361" w:lineRule="exact"/>
        <w:ind w:left="1675"/>
        <w:rPr>
          <w:rFonts w:ascii="宋体" w:hAnsi="宋体" w:eastAsia="宋体" w:cs="宋体"/>
          <w:sz w:val="24"/>
          <w:szCs w:val="24"/>
        </w:rPr>
      </w:pPr>
      <w:r>
        <w:rPr>
          <w:rFonts w:ascii="Times New Roman" w:hAnsi="Times New Roman" w:eastAsia="Times New Roman" w:cs="Times New Roman"/>
          <w:spacing w:val="2"/>
          <w:position w:val="2"/>
          <w:sz w:val="24"/>
          <w:szCs w:val="24"/>
        </w:rPr>
        <w:t>r</w:t>
      </w:r>
      <w:r>
        <w:rPr>
          <w:rFonts w:ascii="Times New Roman" w:hAnsi="Times New Roman" w:eastAsia="Times New Roman" w:cs="Times New Roman"/>
          <w:spacing w:val="2"/>
          <w:position w:val="2"/>
          <w:sz w:val="15"/>
          <w:szCs w:val="15"/>
        </w:rPr>
        <w:t>2</w:t>
      </w:r>
      <w:r>
        <w:rPr>
          <w:rFonts w:ascii="Times New Roman" w:hAnsi="Times New Roman" w:eastAsia="Times New Roman" w:cs="Times New Roman"/>
          <w:spacing w:val="2"/>
          <w:position w:val="2"/>
          <w:sz w:val="24"/>
          <w:szCs w:val="24"/>
        </w:rPr>
        <w:t>—</w:t>
      </w:r>
      <w:r>
        <w:rPr>
          <w:rFonts w:ascii="宋体" w:hAnsi="宋体" w:eastAsia="宋体" w:cs="宋体"/>
          <w:spacing w:val="2"/>
          <w:position w:val="2"/>
          <w:sz w:val="24"/>
          <w:szCs w:val="24"/>
        </w:rPr>
        <w:t>点声源至受声点</w:t>
      </w:r>
      <w:r>
        <w:rPr>
          <w:rFonts w:ascii="Times New Roman" w:hAnsi="Times New Roman" w:eastAsia="Times New Roman" w:cs="Times New Roman"/>
          <w:spacing w:val="2"/>
          <w:position w:val="2"/>
          <w:sz w:val="24"/>
          <w:szCs w:val="24"/>
        </w:rPr>
        <w:t>2</w:t>
      </w:r>
      <w:r>
        <w:rPr>
          <w:rFonts w:ascii="Times New Roman" w:hAnsi="Times New Roman" w:eastAsia="Times New Roman" w:cs="Times New Roman"/>
          <w:spacing w:val="29"/>
          <w:position w:val="2"/>
          <w:sz w:val="24"/>
          <w:szCs w:val="24"/>
        </w:rPr>
        <w:t xml:space="preserve"> </w:t>
      </w:r>
      <w:r>
        <w:rPr>
          <w:rFonts w:ascii="宋体" w:hAnsi="宋体" w:eastAsia="宋体" w:cs="宋体"/>
          <w:spacing w:val="2"/>
          <w:position w:val="2"/>
          <w:sz w:val="24"/>
          <w:szCs w:val="24"/>
        </w:rPr>
        <w:t>的距离。</w:t>
      </w:r>
    </w:p>
    <w:p w14:paraId="337F3A54">
      <w:pPr>
        <w:spacing w:before="128" w:line="374" w:lineRule="auto"/>
        <w:ind w:left="146" w:right="113" w:firstLine="456"/>
        <w:rPr>
          <w:rFonts w:ascii="宋体" w:hAnsi="宋体" w:eastAsia="宋体" w:cs="宋体"/>
          <w:sz w:val="24"/>
          <w:szCs w:val="24"/>
        </w:rPr>
      </w:pPr>
      <w:r>
        <w:rPr>
          <w:rFonts w:ascii="宋体" w:hAnsi="宋体" w:eastAsia="宋体" w:cs="宋体"/>
          <w:spacing w:val="-3"/>
          <w:sz w:val="24"/>
          <w:szCs w:val="24"/>
        </w:rPr>
        <w:t>根据表</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5.1-5</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中各种施工机械噪声值，通过计算可以得出不同类型施工机械在不</w:t>
      </w:r>
      <w:r>
        <w:rPr>
          <w:rFonts w:ascii="宋体" w:hAnsi="宋体" w:eastAsia="宋体" w:cs="宋体"/>
          <w:sz w:val="24"/>
          <w:szCs w:val="24"/>
        </w:rPr>
        <w:t xml:space="preserve"> </w:t>
      </w:r>
      <w:r>
        <w:rPr>
          <w:rFonts w:ascii="宋体" w:hAnsi="宋体" w:eastAsia="宋体" w:cs="宋体"/>
          <w:spacing w:val="-3"/>
          <w:sz w:val="24"/>
          <w:szCs w:val="24"/>
        </w:rPr>
        <w:t>同距离处的噪声预测值，见表</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5.1-4</w:t>
      </w:r>
      <w:r>
        <w:rPr>
          <w:rFonts w:ascii="宋体" w:hAnsi="宋体" w:eastAsia="宋体" w:cs="宋体"/>
          <w:spacing w:val="-3"/>
          <w:sz w:val="24"/>
          <w:szCs w:val="24"/>
        </w:rPr>
        <w:t>。</w:t>
      </w:r>
    </w:p>
    <w:p w14:paraId="2D390A81">
      <w:pPr>
        <w:spacing w:before="57" w:line="228" w:lineRule="auto"/>
        <w:ind w:left="2016"/>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b/>
          <w:bCs/>
          <w:spacing w:val="7"/>
          <w:sz w:val="20"/>
          <w:szCs w:val="20"/>
        </w:rPr>
        <w:t xml:space="preserve">5.1-4 </w:t>
      </w:r>
      <w:r>
        <w:rPr>
          <w:rFonts w:ascii="宋体" w:hAnsi="宋体" w:eastAsia="宋体" w:cs="宋体"/>
          <w:b/>
          <w:bCs/>
          <w:spacing w:val="7"/>
          <w:sz w:val="20"/>
          <w:szCs w:val="20"/>
        </w:rPr>
        <w:t>各种施工机械在不同距离的噪声值单位：</w:t>
      </w:r>
      <w:r>
        <w:rPr>
          <w:rFonts w:ascii="Times New Roman" w:hAnsi="Times New Roman" w:eastAsia="Times New Roman" w:cs="Times New Roman"/>
          <w:b/>
          <w:bCs/>
          <w:sz w:val="20"/>
          <w:szCs w:val="20"/>
        </w:rPr>
        <w:t>dB</w:t>
      </w:r>
      <w:r>
        <w:rPr>
          <w:rFonts w:ascii="宋体" w:hAnsi="宋体" w:eastAsia="宋体" w:cs="宋体"/>
          <w:b/>
          <w:bCs/>
          <w:spacing w:val="7"/>
          <w:sz w:val="20"/>
          <w:szCs w:val="20"/>
        </w:rPr>
        <w:t>（</w:t>
      </w:r>
      <w:r>
        <w:rPr>
          <w:rFonts w:ascii="Times New Roman" w:hAnsi="Times New Roman" w:eastAsia="Times New Roman" w:cs="Times New Roman"/>
          <w:b/>
          <w:bCs/>
          <w:spacing w:val="7"/>
          <w:sz w:val="20"/>
          <w:szCs w:val="20"/>
        </w:rPr>
        <w:t>A</w:t>
      </w:r>
      <w:r>
        <w:rPr>
          <w:rFonts w:ascii="宋体" w:hAnsi="宋体" w:eastAsia="宋体" w:cs="宋体"/>
          <w:b/>
          <w:bCs/>
          <w:spacing w:val="7"/>
          <w:sz w:val="20"/>
          <w:szCs w:val="20"/>
        </w:rPr>
        <w:t>）</w:t>
      </w:r>
    </w:p>
    <w:p w14:paraId="197ED8E8">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5"/>
        <w:gridCol w:w="699"/>
        <w:gridCol w:w="699"/>
        <w:gridCol w:w="699"/>
        <w:gridCol w:w="699"/>
        <w:gridCol w:w="699"/>
        <w:gridCol w:w="699"/>
        <w:gridCol w:w="699"/>
        <w:gridCol w:w="699"/>
        <w:gridCol w:w="699"/>
        <w:gridCol w:w="704"/>
      </w:tblGrid>
      <w:tr w14:paraId="72FA2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955" w:type="dxa"/>
            <w:tcBorders>
              <w:tl2br w:val="single" w:color="000000" w:sz="4" w:space="0"/>
            </w:tcBorders>
            <w:vAlign w:val="top"/>
          </w:tcPr>
          <w:p w14:paraId="220EB5BD">
            <w:pPr>
              <w:pStyle w:val="6"/>
              <w:spacing w:before="63" w:line="271" w:lineRule="auto"/>
              <w:ind w:left="565" w:right="484" w:hanging="90"/>
            </w:pPr>
            <w:r>
              <w:rPr>
                <w:b/>
                <w:bCs/>
                <w:spacing w:val="2"/>
              </w:rPr>
              <w:t>距离（</w:t>
            </w:r>
            <w:r>
              <w:rPr>
                <w:rFonts w:ascii="Times New Roman" w:hAnsi="Times New Roman" w:eastAsia="Times New Roman" w:cs="Times New Roman"/>
                <w:b/>
                <w:bCs/>
                <w:spacing w:val="2"/>
              </w:rPr>
              <w:t>m</w:t>
            </w:r>
            <w:r>
              <w:rPr>
                <w:b/>
                <w:bCs/>
                <w:spacing w:val="2"/>
              </w:rPr>
              <w:t>）</w:t>
            </w:r>
            <w:r>
              <w:rPr>
                <w:spacing w:val="3"/>
              </w:rPr>
              <w:t xml:space="preserve"> </w:t>
            </w:r>
            <w:r>
              <w:rPr>
                <w:b/>
                <w:bCs/>
                <w:spacing w:val="5"/>
              </w:rPr>
              <w:t>设备名称</w:t>
            </w:r>
          </w:p>
        </w:tc>
        <w:tc>
          <w:tcPr>
            <w:tcW w:w="699" w:type="dxa"/>
            <w:vAlign w:val="top"/>
          </w:tcPr>
          <w:p w14:paraId="4469EAD5">
            <w:pPr>
              <w:spacing w:before="102" w:line="192" w:lineRule="auto"/>
              <w:ind w:left="299"/>
              <w:rPr>
                <w:rFonts w:ascii="Times New Roman" w:hAnsi="Times New Roman" w:eastAsia="Times New Roman" w:cs="Times New Roman"/>
                <w:sz w:val="20"/>
                <w:szCs w:val="20"/>
              </w:rPr>
            </w:pPr>
            <w:r>
              <w:rPr>
                <w:rFonts w:ascii="Times New Roman" w:hAnsi="Times New Roman" w:eastAsia="Times New Roman" w:cs="Times New Roman"/>
                <w:b/>
                <w:bCs/>
                <w:sz w:val="20"/>
                <w:szCs w:val="20"/>
              </w:rPr>
              <w:t>5</w:t>
            </w:r>
          </w:p>
        </w:tc>
        <w:tc>
          <w:tcPr>
            <w:tcW w:w="699" w:type="dxa"/>
            <w:vAlign w:val="top"/>
          </w:tcPr>
          <w:p w14:paraId="5DB3BAB0">
            <w:pPr>
              <w:spacing w:before="99" w:line="195" w:lineRule="auto"/>
              <w:ind w:left="254"/>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w:t>
            </w:r>
          </w:p>
        </w:tc>
        <w:tc>
          <w:tcPr>
            <w:tcW w:w="699" w:type="dxa"/>
            <w:vAlign w:val="top"/>
          </w:tcPr>
          <w:p w14:paraId="3E825BB1">
            <w:pPr>
              <w:spacing w:before="99" w:line="195" w:lineRule="auto"/>
              <w:ind w:left="24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20</w:t>
            </w:r>
          </w:p>
        </w:tc>
        <w:tc>
          <w:tcPr>
            <w:tcW w:w="699" w:type="dxa"/>
            <w:vAlign w:val="top"/>
          </w:tcPr>
          <w:p w14:paraId="7BF6CB8C">
            <w:pPr>
              <w:spacing w:before="99" w:line="195" w:lineRule="auto"/>
              <w:ind w:left="24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30</w:t>
            </w:r>
          </w:p>
        </w:tc>
        <w:tc>
          <w:tcPr>
            <w:tcW w:w="699" w:type="dxa"/>
            <w:vAlign w:val="top"/>
          </w:tcPr>
          <w:p w14:paraId="7FE8AECC">
            <w:pPr>
              <w:spacing w:before="99" w:line="195" w:lineRule="auto"/>
              <w:ind w:left="24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40</w:t>
            </w:r>
          </w:p>
        </w:tc>
        <w:tc>
          <w:tcPr>
            <w:tcW w:w="699" w:type="dxa"/>
            <w:vAlign w:val="top"/>
          </w:tcPr>
          <w:p w14:paraId="552451EF">
            <w:pPr>
              <w:spacing w:before="99" w:line="195" w:lineRule="auto"/>
              <w:ind w:left="250"/>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50</w:t>
            </w:r>
          </w:p>
        </w:tc>
        <w:tc>
          <w:tcPr>
            <w:tcW w:w="699" w:type="dxa"/>
            <w:vAlign w:val="top"/>
          </w:tcPr>
          <w:p w14:paraId="4BE7C1D5">
            <w:pPr>
              <w:spacing w:before="99" w:line="195" w:lineRule="auto"/>
              <w:ind w:left="20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100</w:t>
            </w:r>
          </w:p>
        </w:tc>
        <w:tc>
          <w:tcPr>
            <w:tcW w:w="699" w:type="dxa"/>
            <w:vAlign w:val="top"/>
          </w:tcPr>
          <w:p w14:paraId="5FCA0AAB">
            <w:pPr>
              <w:spacing w:before="99" w:line="195" w:lineRule="auto"/>
              <w:ind w:left="205"/>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150</w:t>
            </w:r>
          </w:p>
        </w:tc>
        <w:tc>
          <w:tcPr>
            <w:tcW w:w="699" w:type="dxa"/>
            <w:vAlign w:val="top"/>
          </w:tcPr>
          <w:p w14:paraId="15D75347">
            <w:pPr>
              <w:spacing w:before="99" w:line="195" w:lineRule="auto"/>
              <w:ind w:left="196"/>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200</w:t>
            </w:r>
          </w:p>
        </w:tc>
        <w:tc>
          <w:tcPr>
            <w:tcW w:w="704" w:type="dxa"/>
            <w:vAlign w:val="top"/>
          </w:tcPr>
          <w:p w14:paraId="722B6E88">
            <w:pPr>
              <w:spacing w:before="99" w:line="195" w:lineRule="auto"/>
              <w:ind w:left="193"/>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300</w:t>
            </w:r>
          </w:p>
        </w:tc>
      </w:tr>
      <w:tr w14:paraId="3351B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5" w:type="dxa"/>
            <w:vAlign w:val="top"/>
          </w:tcPr>
          <w:p w14:paraId="11DD2DDD">
            <w:pPr>
              <w:pStyle w:val="6"/>
              <w:spacing w:before="59" w:line="228" w:lineRule="auto"/>
              <w:ind w:left="667"/>
            </w:pPr>
            <w:r>
              <w:rPr>
                <w:spacing w:val="7"/>
              </w:rPr>
              <w:t>挖掘机</w:t>
            </w:r>
          </w:p>
        </w:tc>
        <w:tc>
          <w:tcPr>
            <w:tcW w:w="699" w:type="dxa"/>
            <w:vAlign w:val="top"/>
          </w:tcPr>
          <w:p w14:paraId="1C8042D3">
            <w:pPr>
              <w:spacing w:before="29"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86</w:t>
            </w:r>
          </w:p>
        </w:tc>
        <w:tc>
          <w:tcPr>
            <w:tcW w:w="699" w:type="dxa"/>
            <w:vAlign w:val="top"/>
          </w:tcPr>
          <w:p w14:paraId="1E46141F">
            <w:pPr>
              <w:spacing w:before="29"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699" w:type="dxa"/>
            <w:vAlign w:val="top"/>
          </w:tcPr>
          <w:p w14:paraId="22A4AE8B">
            <w:pPr>
              <w:spacing w:before="29"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74</w:t>
            </w:r>
          </w:p>
        </w:tc>
        <w:tc>
          <w:tcPr>
            <w:tcW w:w="699" w:type="dxa"/>
            <w:vAlign w:val="top"/>
          </w:tcPr>
          <w:p w14:paraId="04D1601A">
            <w:pPr>
              <w:spacing w:before="29"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70.4</w:t>
            </w:r>
          </w:p>
        </w:tc>
        <w:tc>
          <w:tcPr>
            <w:tcW w:w="699" w:type="dxa"/>
            <w:vAlign w:val="top"/>
          </w:tcPr>
          <w:p w14:paraId="4547ADD7">
            <w:pPr>
              <w:spacing w:before="29"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67.9</w:t>
            </w:r>
          </w:p>
        </w:tc>
        <w:tc>
          <w:tcPr>
            <w:tcW w:w="699" w:type="dxa"/>
            <w:vAlign w:val="top"/>
          </w:tcPr>
          <w:p w14:paraId="7C524CF5">
            <w:pPr>
              <w:spacing w:before="29"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66</w:t>
            </w:r>
          </w:p>
        </w:tc>
        <w:tc>
          <w:tcPr>
            <w:tcW w:w="699" w:type="dxa"/>
            <w:vAlign w:val="top"/>
          </w:tcPr>
          <w:p w14:paraId="4DF6C4DD">
            <w:pPr>
              <w:spacing w:before="29"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699" w:type="dxa"/>
            <w:vAlign w:val="top"/>
          </w:tcPr>
          <w:p w14:paraId="05BB0956">
            <w:pPr>
              <w:spacing w:before="29"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56.5</w:t>
            </w:r>
          </w:p>
        </w:tc>
        <w:tc>
          <w:tcPr>
            <w:tcW w:w="699" w:type="dxa"/>
            <w:vAlign w:val="top"/>
          </w:tcPr>
          <w:p w14:paraId="04037A3A">
            <w:pPr>
              <w:spacing w:before="29"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704" w:type="dxa"/>
            <w:vAlign w:val="top"/>
          </w:tcPr>
          <w:p w14:paraId="303B4A6C">
            <w:pPr>
              <w:spacing w:before="29"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50.4</w:t>
            </w:r>
          </w:p>
        </w:tc>
      </w:tr>
      <w:tr w14:paraId="315EE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55" w:type="dxa"/>
            <w:vAlign w:val="top"/>
          </w:tcPr>
          <w:p w14:paraId="42413108">
            <w:pPr>
              <w:pStyle w:val="6"/>
              <w:spacing w:before="59" w:line="228" w:lineRule="auto"/>
              <w:ind w:left="668"/>
            </w:pPr>
            <w:r>
              <w:rPr>
                <w:spacing w:val="6"/>
              </w:rPr>
              <w:t>装载机</w:t>
            </w:r>
          </w:p>
        </w:tc>
        <w:tc>
          <w:tcPr>
            <w:tcW w:w="699" w:type="dxa"/>
            <w:vAlign w:val="top"/>
          </w:tcPr>
          <w:p w14:paraId="763E77B7">
            <w:pPr>
              <w:spacing w:before="29" w:line="274" w:lineRule="exact"/>
              <w:ind w:left="2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91</w:t>
            </w:r>
          </w:p>
        </w:tc>
        <w:tc>
          <w:tcPr>
            <w:tcW w:w="699" w:type="dxa"/>
            <w:vAlign w:val="top"/>
          </w:tcPr>
          <w:p w14:paraId="54758241">
            <w:pPr>
              <w:spacing w:before="29"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699" w:type="dxa"/>
            <w:vAlign w:val="top"/>
          </w:tcPr>
          <w:p w14:paraId="604CCB25">
            <w:pPr>
              <w:spacing w:before="29"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79</w:t>
            </w:r>
          </w:p>
        </w:tc>
        <w:tc>
          <w:tcPr>
            <w:tcW w:w="699" w:type="dxa"/>
            <w:vAlign w:val="top"/>
          </w:tcPr>
          <w:p w14:paraId="186D4720">
            <w:pPr>
              <w:spacing w:before="29"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75.4</w:t>
            </w:r>
          </w:p>
        </w:tc>
        <w:tc>
          <w:tcPr>
            <w:tcW w:w="699" w:type="dxa"/>
            <w:vAlign w:val="top"/>
          </w:tcPr>
          <w:p w14:paraId="1D68154C">
            <w:pPr>
              <w:spacing w:before="29"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72.9</w:t>
            </w:r>
          </w:p>
        </w:tc>
        <w:tc>
          <w:tcPr>
            <w:tcW w:w="699" w:type="dxa"/>
            <w:vAlign w:val="top"/>
          </w:tcPr>
          <w:p w14:paraId="4A74F495">
            <w:pPr>
              <w:spacing w:before="29"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71</w:t>
            </w:r>
          </w:p>
        </w:tc>
        <w:tc>
          <w:tcPr>
            <w:tcW w:w="699" w:type="dxa"/>
            <w:vAlign w:val="top"/>
          </w:tcPr>
          <w:p w14:paraId="138CCBEE">
            <w:pPr>
              <w:spacing w:before="29"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699" w:type="dxa"/>
            <w:vAlign w:val="top"/>
          </w:tcPr>
          <w:p w14:paraId="20CCD7FE">
            <w:pPr>
              <w:spacing w:before="29"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61.5</w:t>
            </w:r>
          </w:p>
        </w:tc>
        <w:tc>
          <w:tcPr>
            <w:tcW w:w="699" w:type="dxa"/>
            <w:vAlign w:val="top"/>
          </w:tcPr>
          <w:p w14:paraId="762532FF">
            <w:pPr>
              <w:spacing w:before="29"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59</w:t>
            </w:r>
          </w:p>
        </w:tc>
        <w:tc>
          <w:tcPr>
            <w:tcW w:w="704" w:type="dxa"/>
            <w:vAlign w:val="top"/>
          </w:tcPr>
          <w:p w14:paraId="60CA9766">
            <w:pPr>
              <w:spacing w:before="29"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55.4</w:t>
            </w:r>
          </w:p>
        </w:tc>
      </w:tr>
      <w:tr w14:paraId="709FA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55" w:type="dxa"/>
            <w:vAlign w:val="top"/>
          </w:tcPr>
          <w:p w14:paraId="58E62AE2">
            <w:pPr>
              <w:pStyle w:val="6"/>
              <w:spacing w:before="60" w:line="228" w:lineRule="auto"/>
              <w:ind w:left="668"/>
            </w:pPr>
            <w:r>
              <w:rPr>
                <w:spacing w:val="6"/>
              </w:rPr>
              <w:t>推土机</w:t>
            </w:r>
          </w:p>
        </w:tc>
        <w:tc>
          <w:tcPr>
            <w:tcW w:w="699" w:type="dxa"/>
            <w:vAlign w:val="top"/>
          </w:tcPr>
          <w:p w14:paraId="7D62504D">
            <w:pPr>
              <w:spacing w:before="30"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699" w:type="dxa"/>
            <w:vAlign w:val="top"/>
          </w:tcPr>
          <w:p w14:paraId="0BFADFBD">
            <w:pPr>
              <w:spacing w:before="30"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79</w:t>
            </w:r>
          </w:p>
        </w:tc>
        <w:tc>
          <w:tcPr>
            <w:tcW w:w="699" w:type="dxa"/>
            <w:vAlign w:val="top"/>
          </w:tcPr>
          <w:p w14:paraId="52C08311">
            <w:pPr>
              <w:spacing w:before="30"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699" w:type="dxa"/>
            <w:vAlign w:val="top"/>
          </w:tcPr>
          <w:p w14:paraId="501F96D8">
            <w:pPr>
              <w:spacing w:before="30"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59.4</w:t>
            </w:r>
          </w:p>
        </w:tc>
        <w:tc>
          <w:tcPr>
            <w:tcW w:w="699" w:type="dxa"/>
            <w:vAlign w:val="top"/>
          </w:tcPr>
          <w:p w14:paraId="52CB9B3A">
            <w:pPr>
              <w:spacing w:before="30"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66.9</w:t>
            </w:r>
          </w:p>
        </w:tc>
        <w:tc>
          <w:tcPr>
            <w:tcW w:w="699" w:type="dxa"/>
            <w:vAlign w:val="top"/>
          </w:tcPr>
          <w:p w14:paraId="3F3AC4A4">
            <w:pPr>
              <w:spacing w:before="30"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699" w:type="dxa"/>
            <w:vAlign w:val="top"/>
          </w:tcPr>
          <w:p w14:paraId="14EDAC8E">
            <w:pPr>
              <w:spacing w:before="30"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59</w:t>
            </w:r>
          </w:p>
        </w:tc>
        <w:tc>
          <w:tcPr>
            <w:tcW w:w="699" w:type="dxa"/>
            <w:vAlign w:val="top"/>
          </w:tcPr>
          <w:p w14:paraId="1C30FF6A">
            <w:pPr>
              <w:spacing w:before="99" w:line="192"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55.5</w:t>
            </w:r>
          </w:p>
        </w:tc>
        <w:tc>
          <w:tcPr>
            <w:tcW w:w="699" w:type="dxa"/>
            <w:vAlign w:val="top"/>
          </w:tcPr>
          <w:p w14:paraId="08C4E5C5">
            <w:pPr>
              <w:spacing w:before="30"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c>
          <w:tcPr>
            <w:tcW w:w="704" w:type="dxa"/>
            <w:vAlign w:val="top"/>
          </w:tcPr>
          <w:p w14:paraId="38A91C92">
            <w:pPr>
              <w:spacing w:before="30"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49.4</w:t>
            </w:r>
          </w:p>
        </w:tc>
      </w:tr>
      <w:tr w14:paraId="462BD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55" w:type="dxa"/>
            <w:vAlign w:val="top"/>
          </w:tcPr>
          <w:p w14:paraId="54850280">
            <w:pPr>
              <w:pStyle w:val="6"/>
              <w:spacing w:before="61" w:line="228" w:lineRule="auto"/>
              <w:ind w:left="352"/>
            </w:pPr>
            <w:r>
              <w:rPr>
                <w:spacing w:val="8"/>
              </w:rPr>
              <w:t>移动式发电机</w:t>
            </w:r>
          </w:p>
        </w:tc>
        <w:tc>
          <w:tcPr>
            <w:tcW w:w="699" w:type="dxa"/>
            <w:vAlign w:val="top"/>
          </w:tcPr>
          <w:p w14:paraId="77409C70">
            <w:pPr>
              <w:spacing w:before="31" w:line="274" w:lineRule="exact"/>
              <w:ind w:left="2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98</w:t>
            </w:r>
          </w:p>
        </w:tc>
        <w:tc>
          <w:tcPr>
            <w:tcW w:w="699" w:type="dxa"/>
            <w:vAlign w:val="top"/>
          </w:tcPr>
          <w:p w14:paraId="3150E9DA">
            <w:pPr>
              <w:spacing w:before="31"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92</w:t>
            </w:r>
          </w:p>
        </w:tc>
        <w:tc>
          <w:tcPr>
            <w:tcW w:w="699" w:type="dxa"/>
            <w:vAlign w:val="top"/>
          </w:tcPr>
          <w:p w14:paraId="532E23F3">
            <w:pPr>
              <w:spacing w:before="31"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86</w:t>
            </w:r>
          </w:p>
        </w:tc>
        <w:tc>
          <w:tcPr>
            <w:tcW w:w="699" w:type="dxa"/>
            <w:vAlign w:val="top"/>
          </w:tcPr>
          <w:p w14:paraId="4F31A611">
            <w:pPr>
              <w:spacing w:before="3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82.4</w:t>
            </w:r>
          </w:p>
        </w:tc>
        <w:tc>
          <w:tcPr>
            <w:tcW w:w="699" w:type="dxa"/>
            <w:vAlign w:val="top"/>
          </w:tcPr>
          <w:p w14:paraId="134D97CB">
            <w:pPr>
              <w:spacing w:before="31"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79.9</w:t>
            </w:r>
          </w:p>
        </w:tc>
        <w:tc>
          <w:tcPr>
            <w:tcW w:w="699" w:type="dxa"/>
            <w:vAlign w:val="top"/>
          </w:tcPr>
          <w:p w14:paraId="01B8DBBB">
            <w:pPr>
              <w:spacing w:before="31"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78</w:t>
            </w:r>
          </w:p>
        </w:tc>
        <w:tc>
          <w:tcPr>
            <w:tcW w:w="699" w:type="dxa"/>
            <w:vAlign w:val="top"/>
          </w:tcPr>
          <w:p w14:paraId="53B28852">
            <w:pPr>
              <w:spacing w:before="31" w:line="274" w:lineRule="exact"/>
              <w:ind w:left="25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72</w:t>
            </w:r>
          </w:p>
        </w:tc>
        <w:tc>
          <w:tcPr>
            <w:tcW w:w="699" w:type="dxa"/>
            <w:vAlign w:val="top"/>
          </w:tcPr>
          <w:p w14:paraId="34613863">
            <w:pPr>
              <w:spacing w:before="31"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68.5</w:t>
            </w:r>
          </w:p>
        </w:tc>
        <w:tc>
          <w:tcPr>
            <w:tcW w:w="699" w:type="dxa"/>
            <w:vAlign w:val="top"/>
          </w:tcPr>
          <w:p w14:paraId="76828C3F">
            <w:pPr>
              <w:spacing w:before="31"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66</w:t>
            </w:r>
          </w:p>
        </w:tc>
        <w:tc>
          <w:tcPr>
            <w:tcW w:w="704" w:type="dxa"/>
            <w:vAlign w:val="top"/>
          </w:tcPr>
          <w:p w14:paraId="5F1CF370">
            <w:pPr>
              <w:spacing w:before="31"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62.4</w:t>
            </w:r>
          </w:p>
        </w:tc>
      </w:tr>
      <w:tr w14:paraId="7EDC0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55" w:type="dxa"/>
            <w:vAlign w:val="top"/>
          </w:tcPr>
          <w:p w14:paraId="681E2B5A">
            <w:pPr>
              <w:pStyle w:val="6"/>
              <w:spacing w:before="62" w:line="229" w:lineRule="auto"/>
              <w:ind w:left="563"/>
            </w:pPr>
            <w:r>
              <w:rPr>
                <w:spacing w:val="7"/>
              </w:rPr>
              <w:t>木工电锯</w:t>
            </w:r>
          </w:p>
        </w:tc>
        <w:tc>
          <w:tcPr>
            <w:tcW w:w="699" w:type="dxa"/>
            <w:vAlign w:val="top"/>
          </w:tcPr>
          <w:p w14:paraId="7860ECB3">
            <w:pPr>
              <w:spacing w:before="32" w:line="274" w:lineRule="exact"/>
              <w:ind w:left="2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95</w:t>
            </w:r>
          </w:p>
        </w:tc>
        <w:tc>
          <w:tcPr>
            <w:tcW w:w="699" w:type="dxa"/>
            <w:vAlign w:val="top"/>
          </w:tcPr>
          <w:p w14:paraId="30DCC557">
            <w:pPr>
              <w:spacing w:before="32"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89</w:t>
            </w:r>
          </w:p>
        </w:tc>
        <w:tc>
          <w:tcPr>
            <w:tcW w:w="699" w:type="dxa"/>
            <w:vAlign w:val="top"/>
          </w:tcPr>
          <w:p w14:paraId="0DD09FE9">
            <w:pPr>
              <w:spacing w:before="32"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w:t>
            </w:r>
          </w:p>
        </w:tc>
        <w:tc>
          <w:tcPr>
            <w:tcW w:w="699" w:type="dxa"/>
            <w:vAlign w:val="top"/>
          </w:tcPr>
          <w:p w14:paraId="72E5DAA1">
            <w:pPr>
              <w:spacing w:before="32"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79.4</w:t>
            </w:r>
          </w:p>
        </w:tc>
        <w:tc>
          <w:tcPr>
            <w:tcW w:w="699" w:type="dxa"/>
            <w:vAlign w:val="top"/>
          </w:tcPr>
          <w:p w14:paraId="6C087BF0">
            <w:pPr>
              <w:spacing w:before="32"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76.9</w:t>
            </w:r>
          </w:p>
        </w:tc>
        <w:tc>
          <w:tcPr>
            <w:tcW w:w="699" w:type="dxa"/>
            <w:vAlign w:val="top"/>
          </w:tcPr>
          <w:p w14:paraId="7A3B6710">
            <w:pPr>
              <w:spacing w:before="101" w:line="192"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699" w:type="dxa"/>
            <w:vAlign w:val="top"/>
          </w:tcPr>
          <w:p w14:paraId="42AE57EE">
            <w:pPr>
              <w:spacing w:before="32"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69</w:t>
            </w:r>
          </w:p>
        </w:tc>
        <w:tc>
          <w:tcPr>
            <w:tcW w:w="699" w:type="dxa"/>
            <w:vAlign w:val="top"/>
          </w:tcPr>
          <w:p w14:paraId="120F7744">
            <w:pPr>
              <w:spacing w:before="32"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65.5</w:t>
            </w:r>
          </w:p>
        </w:tc>
        <w:tc>
          <w:tcPr>
            <w:tcW w:w="699" w:type="dxa"/>
            <w:vAlign w:val="top"/>
          </w:tcPr>
          <w:p w14:paraId="4008D75B">
            <w:pPr>
              <w:spacing w:before="32"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63</w:t>
            </w:r>
          </w:p>
        </w:tc>
        <w:tc>
          <w:tcPr>
            <w:tcW w:w="704" w:type="dxa"/>
            <w:vAlign w:val="top"/>
          </w:tcPr>
          <w:p w14:paraId="5CB4C320">
            <w:pPr>
              <w:spacing w:before="32"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59.4</w:t>
            </w:r>
          </w:p>
        </w:tc>
      </w:tr>
      <w:tr w14:paraId="5A495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5" w:type="dxa"/>
            <w:vAlign w:val="top"/>
          </w:tcPr>
          <w:p w14:paraId="134310F3">
            <w:pPr>
              <w:pStyle w:val="6"/>
              <w:spacing w:before="64" w:line="228" w:lineRule="auto"/>
              <w:ind w:left="354"/>
            </w:pPr>
            <w:r>
              <w:rPr>
                <w:spacing w:val="7"/>
              </w:rPr>
              <w:t>各类型压路车</w:t>
            </w:r>
          </w:p>
        </w:tc>
        <w:tc>
          <w:tcPr>
            <w:tcW w:w="699" w:type="dxa"/>
            <w:vAlign w:val="top"/>
          </w:tcPr>
          <w:p w14:paraId="1BAC718D">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86</w:t>
            </w:r>
          </w:p>
        </w:tc>
        <w:tc>
          <w:tcPr>
            <w:tcW w:w="699" w:type="dxa"/>
            <w:vAlign w:val="top"/>
          </w:tcPr>
          <w:p w14:paraId="4589ABFB">
            <w:pPr>
              <w:spacing w:before="33"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699" w:type="dxa"/>
            <w:vAlign w:val="top"/>
          </w:tcPr>
          <w:p w14:paraId="4F3354AF">
            <w:pPr>
              <w:spacing w:before="33"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74</w:t>
            </w:r>
          </w:p>
        </w:tc>
        <w:tc>
          <w:tcPr>
            <w:tcW w:w="699" w:type="dxa"/>
            <w:vAlign w:val="top"/>
          </w:tcPr>
          <w:p w14:paraId="2E47A836">
            <w:pPr>
              <w:spacing w:before="33"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70.4</w:t>
            </w:r>
          </w:p>
        </w:tc>
        <w:tc>
          <w:tcPr>
            <w:tcW w:w="699" w:type="dxa"/>
            <w:vAlign w:val="top"/>
          </w:tcPr>
          <w:p w14:paraId="195E1681">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67.9</w:t>
            </w:r>
          </w:p>
        </w:tc>
        <w:tc>
          <w:tcPr>
            <w:tcW w:w="699" w:type="dxa"/>
            <w:vAlign w:val="top"/>
          </w:tcPr>
          <w:p w14:paraId="012E6ADC">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66</w:t>
            </w:r>
          </w:p>
        </w:tc>
        <w:tc>
          <w:tcPr>
            <w:tcW w:w="699" w:type="dxa"/>
            <w:vAlign w:val="top"/>
          </w:tcPr>
          <w:p w14:paraId="06EF8A87">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699" w:type="dxa"/>
            <w:vAlign w:val="top"/>
          </w:tcPr>
          <w:p w14:paraId="5EF184C5">
            <w:pPr>
              <w:spacing w:before="3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56.5</w:t>
            </w:r>
          </w:p>
        </w:tc>
        <w:tc>
          <w:tcPr>
            <w:tcW w:w="699" w:type="dxa"/>
            <w:vAlign w:val="top"/>
          </w:tcPr>
          <w:p w14:paraId="27438A5F">
            <w:pPr>
              <w:spacing w:before="33"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704" w:type="dxa"/>
            <w:vAlign w:val="top"/>
          </w:tcPr>
          <w:p w14:paraId="2EC802B0">
            <w:pPr>
              <w:spacing w:before="33"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50.4</w:t>
            </w:r>
          </w:p>
        </w:tc>
      </w:tr>
      <w:tr w14:paraId="46B4D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5" w:type="dxa"/>
            <w:vAlign w:val="top"/>
          </w:tcPr>
          <w:p w14:paraId="5614FE98">
            <w:pPr>
              <w:pStyle w:val="6"/>
              <w:spacing w:before="64" w:line="234" w:lineRule="auto"/>
              <w:ind w:left="796"/>
            </w:pPr>
            <w:r>
              <w:rPr>
                <w:spacing w:val="-8"/>
              </w:rPr>
              <w:t>电锤</w:t>
            </w:r>
          </w:p>
        </w:tc>
        <w:tc>
          <w:tcPr>
            <w:tcW w:w="699" w:type="dxa"/>
            <w:vAlign w:val="top"/>
          </w:tcPr>
          <w:p w14:paraId="4EEB02F1">
            <w:pPr>
              <w:spacing w:before="33" w:line="274" w:lineRule="exact"/>
              <w:ind w:left="2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99</w:t>
            </w:r>
          </w:p>
        </w:tc>
        <w:tc>
          <w:tcPr>
            <w:tcW w:w="699" w:type="dxa"/>
            <w:vAlign w:val="top"/>
          </w:tcPr>
          <w:p w14:paraId="0ABCC43B">
            <w:pPr>
              <w:spacing w:before="33"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93</w:t>
            </w:r>
          </w:p>
        </w:tc>
        <w:tc>
          <w:tcPr>
            <w:tcW w:w="699" w:type="dxa"/>
            <w:vAlign w:val="top"/>
          </w:tcPr>
          <w:p w14:paraId="7E25B8C4">
            <w:pPr>
              <w:spacing w:before="33"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87</w:t>
            </w:r>
          </w:p>
        </w:tc>
        <w:tc>
          <w:tcPr>
            <w:tcW w:w="699" w:type="dxa"/>
            <w:vAlign w:val="top"/>
          </w:tcPr>
          <w:p w14:paraId="299C20DE">
            <w:pPr>
              <w:spacing w:before="3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83.4</w:t>
            </w:r>
          </w:p>
        </w:tc>
        <w:tc>
          <w:tcPr>
            <w:tcW w:w="699" w:type="dxa"/>
            <w:vAlign w:val="top"/>
          </w:tcPr>
          <w:p w14:paraId="09A06FE5">
            <w:pPr>
              <w:spacing w:before="33" w:line="274" w:lineRule="exact"/>
              <w:ind w:left="1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80.9</w:t>
            </w:r>
          </w:p>
        </w:tc>
        <w:tc>
          <w:tcPr>
            <w:tcW w:w="699" w:type="dxa"/>
            <w:vAlign w:val="top"/>
          </w:tcPr>
          <w:p w14:paraId="028BAB90">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79</w:t>
            </w:r>
          </w:p>
        </w:tc>
        <w:tc>
          <w:tcPr>
            <w:tcW w:w="699" w:type="dxa"/>
            <w:vAlign w:val="top"/>
          </w:tcPr>
          <w:p w14:paraId="14D6D297">
            <w:pPr>
              <w:spacing w:before="33" w:line="274" w:lineRule="exact"/>
              <w:ind w:left="25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699" w:type="dxa"/>
            <w:vAlign w:val="top"/>
          </w:tcPr>
          <w:p w14:paraId="4767E50E">
            <w:pPr>
              <w:spacing w:before="33"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69.5</w:t>
            </w:r>
          </w:p>
        </w:tc>
        <w:tc>
          <w:tcPr>
            <w:tcW w:w="699" w:type="dxa"/>
            <w:vAlign w:val="top"/>
          </w:tcPr>
          <w:p w14:paraId="62BE9AEC">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67</w:t>
            </w:r>
          </w:p>
        </w:tc>
        <w:tc>
          <w:tcPr>
            <w:tcW w:w="704" w:type="dxa"/>
            <w:vAlign w:val="top"/>
          </w:tcPr>
          <w:p w14:paraId="648CA83C">
            <w:pPr>
              <w:spacing w:before="3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60.4</w:t>
            </w:r>
          </w:p>
        </w:tc>
      </w:tr>
      <w:tr w14:paraId="090A4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5" w:type="dxa"/>
            <w:vAlign w:val="top"/>
          </w:tcPr>
          <w:p w14:paraId="06ADE7EF">
            <w:pPr>
              <w:pStyle w:val="6"/>
              <w:spacing w:before="63" w:line="229" w:lineRule="auto"/>
              <w:ind w:left="772"/>
            </w:pPr>
            <w:r>
              <w:rPr>
                <w:spacing w:val="4"/>
              </w:rPr>
              <w:t>夯锤</w:t>
            </w:r>
          </w:p>
        </w:tc>
        <w:tc>
          <w:tcPr>
            <w:tcW w:w="699" w:type="dxa"/>
            <w:vAlign w:val="top"/>
          </w:tcPr>
          <w:p w14:paraId="2A70980B">
            <w:pPr>
              <w:spacing w:before="33" w:line="274" w:lineRule="exact"/>
              <w:ind w:left="2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93</w:t>
            </w:r>
          </w:p>
        </w:tc>
        <w:tc>
          <w:tcPr>
            <w:tcW w:w="699" w:type="dxa"/>
            <w:vAlign w:val="top"/>
          </w:tcPr>
          <w:p w14:paraId="01B2BFC8">
            <w:pPr>
              <w:spacing w:before="33"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87</w:t>
            </w:r>
          </w:p>
        </w:tc>
        <w:tc>
          <w:tcPr>
            <w:tcW w:w="699" w:type="dxa"/>
            <w:vAlign w:val="top"/>
          </w:tcPr>
          <w:p w14:paraId="33EA6C82">
            <w:pPr>
              <w:spacing w:before="33"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81</w:t>
            </w:r>
          </w:p>
        </w:tc>
        <w:tc>
          <w:tcPr>
            <w:tcW w:w="699" w:type="dxa"/>
            <w:vAlign w:val="top"/>
          </w:tcPr>
          <w:p w14:paraId="26C1E67C">
            <w:pPr>
              <w:spacing w:before="33"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77.4</w:t>
            </w:r>
          </w:p>
        </w:tc>
        <w:tc>
          <w:tcPr>
            <w:tcW w:w="699" w:type="dxa"/>
            <w:vAlign w:val="top"/>
          </w:tcPr>
          <w:p w14:paraId="4F041434">
            <w:pPr>
              <w:spacing w:before="33"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74.9</w:t>
            </w:r>
          </w:p>
        </w:tc>
        <w:tc>
          <w:tcPr>
            <w:tcW w:w="699" w:type="dxa"/>
            <w:vAlign w:val="top"/>
          </w:tcPr>
          <w:p w14:paraId="5E0F25D1">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699" w:type="dxa"/>
            <w:vAlign w:val="top"/>
          </w:tcPr>
          <w:p w14:paraId="1E6FD166">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67</w:t>
            </w:r>
          </w:p>
        </w:tc>
        <w:tc>
          <w:tcPr>
            <w:tcW w:w="699" w:type="dxa"/>
            <w:vAlign w:val="top"/>
          </w:tcPr>
          <w:p w14:paraId="06EFCD06">
            <w:pPr>
              <w:spacing w:before="33"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63.5</w:t>
            </w:r>
          </w:p>
        </w:tc>
        <w:tc>
          <w:tcPr>
            <w:tcW w:w="699" w:type="dxa"/>
            <w:vAlign w:val="top"/>
          </w:tcPr>
          <w:p w14:paraId="1BF9FF2E">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61</w:t>
            </w:r>
          </w:p>
        </w:tc>
        <w:tc>
          <w:tcPr>
            <w:tcW w:w="704" w:type="dxa"/>
            <w:vAlign w:val="top"/>
          </w:tcPr>
          <w:p w14:paraId="02E2503E">
            <w:pPr>
              <w:spacing w:before="33"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57.4</w:t>
            </w:r>
          </w:p>
        </w:tc>
      </w:tr>
      <w:tr w14:paraId="6548D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5" w:type="dxa"/>
            <w:vAlign w:val="top"/>
          </w:tcPr>
          <w:p w14:paraId="436C77A0">
            <w:pPr>
              <w:pStyle w:val="6"/>
              <w:spacing w:before="63" w:line="228" w:lineRule="auto"/>
              <w:ind w:left="672"/>
            </w:pPr>
            <w:r>
              <w:rPr>
                <w:spacing w:val="5"/>
              </w:rPr>
              <w:t>打桩机</w:t>
            </w:r>
          </w:p>
        </w:tc>
        <w:tc>
          <w:tcPr>
            <w:tcW w:w="699" w:type="dxa"/>
            <w:vAlign w:val="top"/>
          </w:tcPr>
          <w:p w14:paraId="726FFF4A">
            <w:pPr>
              <w:spacing w:before="33" w:line="274" w:lineRule="exact"/>
              <w:ind w:left="2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105</w:t>
            </w:r>
          </w:p>
        </w:tc>
        <w:tc>
          <w:tcPr>
            <w:tcW w:w="699" w:type="dxa"/>
            <w:vAlign w:val="top"/>
          </w:tcPr>
          <w:p w14:paraId="5BDDF736">
            <w:pPr>
              <w:spacing w:before="33"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99</w:t>
            </w:r>
          </w:p>
        </w:tc>
        <w:tc>
          <w:tcPr>
            <w:tcW w:w="699" w:type="dxa"/>
            <w:vAlign w:val="top"/>
          </w:tcPr>
          <w:p w14:paraId="6C73CE67">
            <w:pPr>
              <w:spacing w:before="33" w:line="274" w:lineRule="exact"/>
              <w:ind w:left="24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93</w:t>
            </w:r>
          </w:p>
        </w:tc>
        <w:tc>
          <w:tcPr>
            <w:tcW w:w="699" w:type="dxa"/>
            <w:vAlign w:val="top"/>
          </w:tcPr>
          <w:p w14:paraId="046B93F2">
            <w:pPr>
              <w:spacing w:before="3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89.4</w:t>
            </w:r>
          </w:p>
        </w:tc>
        <w:tc>
          <w:tcPr>
            <w:tcW w:w="699" w:type="dxa"/>
            <w:vAlign w:val="top"/>
          </w:tcPr>
          <w:p w14:paraId="4E2658A4">
            <w:pPr>
              <w:spacing w:before="33" w:line="274" w:lineRule="exact"/>
              <w:ind w:left="1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86.9</w:t>
            </w:r>
          </w:p>
        </w:tc>
        <w:tc>
          <w:tcPr>
            <w:tcW w:w="699" w:type="dxa"/>
            <w:vAlign w:val="top"/>
          </w:tcPr>
          <w:p w14:paraId="60789EC0">
            <w:pPr>
              <w:spacing w:before="33" w:line="274"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699" w:type="dxa"/>
            <w:vAlign w:val="top"/>
          </w:tcPr>
          <w:p w14:paraId="13CFCCD2">
            <w:pPr>
              <w:spacing w:before="33" w:line="274" w:lineRule="exact"/>
              <w:ind w:left="25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79</w:t>
            </w:r>
          </w:p>
        </w:tc>
        <w:tc>
          <w:tcPr>
            <w:tcW w:w="699" w:type="dxa"/>
            <w:vAlign w:val="top"/>
          </w:tcPr>
          <w:p w14:paraId="5C2F8786">
            <w:pPr>
              <w:spacing w:before="102" w:line="192"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75.5</w:t>
            </w:r>
          </w:p>
        </w:tc>
        <w:tc>
          <w:tcPr>
            <w:tcW w:w="699" w:type="dxa"/>
            <w:vAlign w:val="top"/>
          </w:tcPr>
          <w:p w14:paraId="17ABC424">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704" w:type="dxa"/>
            <w:vAlign w:val="top"/>
          </w:tcPr>
          <w:p w14:paraId="0B282DCB">
            <w:pPr>
              <w:spacing w:before="3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69.4</w:t>
            </w:r>
          </w:p>
        </w:tc>
      </w:tr>
      <w:tr w14:paraId="52C11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5" w:type="dxa"/>
            <w:vAlign w:val="top"/>
          </w:tcPr>
          <w:p w14:paraId="590FCF5B">
            <w:pPr>
              <w:pStyle w:val="6"/>
              <w:spacing w:before="63" w:line="228" w:lineRule="auto"/>
              <w:ind w:left="669"/>
            </w:pPr>
            <w:r>
              <w:rPr>
                <w:spacing w:val="6"/>
              </w:rPr>
              <w:t>压桩机</w:t>
            </w:r>
          </w:p>
        </w:tc>
        <w:tc>
          <w:tcPr>
            <w:tcW w:w="699" w:type="dxa"/>
            <w:vAlign w:val="top"/>
          </w:tcPr>
          <w:p w14:paraId="7A859C01">
            <w:pPr>
              <w:spacing w:before="33"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699" w:type="dxa"/>
            <w:vAlign w:val="top"/>
          </w:tcPr>
          <w:p w14:paraId="198ED1DB">
            <w:pPr>
              <w:spacing w:before="33"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67</w:t>
            </w:r>
          </w:p>
        </w:tc>
        <w:tc>
          <w:tcPr>
            <w:tcW w:w="699" w:type="dxa"/>
            <w:vAlign w:val="top"/>
          </w:tcPr>
          <w:p w14:paraId="3BB2779D">
            <w:pPr>
              <w:spacing w:before="33"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61</w:t>
            </w:r>
          </w:p>
        </w:tc>
        <w:tc>
          <w:tcPr>
            <w:tcW w:w="699" w:type="dxa"/>
            <w:vAlign w:val="top"/>
          </w:tcPr>
          <w:p w14:paraId="7F1C7323">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57.4</w:t>
            </w:r>
          </w:p>
        </w:tc>
        <w:tc>
          <w:tcPr>
            <w:tcW w:w="699" w:type="dxa"/>
            <w:vAlign w:val="top"/>
          </w:tcPr>
          <w:p w14:paraId="3E17163E">
            <w:pPr>
              <w:spacing w:before="33"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54.9</w:t>
            </w:r>
          </w:p>
        </w:tc>
        <w:tc>
          <w:tcPr>
            <w:tcW w:w="699" w:type="dxa"/>
            <w:vAlign w:val="top"/>
          </w:tcPr>
          <w:p w14:paraId="7CD7BDCD">
            <w:pPr>
              <w:spacing w:before="33" w:line="274" w:lineRule="exact"/>
              <w:ind w:left="2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c>
          <w:tcPr>
            <w:tcW w:w="699" w:type="dxa"/>
            <w:vAlign w:val="top"/>
          </w:tcPr>
          <w:p w14:paraId="792572DB">
            <w:pPr>
              <w:spacing w:before="33"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699" w:type="dxa"/>
            <w:vAlign w:val="top"/>
          </w:tcPr>
          <w:p w14:paraId="1568D604">
            <w:pPr>
              <w:spacing w:before="33" w:line="274"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43.5</w:t>
            </w:r>
          </w:p>
        </w:tc>
        <w:tc>
          <w:tcPr>
            <w:tcW w:w="699" w:type="dxa"/>
            <w:vAlign w:val="top"/>
          </w:tcPr>
          <w:p w14:paraId="75D9EF21">
            <w:pPr>
              <w:spacing w:before="33"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41</w:t>
            </w:r>
          </w:p>
        </w:tc>
        <w:tc>
          <w:tcPr>
            <w:tcW w:w="704" w:type="dxa"/>
            <w:vAlign w:val="top"/>
          </w:tcPr>
          <w:p w14:paraId="0636E5DB">
            <w:pPr>
              <w:spacing w:before="3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37.4</w:t>
            </w:r>
          </w:p>
        </w:tc>
      </w:tr>
      <w:tr w14:paraId="7E990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5" w:type="dxa"/>
            <w:vAlign w:val="top"/>
          </w:tcPr>
          <w:p w14:paraId="03958DF8">
            <w:pPr>
              <w:pStyle w:val="6"/>
              <w:spacing w:before="63" w:line="229" w:lineRule="auto"/>
              <w:ind w:left="772"/>
            </w:pPr>
            <w:r>
              <w:rPr>
                <w:spacing w:val="4"/>
              </w:rPr>
              <w:t>风镐</w:t>
            </w:r>
          </w:p>
        </w:tc>
        <w:tc>
          <w:tcPr>
            <w:tcW w:w="699" w:type="dxa"/>
            <w:vAlign w:val="top"/>
          </w:tcPr>
          <w:p w14:paraId="0651DE01">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699" w:type="dxa"/>
            <w:vAlign w:val="top"/>
          </w:tcPr>
          <w:p w14:paraId="55F3E4F0">
            <w:pPr>
              <w:spacing w:before="33"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79</w:t>
            </w:r>
          </w:p>
        </w:tc>
        <w:tc>
          <w:tcPr>
            <w:tcW w:w="699" w:type="dxa"/>
            <w:vAlign w:val="top"/>
          </w:tcPr>
          <w:p w14:paraId="29A6640F">
            <w:pPr>
              <w:spacing w:before="33"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699" w:type="dxa"/>
            <w:vAlign w:val="top"/>
          </w:tcPr>
          <w:p w14:paraId="6A96B40D">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59.4</w:t>
            </w:r>
          </w:p>
        </w:tc>
        <w:tc>
          <w:tcPr>
            <w:tcW w:w="699" w:type="dxa"/>
            <w:vAlign w:val="top"/>
          </w:tcPr>
          <w:p w14:paraId="47BFCB41">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66.9</w:t>
            </w:r>
          </w:p>
        </w:tc>
        <w:tc>
          <w:tcPr>
            <w:tcW w:w="699" w:type="dxa"/>
            <w:vAlign w:val="top"/>
          </w:tcPr>
          <w:p w14:paraId="1BC424B0">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699" w:type="dxa"/>
            <w:vAlign w:val="top"/>
          </w:tcPr>
          <w:p w14:paraId="279B6EE9">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59</w:t>
            </w:r>
          </w:p>
        </w:tc>
        <w:tc>
          <w:tcPr>
            <w:tcW w:w="699" w:type="dxa"/>
            <w:vAlign w:val="top"/>
          </w:tcPr>
          <w:p w14:paraId="06685BAD">
            <w:pPr>
              <w:spacing w:before="102" w:line="192"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55.5</w:t>
            </w:r>
          </w:p>
        </w:tc>
        <w:tc>
          <w:tcPr>
            <w:tcW w:w="699" w:type="dxa"/>
            <w:vAlign w:val="top"/>
          </w:tcPr>
          <w:p w14:paraId="160F7266">
            <w:pPr>
              <w:spacing w:before="33"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c>
          <w:tcPr>
            <w:tcW w:w="704" w:type="dxa"/>
            <w:vAlign w:val="top"/>
          </w:tcPr>
          <w:p w14:paraId="27F5FC7E">
            <w:pPr>
              <w:spacing w:before="33"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49.4</w:t>
            </w:r>
          </w:p>
        </w:tc>
      </w:tr>
      <w:tr w14:paraId="58430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55" w:type="dxa"/>
            <w:vAlign w:val="top"/>
          </w:tcPr>
          <w:p w14:paraId="3B420DF7">
            <w:pPr>
              <w:pStyle w:val="6"/>
              <w:spacing w:before="64" w:line="228" w:lineRule="auto"/>
              <w:ind w:left="354"/>
            </w:pPr>
            <w:r>
              <w:rPr>
                <w:spacing w:val="7"/>
              </w:rPr>
              <w:t>混凝土运输泵</w:t>
            </w:r>
          </w:p>
        </w:tc>
        <w:tc>
          <w:tcPr>
            <w:tcW w:w="699" w:type="dxa"/>
            <w:vAlign w:val="top"/>
          </w:tcPr>
          <w:p w14:paraId="0A63A594">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w:t>
            </w:r>
          </w:p>
        </w:tc>
        <w:tc>
          <w:tcPr>
            <w:tcW w:w="699" w:type="dxa"/>
            <w:vAlign w:val="top"/>
          </w:tcPr>
          <w:p w14:paraId="4B0193C9">
            <w:pPr>
              <w:spacing w:before="33"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w:t>
            </w:r>
          </w:p>
        </w:tc>
        <w:tc>
          <w:tcPr>
            <w:tcW w:w="699" w:type="dxa"/>
            <w:vAlign w:val="top"/>
          </w:tcPr>
          <w:p w14:paraId="01C14BE6">
            <w:pPr>
              <w:spacing w:before="33"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76</w:t>
            </w:r>
          </w:p>
        </w:tc>
        <w:tc>
          <w:tcPr>
            <w:tcW w:w="699" w:type="dxa"/>
            <w:vAlign w:val="top"/>
          </w:tcPr>
          <w:p w14:paraId="40A1E580">
            <w:pPr>
              <w:spacing w:before="33"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72.4</w:t>
            </w:r>
          </w:p>
        </w:tc>
        <w:tc>
          <w:tcPr>
            <w:tcW w:w="699" w:type="dxa"/>
            <w:vAlign w:val="top"/>
          </w:tcPr>
          <w:p w14:paraId="3EF3C9F6">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69.9</w:t>
            </w:r>
          </w:p>
        </w:tc>
        <w:tc>
          <w:tcPr>
            <w:tcW w:w="699" w:type="dxa"/>
            <w:vAlign w:val="top"/>
          </w:tcPr>
          <w:p w14:paraId="3D26E0B5">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68</w:t>
            </w:r>
          </w:p>
        </w:tc>
        <w:tc>
          <w:tcPr>
            <w:tcW w:w="699" w:type="dxa"/>
            <w:vAlign w:val="top"/>
          </w:tcPr>
          <w:p w14:paraId="1E1ABCAB">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62</w:t>
            </w:r>
          </w:p>
        </w:tc>
        <w:tc>
          <w:tcPr>
            <w:tcW w:w="699" w:type="dxa"/>
            <w:vAlign w:val="top"/>
          </w:tcPr>
          <w:p w14:paraId="7D7D74E4">
            <w:pPr>
              <w:spacing w:before="3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58.5</w:t>
            </w:r>
          </w:p>
        </w:tc>
        <w:tc>
          <w:tcPr>
            <w:tcW w:w="699" w:type="dxa"/>
            <w:vAlign w:val="top"/>
          </w:tcPr>
          <w:p w14:paraId="75C76209">
            <w:pPr>
              <w:spacing w:before="33"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704" w:type="dxa"/>
            <w:vAlign w:val="top"/>
          </w:tcPr>
          <w:p w14:paraId="3DDDB85B">
            <w:pPr>
              <w:spacing w:before="33"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52.4</w:t>
            </w:r>
          </w:p>
        </w:tc>
      </w:tr>
      <w:tr w14:paraId="29CCF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955" w:type="dxa"/>
            <w:vAlign w:val="top"/>
          </w:tcPr>
          <w:p w14:paraId="2EC0EC4F">
            <w:pPr>
              <w:pStyle w:val="6"/>
              <w:spacing w:before="63" w:line="228" w:lineRule="auto"/>
              <w:ind w:left="667"/>
            </w:pPr>
            <w:r>
              <w:rPr>
                <w:spacing w:val="7"/>
              </w:rPr>
              <w:t>搅拌机</w:t>
            </w:r>
          </w:p>
        </w:tc>
        <w:tc>
          <w:tcPr>
            <w:tcW w:w="699" w:type="dxa"/>
            <w:vAlign w:val="top"/>
          </w:tcPr>
          <w:p w14:paraId="3CAC7364">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699" w:type="dxa"/>
            <w:vAlign w:val="top"/>
          </w:tcPr>
          <w:p w14:paraId="2288C261">
            <w:pPr>
              <w:spacing w:before="33"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79</w:t>
            </w:r>
          </w:p>
        </w:tc>
        <w:tc>
          <w:tcPr>
            <w:tcW w:w="699" w:type="dxa"/>
            <w:vAlign w:val="top"/>
          </w:tcPr>
          <w:p w14:paraId="41E445A4">
            <w:pPr>
              <w:spacing w:before="33"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699" w:type="dxa"/>
            <w:vAlign w:val="top"/>
          </w:tcPr>
          <w:p w14:paraId="04E53063">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59.4</w:t>
            </w:r>
          </w:p>
        </w:tc>
        <w:tc>
          <w:tcPr>
            <w:tcW w:w="699" w:type="dxa"/>
            <w:vAlign w:val="top"/>
          </w:tcPr>
          <w:p w14:paraId="50EB36FC">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66.9</w:t>
            </w:r>
          </w:p>
        </w:tc>
        <w:tc>
          <w:tcPr>
            <w:tcW w:w="699" w:type="dxa"/>
            <w:vAlign w:val="top"/>
          </w:tcPr>
          <w:p w14:paraId="076DF64A">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699" w:type="dxa"/>
            <w:vAlign w:val="top"/>
          </w:tcPr>
          <w:p w14:paraId="525D7D5D">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59</w:t>
            </w:r>
          </w:p>
        </w:tc>
        <w:tc>
          <w:tcPr>
            <w:tcW w:w="699" w:type="dxa"/>
            <w:vAlign w:val="top"/>
          </w:tcPr>
          <w:p w14:paraId="0E8095EE">
            <w:pPr>
              <w:spacing w:before="102" w:line="192"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55.5</w:t>
            </w:r>
          </w:p>
        </w:tc>
        <w:tc>
          <w:tcPr>
            <w:tcW w:w="699" w:type="dxa"/>
            <w:vAlign w:val="top"/>
          </w:tcPr>
          <w:p w14:paraId="4AE7B220">
            <w:pPr>
              <w:spacing w:before="33"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c>
          <w:tcPr>
            <w:tcW w:w="704" w:type="dxa"/>
            <w:vAlign w:val="top"/>
          </w:tcPr>
          <w:p w14:paraId="5E84AAB7">
            <w:pPr>
              <w:spacing w:before="33"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49.4</w:t>
            </w:r>
          </w:p>
        </w:tc>
      </w:tr>
    </w:tbl>
    <w:p w14:paraId="497EDF19">
      <w:pPr>
        <w:pStyle w:val="2"/>
        <w:spacing w:line="148" w:lineRule="exact"/>
        <w:rPr>
          <w:sz w:val="12"/>
        </w:rPr>
      </w:pPr>
    </w:p>
    <w:p w14:paraId="4007A597">
      <w:pPr>
        <w:spacing w:line="148" w:lineRule="exact"/>
        <w:rPr>
          <w:sz w:val="12"/>
          <w:szCs w:val="12"/>
        </w:rPr>
        <w:sectPr>
          <w:footerReference r:id="rId124" w:type="default"/>
          <w:pgSz w:w="11906" w:h="16839"/>
          <w:pgMar w:top="400" w:right="1475" w:bottom="1485" w:left="1475" w:header="0" w:footer="1249" w:gutter="0"/>
          <w:cols w:space="720" w:num="1"/>
        </w:sectPr>
      </w:pPr>
    </w:p>
    <w:p w14:paraId="20D19912">
      <w:pPr>
        <w:spacing w:before="13"/>
      </w:pPr>
    </w:p>
    <w:p w14:paraId="12FE70CF">
      <w:pPr>
        <w:spacing w:before="13"/>
      </w:pPr>
    </w:p>
    <w:p w14:paraId="39A88B32">
      <w:pPr>
        <w:spacing w:before="13"/>
      </w:pPr>
    </w:p>
    <w:p w14:paraId="3AEC0146">
      <w:pPr>
        <w:spacing w:before="13"/>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5"/>
        <w:gridCol w:w="699"/>
        <w:gridCol w:w="699"/>
        <w:gridCol w:w="699"/>
        <w:gridCol w:w="699"/>
        <w:gridCol w:w="699"/>
        <w:gridCol w:w="699"/>
        <w:gridCol w:w="699"/>
        <w:gridCol w:w="699"/>
        <w:gridCol w:w="699"/>
        <w:gridCol w:w="704"/>
      </w:tblGrid>
      <w:tr w14:paraId="10366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955" w:type="dxa"/>
            <w:vAlign w:val="top"/>
          </w:tcPr>
          <w:p w14:paraId="6BED2902">
            <w:pPr>
              <w:pStyle w:val="6"/>
              <w:spacing w:before="64" w:line="228" w:lineRule="auto"/>
              <w:ind w:left="354"/>
            </w:pPr>
            <w:r>
              <w:rPr>
                <w:spacing w:val="7"/>
              </w:rPr>
              <w:t>混凝土振捣器</w:t>
            </w:r>
          </w:p>
        </w:tc>
        <w:tc>
          <w:tcPr>
            <w:tcW w:w="699" w:type="dxa"/>
            <w:vAlign w:val="top"/>
          </w:tcPr>
          <w:p w14:paraId="2C42CCB9">
            <w:pPr>
              <w:spacing w:before="33"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699" w:type="dxa"/>
            <w:vAlign w:val="top"/>
          </w:tcPr>
          <w:p w14:paraId="7AC6470B">
            <w:pPr>
              <w:spacing w:before="33"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74</w:t>
            </w:r>
          </w:p>
        </w:tc>
        <w:tc>
          <w:tcPr>
            <w:tcW w:w="699" w:type="dxa"/>
            <w:vAlign w:val="top"/>
          </w:tcPr>
          <w:p w14:paraId="52287A33">
            <w:pPr>
              <w:spacing w:before="33" w:line="274" w:lineRule="exact"/>
              <w:ind w:left="2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68</w:t>
            </w:r>
          </w:p>
        </w:tc>
        <w:tc>
          <w:tcPr>
            <w:tcW w:w="699" w:type="dxa"/>
            <w:vAlign w:val="top"/>
          </w:tcPr>
          <w:p w14:paraId="16F82B99">
            <w:pPr>
              <w:spacing w:before="33"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64.4</w:t>
            </w:r>
          </w:p>
        </w:tc>
        <w:tc>
          <w:tcPr>
            <w:tcW w:w="699" w:type="dxa"/>
            <w:vAlign w:val="top"/>
          </w:tcPr>
          <w:p w14:paraId="62F60198">
            <w:pPr>
              <w:spacing w:before="33"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61.9</w:t>
            </w:r>
          </w:p>
        </w:tc>
        <w:tc>
          <w:tcPr>
            <w:tcW w:w="699" w:type="dxa"/>
            <w:vAlign w:val="top"/>
          </w:tcPr>
          <w:p w14:paraId="7C95F9CF">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699" w:type="dxa"/>
            <w:vAlign w:val="top"/>
          </w:tcPr>
          <w:p w14:paraId="69601256">
            <w:pPr>
              <w:spacing w:before="3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699" w:type="dxa"/>
            <w:vAlign w:val="top"/>
          </w:tcPr>
          <w:p w14:paraId="1304BBA3">
            <w:pPr>
              <w:spacing w:before="33"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50.5</w:t>
            </w:r>
          </w:p>
        </w:tc>
        <w:tc>
          <w:tcPr>
            <w:tcW w:w="699" w:type="dxa"/>
            <w:vAlign w:val="top"/>
          </w:tcPr>
          <w:p w14:paraId="40EC16CA">
            <w:pPr>
              <w:spacing w:before="33"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w:t>
            </w:r>
          </w:p>
        </w:tc>
        <w:tc>
          <w:tcPr>
            <w:tcW w:w="704" w:type="dxa"/>
            <w:vAlign w:val="top"/>
          </w:tcPr>
          <w:p w14:paraId="012C7B35">
            <w:pPr>
              <w:spacing w:before="33"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44.4</w:t>
            </w:r>
          </w:p>
        </w:tc>
      </w:tr>
      <w:tr w14:paraId="2DAC1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955" w:type="dxa"/>
            <w:vAlign w:val="top"/>
          </w:tcPr>
          <w:p w14:paraId="30583C95">
            <w:pPr>
              <w:pStyle w:val="6"/>
              <w:spacing w:before="60" w:line="228" w:lineRule="auto"/>
              <w:ind w:left="254"/>
            </w:pPr>
            <w:r>
              <w:rPr>
                <w:spacing w:val="7"/>
              </w:rPr>
              <w:t>云石机、角磨机</w:t>
            </w:r>
          </w:p>
        </w:tc>
        <w:tc>
          <w:tcPr>
            <w:tcW w:w="699" w:type="dxa"/>
            <w:vAlign w:val="top"/>
          </w:tcPr>
          <w:p w14:paraId="5CB464DF">
            <w:pPr>
              <w:spacing w:before="30" w:line="274" w:lineRule="exact"/>
              <w:ind w:left="2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c>
          <w:tcPr>
            <w:tcW w:w="699" w:type="dxa"/>
            <w:vAlign w:val="top"/>
          </w:tcPr>
          <w:p w14:paraId="07FC2F59">
            <w:pPr>
              <w:spacing w:before="30"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84</w:t>
            </w:r>
          </w:p>
        </w:tc>
        <w:tc>
          <w:tcPr>
            <w:tcW w:w="699" w:type="dxa"/>
            <w:vAlign w:val="top"/>
          </w:tcPr>
          <w:p w14:paraId="725F54FA">
            <w:pPr>
              <w:spacing w:before="30"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78</w:t>
            </w:r>
          </w:p>
        </w:tc>
        <w:tc>
          <w:tcPr>
            <w:tcW w:w="699" w:type="dxa"/>
            <w:vAlign w:val="top"/>
          </w:tcPr>
          <w:p w14:paraId="64FA8D93">
            <w:pPr>
              <w:spacing w:before="30"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74.4</w:t>
            </w:r>
          </w:p>
        </w:tc>
        <w:tc>
          <w:tcPr>
            <w:tcW w:w="699" w:type="dxa"/>
            <w:vAlign w:val="top"/>
          </w:tcPr>
          <w:p w14:paraId="58FDDC3D">
            <w:pPr>
              <w:spacing w:before="30"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71.9</w:t>
            </w:r>
          </w:p>
        </w:tc>
        <w:tc>
          <w:tcPr>
            <w:tcW w:w="699" w:type="dxa"/>
            <w:vAlign w:val="top"/>
          </w:tcPr>
          <w:p w14:paraId="36F567CC">
            <w:pPr>
              <w:spacing w:before="30"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699" w:type="dxa"/>
            <w:vAlign w:val="top"/>
          </w:tcPr>
          <w:p w14:paraId="37EABC92">
            <w:pPr>
              <w:spacing w:before="30"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64</w:t>
            </w:r>
          </w:p>
        </w:tc>
        <w:tc>
          <w:tcPr>
            <w:tcW w:w="699" w:type="dxa"/>
            <w:vAlign w:val="top"/>
          </w:tcPr>
          <w:p w14:paraId="489CC228">
            <w:pPr>
              <w:spacing w:before="30"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60.5</w:t>
            </w:r>
          </w:p>
        </w:tc>
        <w:tc>
          <w:tcPr>
            <w:tcW w:w="699" w:type="dxa"/>
            <w:vAlign w:val="top"/>
          </w:tcPr>
          <w:p w14:paraId="294825C6">
            <w:pPr>
              <w:spacing w:before="30"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58</w:t>
            </w:r>
          </w:p>
        </w:tc>
        <w:tc>
          <w:tcPr>
            <w:tcW w:w="704" w:type="dxa"/>
            <w:vAlign w:val="top"/>
          </w:tcPr>
          <w:p w14:paraId="42CE5A53">
            <w:pPr>
              <w:spacing w:before="30"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54.4</w:t>
            </w:r>
          </w:p>
        </w:tc>
      </w:tr>
      <w:tr w14:paraId="5E780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955" w:type="dxa"/>
            <w:vAlign w:val="top"/>
          </w:tcPr>
          <w:p w14:paraId="7561F0CC">
            <w:pPr>
              <w:pStyle w:val="6"/>
              <w:spacing w:before="62" w:line="228" w:lineRule="auto"/>
              <w:ind w:left="675"/>
            </w:pPr>
            <w:r>
              <w:rPr>
                <w:spacing w:val="4"/>
              </w:rPr>
              <w:t>空压机</w:t>
            </w:r>
          </w:p>
        </w:tc>
        <w:tc>
          <w:tcPr>
            <w:tcW w:w="699" w:type="dxa"/>
            <w:vAlign w:val="top"/>
          </w:tcPr>
          <w:p w14:paraId="4EE70994">
            <w:pPr>
              <w:spacing w:before="32"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w:t>
            </w:r>
          </w:p>
        </w:tc>
        <w:tc>
          <w:tcPr>
            <w:tcW w:w="699" w:type="dxa"/>
            <w:vAlign w:val="top"/>
          </w:tcPr>
          <w:p w14:paraId="088D6AEE">
            <w:pPr>
              <w:spacing w:before="32"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w:t>
            </w:r>
          </w:p>
        </w:tc>
        <w:tc>
          <w:tcPr>
            <w:tcW w:w="699" w:type="dxa"/>
            <w:vAlign w:val="top"/>
          </w:tcPr>
          <w:p w14:paraId="64634095">
            <w:pPr>
              <w:spacing w:before="32" w:line="274" w:lineRule="exact"/>
              <w:ind w:left="24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76</w:t>
            </w:r>
          </w:p>
        </w:tc>
        <w:tc>
          <w:tcPr>
            <w:tcW w:w="699" w:type="dxa"/>
            <w:vAlign w:val="top"/>
          </w:tcPr>
          <w:p w14:paraId="78F74340">
            <w:pPr>
              <w:spacing w:before="32"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72.4</w:t>
            </w:r>
          </w:p>
        </w:tc>
        <w:tc>
          <w:tcPr>
            <w:tcW w:w="699" w:type="dxa"/>
            <w:vAlign w:val="top"/>
          </w:tcPr>
          <w:p w14:paraId="42EECE59">
            <w:pPr>
              <w:spacing w:before="32"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69.9</w:t>
            </w:r>
          </w:p>
        </w:tc>
        <w:tc>
          <w:tcPr>
            <w:tcW w:w="699" w:type="dxa"/>
            <w:vAlign w:val="top"/>
          </w:tcPr>
          <w:p w14:paraId="4B6D00AF">
            <w:pPr>
              <w:spacing w:before="32"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68</w:t>
            </w:r>
          </w:p>
        </w:tc>
        <w:tc>
          <w:tcPr>
            <w:tcW w:w="699" w:type="dxa"/>
            <w:vAlign w:val="top"/>
          </w:tcPr>
          <w:p w14:paraId="1AFB79B2">
            <w:pPr>
              <w:spacing w:before="32" w:line="274" w:lineRule="exact"/>
              <w:ind w:left="2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62</w:t>
            </w:r>
          </w:p>
        </w:tc>
        <w:tc>
          <w:tcPr>
            <w:tcW w:w="699" w:type="dxa"/>
            <w:vAlign w:val="top"/>
          </w:tcPr>
          <w:p w14:paraId="24555B39">
            <w:pPr>
              <w:spacing w:before="32"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58.5</w:t>
            </w:r>
          </w:p>
        </w:tc>
        <w:tc>
          <w:tcPr>
            <w:tcW w:w="699" w:type="dxa"/>
            <w:vAlign w:val="top"/>
          </w:tcPr>
          <w:p w14:paraId="2F2E85F9">
            <w:pPr>
              <w:spacing w:before="32" w:line="274" w:lineRule="exact"/>
              <w:ind w:left="2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704" w:type="dxa"/>
            <w:vAlign w:val="top"/>
          </w:tcPr>
          <w:p w14:paraId="6917D834">
            <w:pPr>
              <w:spacing w:before="32"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52.4</w:t>
            </w:r>
          </w:p>
        </w:tc>
      </w:tr>
    </w:tbl>
    <w:p w14:paraId="016C386F">
      <w:pPr>
        <w:pStyle w:val="2"/>
        <w:spacing w:line="266" w:lineRule="auto"/>
      </w:pPr>
    </w:p>
    <w:p w14:paraId="3F1DBBCB">
      <w:pPr>
        <w:pStyle w:val="2"/>
        <w:spacing w:line="266" w:lineRule="auto"/>
      </w:pPr>
    </w:p>
    <w:p w14:paraId="070FFB61">
      <w:pPr>
        <w:spacing w:before="78" w:line="376" w:lineRule="auto"/>
        <w:ind w:left="123" w:right="113" w:firstLine="481"/>
        <w:jc w:val="both"/>
        <w:rPr>
          <w:rFonts w:ascii="宋体" w:hAnsi="宋体" w:eastAsia="宋体" w:cs="宋体"/>
          <w:sz w:val="24"/>
          <w:szCs w:val="24"/>
        </w:rPr>
      </w:pPr>
      <w:r>
        <w:rPr>
          <w:rFonts w:ascii="宋体" w:hAnsi="宋体" w:eastAsia="宋体" w:cs="宋体"/>
          <w:spacing w:val="2"/>
          <w:sz w:val="24"/>
          <w:szCs w:val="24"/>
        </w:rPr>
        <w:t>从上表可以看出，对于噪声级较高的施工设备，其噪声对周围的环境会产生一</w:t>
      </w:r>
      <w:r>
        <w:rPr>
          <w:rFonts w:ascii="宋体" w:hAnsi="宋体" w:eastAsia="宋体" w:cs="宋体"/>
          <w:spacing w:val="7"/>
          <w:sz w:val="24"/>
          <w:szCs w:val="24"/>
        </w:rPr>
        <w:t xml:space="preserve"> </w:t>
      </w:r>
      <w:r>
        <w:rPr>
          <w:rFonts w:ascii="宋体" w:hAnsi="宋体" w:eastAsia="宋体" w:cs="宋体"/>
          <w:spacing w:val="2"/>
          <w:sz w:val="24"/>
          <w:szCs w:val="24"/>
        </w:rPr>
        <w:t>定影响；另一方面，一般施工机械是在露天的环境中进行，通常的情况下无法进行</w:t>
      </w:r>
      <w:r>
        <w:rPr>
          <w:rFonts w:ascii="宋体" w:hAnsi="宋体" w:eastAsia="宋体" w:cs="宋体"/>
          <w:spacing w:val="5"/>
          <w:sz w:val="24"/>
          <w:szCs w:val="24"/>
        </w:rPr>
        <w:t xml:space="preserve"> </w:t>
      </w:r>
      <w:r>
        <w:rPr>
          <w:rFonts w:ascii="宋体" w:hAnsi="宋体" w:eastAsia="宋体" w:cs="宋体"/>
          <w:spacing w:val="-1"/>
          <w:sz w:val="24"/>
          <w:szCs w:val="24"/>
        </w:rPr>
        <w:t>密闭隔声处理，在施工期对周围的影响不可能完全避免。</w:t>
      </w:r>
    </w:p>
    <w:p w14:paraId="212CAA34">
      <w:pPr>
        <w:spacing w:before="6" w:line="371" w:lineRule="auto"/>
        <w:ind w:left="123" w:right="113" w:firstLine="478"/>
        <w:jc w:val="both"/>
        <w:rPr>
          <w:rFonts w:ascii="宋体" w:hAnsi="宋体" w:eastAsia="宋体" w:cs="宋体"/>
          <w:sz w:val="24"/>
          <w:szCs w:val="24"/>
        </w:rPr>
      </w:pPr>
      <w:r>
        <w:rPr>
          <w:rFonts w:ascii="宋体" w:hAnsi="宋体" w:eastAsia="宋体" w:cs="宋体"/>
          <w:spacing w:val="2"/>
          <w:sz w:val="24"/>
          <w:szCs w:val="24"/>
        </w:rPr>
        <w:t>施工噪声对环境的影响很大程度取决于施工点与敏感点的距离和施工时间，距</w:t>
      </w:r>
      <w:r>
        <w:rPr>
          <w:rFonts w:ascii="宋体" w:hAnsi="宋体" w:eastAsia="宋体" w:cs="宋体"/>
          <w:spacing w:val="11"/>
          <w:sz w:val="24"/>
          <w:szCs w:val="24"/>
        </w:rPr>
        <w:t xml:space="preserve"> </w:t>
      </w:r>
      <w:r>
        <w:rPr>
          <w:rFonts w:ascii="宋体" w:hAnsi="宋体" w:eastAsia="宋体" w:cs="宋体"/>
          <w:spacing w:val="2"/>
          <w:sz w:val="24"/>
          <w:szCs w:val="24"/>
        </w:rPr>
        <w:t>离越近，或在夜间施工时间越长，产生影响越大、越明显。施工机械噪声尽管只在</w:t>
      </w:r>
      <w:r>
        <w:rPr>
          <w:rFonts w:ascii="宋体" w:hAnsi="宋体" w:eastAsia="宋体" w:cs="宋体"/>
          <w:spacing w:val="5"/>
          <w:sz w:val="24"/>
          <w:szCs w:val="24"/>
        </w:rPr>
        <w:t xml:space="preserve"> </w:t>
      </w:r>
      <w:r>
        <w:rPr>
          <w:rFonts w:ascii="宋体" w:hAnsi="宋体" w:eastAsia="宋体" w:cs="宋体"/>
          <w:spacing w:val="2"/>
          <w:sz w:val="24"/>
          <w:szCs w:val="24"/>
        </w:rPr>
        <w:t>建设期间产生，而且随施工结束而消失，但是由于其具有冲击性、持续时间长并伴</w:t>
      </w:r>
      <w:r>
        <w:rPr>
          <w:rFonts w:ascii="宋体" w:hAnsi="宋体" w:eastAsia="宋体" w:cs="宋体"/>
          <w:spacing w:val="5"/>
          <w:sz w:val="24"/>
          <w:szCs w:val="24"/>
        </w:rPr>
        <w:t xml:space="preserve"> </w:t>
      </w:r>
      <w:r>
        <w:rPr>
          <w:rFonts w:ascii="宋体" w:hAnsi="宋体" w:eastAsia="宋体" w:cs="宋体"/>
          <w:spacing w:val="2"/>
          <w:sz w:val="24"/>
          <w:szCs w:val="24"/>
        </w:rPr>
        <w:t>有强烈震动，对环境的影响是不可忽略的。根据上表可见，白天施工时，若不进行</w:t>
      </w:r>
      <w:r>
        <w:rPr>
          <w:rFonts w:ascii="宋体" w:hAnsi="宋体" w:eastAsia="宋体" w:cs="宋体"/>
          <w:spacing w:val="5"/>
          <w:sz w:val="24"/>
          <w:szCs w:val="24"/>
        </w:rPr>
        <w:t xml:space="preserve"> </w:t>
      </w:r>
      <w:r>
        <w:rPr>
          <w:rFonts w:ascii="宋体" w:hAnsi="宋体" w:eastAsia="宋体" w:cs="宋体"/>
          <w:spacing w:val="1"/>
          <w:sz w:val="24"/>
          <w:szCs w:val="24"/>
        </w:rPr>
        <w:t>打桩作业，作业噪声超标范围在</w:t>
      </w:r>
      <w:r>
        <w:rPr>
          <w:rFonts w:ascii="宋体" w:hAnsi="宋体" w:eastAsia="宋体" w:cs="宋体"/>
          <w:spacing w:val="-21"/>
          <w:sz w:val="24"/>
          <w:szCs w:val="24"/>
        </w:rPr>
        <w:t xml:space="preserve"> </w:t>
      </w:r>
      <w:r>
        <w:rPr>
          <w:rFonts w:ascii="Times New Roman" w:hAnsi="Times New Roman" w:eastAsia="Times New Roman" w:cs="Times New Roman"/>
          <w:spacing w:val="1"/>
          <w:sz w:val="24"/>
          <w:szCs w:val="24"/>
        </w:rPr>
        <w:t xml:space="preserve">150 </w:t>
      </w:r>
      <w:r>
        <w:rPr>
          <w:rFonts w:ascii="宋体" w:hAnsi="宋体" w:eastAsia="宋体" w:cs="宋体"/>
          <w:spacing w:val="1"/>
          <w:sz w:val="24"/>
          <w:szCs w:val="24"/>
        </w:rPr>
        <w:t>米以内，若有打桩作业，打桩噪声超标范围达</w:t>
      </w:r>
      <w:r>
        <w:rPr>
          <w:rFonts w:ascii="宋体" w:hAnsi="宋体" w:eastAsia="宋体" w:cs="宋体"/>
          <w:sz w:val="24"/>
          <w:szCs w:val="24"/>
        </w:rPr>
        <w:t xml:space="preserve"> </w:t>
      </w:r>
      <w:r>
        <w:rPr>
          <w:rFonts w:ascii="Times New Roman" w:hAnsi="Times New Roman" w:eastAsia="Times New Roman" w:cs="Times New Roman"/>
          <w:spacing w:val="-4"/>
          <w:sz w:val="24"/>
          <w:szCs w:val="24"/>
        </w:rPr>
        <w:t>300m</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。夜间禁止打桩作业。</w:t>
      </w:r>
    </w:p>
    <w:p w14:paraId="2C9AEC1A">
      <w:pPr>
        <w:spacing w:line="358" w:lineRule="exact"/>
        <w:ind w:left="598"/>
        <w:outlineLvl w:val="0"/>
        <w:rPr>
          <w:rFonts w:ascii="宋体" w:hAnsi="宋体" w:eastAsia="宋体" w:cs="宋体"/>
          <w:sz w:val="24"/>
          <w:szCs w:val="24"/>
        </w:rPr>
      </w:pPr>
      <w:r>
        <w:rPr>
          <w:rFonts w:ascii="Times New Roman" w:hAnsi="Times New Roman" w:eastAsia="Times New Roman" w:cs="Times New Roman"/>
          <w:spacing w:val="-3"/>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3"/>
          <w:position w:val="2"/>
          <w:sz w:val="24"/>
          <w:szCs w:val="24"/>
        </w:rPr>
        <w:t>、施工期间噪声影响评价</w:t>
      </w:r>
    </w:p>
    <w:p w14:paraId="696F48B7">
      <w:pPr>
        <w:spacing w:before="166" w:line="376" w:lineRule="auto"/>
        <w:ind w:left="124" w:right="113" w:firstLine="480"/>
        <w:jc w:val="both"/>
        <w:rPr>
          <w:rFonts w:ascii="宋体" w:hAnsi="宋体" w:eastAsia="宋体" w:cs="宋体"/>
          <w:sz w:val="24"/>
          <w:szCs w:val="24"/>
        </w:rPr>
      </w:pPr>
      <w:r>
        <w:rPr>
          <w:rFonts w:ascii="宋体" w:hAnsi="宋体" w:eastAsia="宋体" w:cs="宋体"/>
          <w:spacing w:val="2"/>
          <w:sz w:val="24"/>
          <w:szCs w:val="24"/>
        </w:rPr>
        <w:t>为了解本项目施工期产生的最大噪声值对外环境的影响程度，本次评价假设在</w:t>
      </w:r>
      <w:r>
        <w:rPr>
          <w:rFonts w:ascii="宋体" w:hAnsi="宋体" w:eastAsia="宋体" w:cs="宋体"/>
          <w:spacing w:val="7"/>
          <w:sz w:val="24"/>
          <w:szCs w:val="24"/>
        </w:rPr>
        <w:t xml:space="preserve"> </w:t>
      </w:r>
      <w:r>
        <w:rPr>
          <w:rFonts w:ascii="宋体" w:hAnsi="宋体" w:eastAsia="宋体" w:cs="宋体"/>
          <w:spacing w:val="2"/>
          <w:sz w:val="24"/>
          <w:szCs w:val="24"/>
        </w:rPr>
        <w:t>各施工阶段均有最高噪声值设备施工的前提下，选择各施工阶段多台噪声值最大的</w:t>
      </w:r>
      <w:r>
        <w:rPr>
          <w:rFonts w:ascii="宋体" w:hAnsi="宋体" w:eastAsia="宋体" w:cs="宋体"/>
          <w:spacing w:val="4"/>
          <w:sz w:val="24"/>
          <w:szCs w:val="24"/>
        </w:rPr>
        <w:t xml:space="preserve"> </w:t>
      </w:r>
      <w:r>
        <w:rPr>
          <w:rFonts w:ascii="宋体" w:hAnsi="宋体" w:eastAsia="宋体" w:cs="宋体"/>
          <w:spacing w:val="2"/>
          <w:sz w:val="24"/>
          <w:szCs w:val="24"/>
        </w:rPr>
        <w:t>设备同时使用，将所产生的噪声叠加之后预测对某个距离的总声压级。评价建议施</w:t>
      </w:r>
      <w:r>
        <w:rPr>
          <w:rFonts w:ascii="宋体" w:hAnsi="宋体" w:eastAsia="宋体" w:cs="宋体"/>
          <w:spacing w:val="4"/>
          <w:sz w:val="24"/>
          <w:szCs w:val="24"/>
        </w:rPr>
        <w:t xml:space="preserve"> </w:t>
      </w:r>
      <w:r>
        <w:rPr>
          <w:rFonts w:ascii="宋体" w:hAnsi="宋体" w:eastAsia="宋体" w:cs="宋体"/>
          <w:spacing w:val="2"/>
          <w:sz w:val="24"/>
          <w:szCs w:val="24"/>
        </w:rPr>
        <w:t>工单位应尽量避免在同一地点使用多台设备同时施工，必须同时施工时，大型机械</w:t>
      </w:r>
      <w:r>
        <w:rPr>
          <w:rFonts w:ascii="宋体" w:hAnsi="宋体" w:eastAsia="宋体" w:cs="宋体"/>
          <w:spacing w:val="4"/>
          <w:sz w:val="24"/>
          <w:szCs w:val="24"/>
        </w:rPr>
        <w:t xml:space="preserve"> </w:t>
      </w:r>
      <w:r>
        <w:rPr>
          <w:rFonts w:ascii="宋体" w:hAnsi="宋体" w:eastAsia="宋体" w:cs="宋体"/>
          <w:sz w:val="24"/>
          <w:szCs w:val="24"/>
        </w:rPr>
        <w:t>数量不应超过</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台，因此，评价选址</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3</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台噪声值最大的施工</w:t>
      </w:r>
      <w:r>
        <w:rPr>
          <w:rFonts w:ascii="宋体" w:hAnsi="宋体" w:eastAsia="宋体" w:cs="宋体"/>
          <w:spacing w:val="-1"/>
          <w:sz w:val="24"/>
          <w:szCs w:val="24"/>
        </w:rPr>
        <w:t>设备同时使用时所产生</w:t>
      </w:r>
      <w:r>
        <w:rPr>
          <w:rFonts w:ascii="宋体" w:hAnsi="宋体" w:eastAsia="宋体" w:cs="宋体"/>
          <w:sz w:val="24"/>
          <w:szCs w:val="24"/>
        </w:rPr>
        <w:t xml:space="preserve"> </w:t>
      </w:r>
      <w:r>
        <w:rPr>
          <w:rFonts w:ascii="宋体" w:hAnsi="宋体" w:eastAsia="宋体" w:cs="宋体"/>
          <w:spacing w:val="-1"/>
          <w:sz w:val="24"/>
          <w:szCs w:val="24"/>
        </w:rPr>
        <w:t>的噪声叠加值来分析对某个距离的影响，具体预测值见表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5.1-7</w:t>
      </w:r>
      <w:r>
        <w:rPr>
          <w:rFonts w:ascii="宋体" w:hAnsi="宋体" w:eastAsia="宋体" w:cs="宋体"/>
          <w:spacing w:val="-1"/>
          <w:sz w:val="24"/>
          <w:szCs w:val="24"/>
        </w:rPr>
        <w:t>。</w:t>
      </w:r>
    </w:p>
    <w:p w14:paraId="38BCBC44">
      <w:pPr>
        <w:spacing w:line="220" w:lineRule="auto"/>
        <w:ind w:left="614"/>
        <w:rPr>
          <w:rFonts w:ascii="宋体" w:hAnsi="宋体" w:eastAsia="宋体" w:cs="宋体"/>
          <w:sz w:val="24"/>
          <w:szCs w:val="24"/>
        </w:rPr>
      </w:pPr>
      <w:r>
        <w:rPr>
          <w:rFonts w:ascii="宋体" w:hAnsi="宋体" w:eastAsia="宋体" w:cs="宋体"/>
          <w:spacing w:val="-2"/>
          <w:sz w:val="24"/>
          <w:szCs w:val="24"/>
        </w:rPr>
        <w:t>多个声源叠加后的总声压级，按下式计算：</w:t>
      </w:r>
    </w:p>
    <w:p w14:paraId="151471C2">
      <w:pPr>
        <w:spacing w:before="207" w:line="749" w:lineRule="exact"/>
        <w:ind w:left="3329"/>
      </w:pPr>
      <w:r>
        <w:rPr>
          <w:position w:val="-15"/>
        </w:rPr>
        <w:drawing>
          <wp:inline distT="0" distB="0" distL="0" distR="0">
            <wp:extent cx="1454785" cy="47561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26"/>
                    <a:stretch>
                      <a:fillRect/>
                    </a:stretch>
                  </pic:blipFill>
                  <pic:spPr>
                    <a:xfrm>
                      <a:off x="0" y="0"/>
                      <a:ext cx="1454899" cy="475690"/>
                    </a:xfrm>
                    <a:prstGeom prst="rect">
                      <a:avLst/>
                    </a:prstGeom>
                  </pic:spPr>
                </pic:pic>
              </a:graphicData>
            </a:graphic>
          </wp:inline>
        </w:drawing>
      </w:r>
    </w:p>
    <w:p w14:paraId="0C5C7600">
      <w:pPr>
        <w:spacing w:before="188" w:line="361" w:lineRule="exact"/>
        <w:ind w:left="607"/>
        <w:rPr>
          <w:rFonts w:ascii="宋体" w:hAnsi="宋体" w:eastAsia="宋体" w:cs="宋体"/>
          <w:sz w:val="24"/>
          <w:szCs w:val="24"/>
        </w:rPr>
      </w:pPr>
      <w:r>
        <w:rPr>
          <w:rFonts w:ascii="宋体" w:hAnsi="宋体" w:eastAsia="宋体" w:cs="宋体"/>
          <w:spacing w:val="-1"/>
          <w:position w:val="2"/>
          <w:sz w:val="24"/>
          <w:szCs w:val="24"/>
        </w:rPr>
        <w:t>式中：</w:t>
      </w:r>
      <w:r>
        <w:rPr>
          <w:rFonts w:ascii="Times New Roman" w:hAnsi="Times New Roman" w:eastAsia="Times New Roman" w:cs="Times New Roman"/>
          <w:spacing w:val="-1"/>
          <w:position w:val="2"/>
          <w:sz w:val="24"/>
          <w:szCs w:val="24"/>
        </w:rPr>
        <w:t>Lan—</w:t>
      </w:r>
      <w:r>
        <w:rPr>
          <w:rFonts w:ascii="宋体" w:hAnsi="宋体" w:eastAsia="宋体" w:cs="宋体"/>
          <w:spacing w:val="-1"/>
          <w:position w:val="2"/>
          <w:sz w:val="24"/>
          <w:szCs w:val="24"/>
        </w:rPr>
        <w:t>对于某点的总声压级，</w:t>
      </w:r>
      <w:r>
        <w:rPr>
          <w:rFonts w:ascii="Times New Roman" w:hAnsi="Times New Roman" w:eastAsia="Times New Roman" w:cs="Times New Roman"/>
          <w:spacing w:val="-1"/>
          <w:position w:val="2"/>
          <w:sz w:val="24"/>
          <w:szCs w:val="24"/>
        </w:rPr>
        <w:t>dB</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A</w:t>
      </w:r>
      <w:r>
        <w:rPr>
          <w:rFonts w:ascii="宋体" w:hAnsi="宋体" w:eastAsia="宋体" w:cs="宋体"/>
          <w:spacing w:val="2"/>
          <w:position w:val="2"/>
          <w:sz w:val="24"/>
          <w:szCs w:val="24"/>
        </w:rPr>
        <w:t>）；</w:t>
      </w:r>
    </w:p>
    <w:p w14:paraId="55B08165">
      <w:pPr>
        <w:spacing w:before="129" w:line="361" w:lineRule="exact"/>
        <w:ind w:left="1318"/>
        <w:rPr>
          <w:rFonts w:ascii="宋体" w:hAnsi="宋体" w:eastAsia="宋体" w:cs="宋体"/>
          <w:sz w:val="24"/>
          <w:szCs w:val="24"/>
        </w:rPr>
      </w:pPr>
      <w:r>
        <w:rPr>
          <w:rFonts w:ascii="Times New Roman" w:hAnsi="Times New Roman" w:eastAsia="Times New Roman" w:cs="Times New Roman"/>
          <w:spacing w:val="-1"/>
          <w:position w:val="2"/>
          <w:sz w:val="24"/>
          <w:szCs w:val="24"/>
        </w:rPr>
        <w:t>Li—</w:t>
      </w:r>
      <w:r>
        <w:rPr>
          <w:rFonts w:ascii="宋体" w:hAnsi="宋体" w:eastAsia="宋体" w:cs="宋体"/>
          <w:spacing w:val="-1"/>
          <w:position w:val="2"/>
          <w:sz w:val="24"/>
          <w:szCs w:val="24"/>
        </w:rPr>
        <w:t>各噪声点在该点的声级。</w:t>
      </w:r>
    </w:p>
    <w:p w14:paraId="32BA8942">
      <w:pPr>
        <w:spacing w:line="361" w:lineRule="exact"/>
        <w:rPr>
          <w:rFonts w:ascii="宋体" w:hAnsi="宋体" w:eastAsia="宋体" w:cs="宋体"/>
          <w:sz w:val="24"/>
          <w:szCs w:val="24"/>
        </w:rPr>
        <w:sectPr>
          <w:footerReference r:id="rId125" w:type="default"/>
          <w:pgSz w:w="11906" w:h="16839"/>
          <w:pgMar w:top="400" w:right="1475" w:bottom="1485" w:left="1475" w:header="0" w:footer="1249" w:gutter="0"/>
          <w:cols w:space="720" w:num="1"/>
        </w:sectPr>
      </w:pPr>
    </w:p>
    <w:p w14:paraId="72DA5807">
      <w:pPr>
        <w:pStyle w:val="2"/>
        <w:spacing w:line="271" w:lineRule="auto"/>
      </w:pPr>
    </w:p>
    <w:p w14:paraId="314FD4B7">
      <w:pPr>
        <w:pStyle w:val="2"/>
        <w:spacing w:line="271" w:lineRule="auto"/>
      </w:pPr>
    </w:p>
    <w:p w14:paraId="64FFFFAB">
      <w:pPr>
        <w:pStyle w:val="2"/>
        <w:spacing w:line="271" w:lineRule="auto"/>
      </w:pPr>
    </w:p>
    <w:p w14:paraId="38924882">
      <w:pPr>
        <w:pStyle w:val="2"/>
        <w:spacing w:line="271" w:lineRule="auto"/>
      </w:pPr>
    </w:p>
    <w:p w14:paraId="14ED6BBA">
      <w:pPr>
        <w:spacing w:before="65" w:line="228" w:lineRule="auto"/>
        <w:ind w:left="1651"/>
        <w:outlineLvl w:val="0"/>
        <w:rPr>
          <w:rFonts w:ascii="宋体" w:hAnsi="宋体" w:eastAsia="宋体" w:cs="宋体"/>
          <w:sz w:val="20"/>
          <w:szCs w:val="20"/>
        </w:rPr>
      </w:pPr>
      <w:r>
        <w:rPr>
          <w:rFonts w:ascii="Times New Roman" w:hAnsi="Times New Roman" w:eastAsia="Times New Roman" w:cs="Times New Roman"/>
          <w:b/>
          <w:bCs/>
          <w:spacing w:val="7"/>
          <w:sz w:val="20"/>
          <w:szCs w:val="20"/>
        </w:rPr>
        <w:t xml:space="preserve">5.1-5 </w:t>
      </w:r>
      <w:r>
        <w:rPr>
          <w:rFonts w:ascii="宋体" w:hAnsi="宋体" w:eastAsia="宋体" w:cs="宋体"/>
          <w:b/>
          <w:bCs/>
          <w:spacing w:val="7"/>
          <w:sz w:val="20"/>
          <w:szCs w:val="20"/>
        </w:rPr>
        <w:t>各种施工机械声源叠加后在不同距离的噪声值单位：</w:t>
      </w:r>
      <w:r>
        <w:rPr>
          <w:rFonts w:ascii="Times New Roman" w:hAnsi="Times New Roman" w:eastAsia="Times New Roman" w:cs="Times New Roman"/>
          <w:b/>
          <w:bCs/>
          <w:sz w:val="20"/>
          <w:szCs w:val="20"/>
        </w:rPr>
        <w:t>dB</w:t>
      </w:r>
      <w:r>
        <w:rPr>
          <w:rFonts w:ascii="宋体" w:hAnsi="宋体" w:eastAsia="宋体" w:cs="宋体"/>
          <w:b/>
          <w:bCs/>
          <w:spacing w:val="7"/>
          <w:sz w:val="20"/>
          <w:szCs w:val="20"/>
        </w:rPr>
        <w:t>（</w:t>
      </w:r>
      <w:r>
        <w:rPr>
          <w:rFonts w:ascii="Times New Roman" w:hAnsi="Times New Roman" w:eastAsia="Times New Roman" w:cs="Times New Roman"/>
          <w:b/>
          <w:bCs/>
          <w:spacing w:val="7"/>
          <w:sz w:val="20"/>
          <w:szCs w:val="20"/>
        </w:rPr>
        <w:t>A</w:t>
      </w:r>
      <w:r>
        <w:rPr>
          <w:rFonts w:ascii="宋体" w:hAnsi="宋体" w:eastAsia="宋体" w:cs="宋体"/>
          <w:b/>
          <w:bCs/>
          <w:spacing w:val="7"/>
          <w:sz w:val="20"/>
          <w:szCs w:val="20"/>
        </w:rPr>
        <w:t>）</w:t>
      </w:r>
    </w:p>
    <w:p w14:paraId="16F372C4">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8"/>
        <w:gridCol w:w="1133"/>
        <w:gridCol w:w="714"/>
        <w:gridCol w:w="713"/>
        <w:gridCol w:w="714"/>
        <w:gridCol w:w="714"/>
        <w:gridCol w:w="714"/>
        <w:gridCol w:w="714"/>
        <w:gridCol w:w="713"/>
        <w:gridCol w:w="714"/>
        <w:gridCol w:w="719"/>
      </w:tblGrid>
      <w:tr w14:paraId="4E4DB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388" w:type="dxa"/>
            <w:tcBorders>
              <w:tl2br w:val="single" w:color="000000" w:sz="4" w:space="0"/>
            </w:tcBorders>
            <w:vAlign w:val="top"/>
          </w:tcPr>
          <w:p w14:paraId="65BD79C9">
            <w:pPr>
              <w:pStyle w:val="6"/>
              <w:spacing w:before="62" w:line="271" w:lineRule="auto"/>
              <w:ind w:left="282" w:right="200" w:hanging="90"/>
            </w:pPr>
            <w:r>
              <w:rPr>
                <w:b/>
                <w:bCs/>
                <w:spacing w:val="2"/>
              </w:rPr>
              <w:t>距离（</w:t>
            </w:r>
            <w:r>
              <w:rPr>
                <w:rFonts w:ascii="Times New Roman" w:hAnsi="Times New Roman" w:eastAsia="Times New Roman" w:cs="Times New Roman"/>
                <w:b/>
                <w:bCs/>
                <w:spacing w:val="2"/>
              </w:rPr>
              <w:t>m</w:t>
            </w:r>
            <w:r>
              <w:rPr>
                <w:b/>
                <w:bCs/>
                <w:spacing w:val="2"/>
              </w:rPr>
              <w:t>）</w:t>
            </w:r>
            <w:r>
              <w:rPr>
                <w:spacing w:val="3"/>
              </w:rPr>
              <w:t xml:space="preserve"> </w:t>
            </w:r>
            <w:r>
              <w:rPr>
                <w:b/>
                <w:bCs/>
                <w:spacing w:val="5"/>
              </w:rPr>
              <w:t>设备名称</w:t>
            </w:r>
          </w:p>
        </w:tc>
        <w:tc>
          <w:tcPr>
            <w:tcW w:w="1133" w:type="dxa"/>
            <w:vAlign w:val="top"/>
          </w:tcPr>
          <w:p w14:paraId="4F581D39">
            <w:pPr>
              <w:pStyle w:val="6"/>
              <w:spacing w:before="62" w:line="228" w:lineRule="auto"/>
              <w:ind w:left="156"/>
            </w:pPr>
            <w:r>
              <w:rPr>
                <w:b/>
                <w:bCs/>
                <w:spacing w:val="5"/>
              </w:rPr>
              <w:t>声级测值</w:t>
            </w:r>
          </w:p>
          <w:p w14:paraId="1BCC04F3">
            <w:pPr>
              <w:pStyle w:val="6"/>
              <w:spacing w:before="78" w:line="233" w:lineRule="auto"/>
              <w:ind w:left="123"/>
            </w:pPr>
            <w:r>
              <w:rPr>
                <w:b/>
                <w:bCs/>
                <w:spacing w:val="-2"/>
              </w:rPr>
              <w:t>（</w:t>
            </w:r>
            <w:r>
              <w:rPr>
                <w:rFonts w:ascii="Times New Roman" w:hAnsi="Times New Roman" w:eastAsia="Times New Roman" w:cs="Times New Roman"/>
                <w:b/>
                <w:bCs/>
                <w:spacing w:val="-2"/>
              </w:rPr>
              <w:t>5m</w:t>
            </w:r>
            <w:r>
              <w:rPr>
                <w:rFonts w:ascii="Times New Roman" w:hAnsi="Times New Roman" w:eastAsia="Times New Roman" w:cs="Times New Roman"/>
                <w:b/>
                <w:bCs/>
                <w:spacing w:val="19"/>
              </w:rPr>
              <w:t xml:space="preserve"> </w:t>
            </w:r>
            <w:r>
              <w:rPr>
                <w:b/>
                <w:bCs/>
                <w:spacing w:val="-2"/>
              </w:rPr>
              <w:t>处）</w:t>
            </w:r>
          </w:p>
        </w:tc>
        <w:tc>
          <w:tcPr>
            <w:tcW w:w="714" w:type="dxa"/>
            <w:vAlign w:val="top"/>
          </w:tcPr>
          <w:p w14:paraId="1D3D15A3">
            <w:pPr>
              <w:spacing w:before="261" w:line="195" w:lineRule="auto"/>
              <w:ind w:left="262"/>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w:t>
            </w:r>
          </w:p>
        </w:tc>
        <w:tc>
          <w:tcPr>
            <w:tcW w:w="713" w:type="dxa"/>
            <w:vAlign w:val="top"/>
          </w:tcPr>
          <w:p w14:paraId="73851321">
            <w:pPr>
              <w:spacing w:before="261" w:line="195" w:lineRule="auto"/>
              <w:ind w:left="261"/>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15</w:t>
            </w:r>
          </w:p>
        </w:tc>
        <w:tc>
          <w:tcPr>
            <w:tcW w:w="714" w:type="dxa"/>
            <w:vAlign w:val="top"/>
          </w:tcPr>
          <w:p w14:paraId="76429284">
            <w:pPr>
              <w:spacing w:before="261" w:line="195" w:lineRule="auto"/>
              <w:ind w:left="25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20</w:t>
            </w:r>
          </w:p>
        </w:tc>
        <w:tc>
          <w:tcPr>
            <w:tcW w:w="714" w:type="dxa"/>
            <w:vAlign w:val="top"/>
          </w:tcPr>
          <w:p w14:paraId="5BB23C90">
            <w:pPr>
              <w:spacing w:before="261" w:line="195" w:lineRule="auto"/>
              <w:ind w:left="254"/>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45</w:t>
            </w:r>
          </w:p>
        </w:tc>
        <w:tc>
          <w:tcPr>
            <w:tcW w:w="714" w:type="dxa"/>
            <w:vAlign w:val="top"/>
          </w:tcPr>
          <w:p w14:paraId="7D491679">
            <w:pPr>
              <w:spacing w:before="261" w:line="195" w:lineRule="auto"/>
              <w:ind w:left="257"/>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50</w:t>
            </w:r>
          </w:p>
        </w:tc>
        <w:tc>
          <w:tcPr>
            <w:tcW w:w="714" w:type="dxa"/>
            <w:vAlign w:val="top"/>
          </w:tcPr>
          <w:p w14:paraId="5FB2CC33">
            <w:pPr>
              <w:spacing w:before="261" w:line="195" w:lineRule="auto"/>
              <w:ind w:left="258"/>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80</w:t>
            </w:r>
          </w:p>
        </w:tc>
        <w:tc>
          <w:tcPr>
            <w:tcW w:w="713" w:type="dxa"/>
            <w:vAlign w:val="top"/>
          </w:tcPr>
          <w:p w14:paraId="518CA945">
            <w:pPr>
              <w:spacing w:before="261" w:line="195" w:lineRule="auto"/>
              <w:ind w:left="211"/>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100</w:t>
            </w:r>
          </w:p>
        </w:tc>
        <w:tc>
          <w:tcPr>
            <w:tcW w:w="714" w:type="dxa"/>
            <w:vAlign w:val="top"/>
          </w:tcPr>
          <w:p w14:paraId="2096B68E">
            <w:pPr>
              <w:spacing w:before="261" w:line="195" w:lineRule="auto"/>
              <w:ind w:left="21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150</w:t>
            </w:r>
          </w:p>
        </w:tc>
        <w:tc>
          <w:tcPr>
            <w:tcW w:w="719" w:type="dxa"/>
            <w:vAlign w:val="top"/>
          </w:tcPr>
          <w:p w14:paraId="513F1F49">
            <w:pPr>
              <w:spacing w:before="261" w:line="195" w:lineRule="auto"/>
              <w:ind w:left="20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200</w:t>
            </w:r>
          </w:p>
        </w:tc>
      </w:tr>
      <w:tr w14:paraId="3C76F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88" w:type="dxa"/>
            <w:vAlign w:val="top"/>
          </w:tcPr>
          <w:p w14:paraId="57B5CFDC">
            <w:pPr>
              <w:pStyle w:val="6"/>
              <w:spacing w:before="59" w:line="228" w:lineRule="auto"/>
              <w:ind w:left="385"/>
            </w:pPr>
            <w:r>
              <w:rPr>
                <w:spacing w:val="6"/>
              </w:rPr>
              <w:t>装载机</w:t>
            </w:r>
          </w:p>
        </w:tc>
        <w:tc>
          <w:tcPr>
            <w:tcW w:w="1133" w:type="dxa"/>
            <w:vAlign w:val="top"/>
          </w:tcPr>
          <w:p w14:paraId="5A13A8AE">
            <w:pPr>
              <w:spacing w:before="28" w:line="275" w:lineRule="exact"/>
              <w:ind w:left="4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91</w:t>
            </w:r>
          </w:p>
        </w:tc>
        <w:tc>
          <w:tcPr>
            <w:tcW w:w="714" w:type="dxa"/>
            <w:vMerge w:val="restart"/>
            <w:tcBorders>
              <w:bottom w:val="nil"/>
            </w:tcBorders>
            <w:vAlign w:val="top"/>
          </w:tcPr>
          <w:p w14:paraId="7155DE4A">
            <w:pPr>
              <w:spacing w:line="467" w:lineRule="auto"/>
              <w:rPr>
                <w:rFonts w:ascii="Arial"/>
                <w:sz w:val="21"/>
              </w:rPr>
            </w:pPr>
          </w:p>
          <w:p w14:paraId="77211AD9">
            <w:pPr>
              <w:spacing w:before="58"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91.3</w:t>
            </w:r>
          </w:p>
        </w:tc>
        <w:tc>
          <w:tcPr>
            <w:tcW w:w="713" w:type="dxa"/>
            <w:vMerge w:val="restart"/>
            <w:tcBorders>
              <w:bottom w:val="nil"/>
            </w:tcBorders>
            <w:vAlign w:val="top"/>
          </w:tcPr>
          <w:p w14:paraId="7B20A01D">
            <w:pPr>
              <w:spacing w:line="467" w:lineRule="auto"/>
              <w:rPr>
                <w:rFonts w:ascii="Arial"/>
                <w:sz w:val="21"/>
              </w:rPr>
            </w:pPr>
          </w:p>
          <w:p w14:paraId="73B921A4">
            <w:pPr>
              <w:spacing w:before="58"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85.3</w:t>
            </w:r>
          </w:p>
        </w:tc>
        <w:tc>
          <w:tcPr>
            <w:tcW w:w="714" w:type="dxa"/>
            <w:vMerge w:val="restart"/>
            <w:tcBorders>
              <w:bottom w:val="nil"/>
            </w:tcBorders>
            <w:vAlign w:val="top"/>
          </w:tcPr>
          <w:p w14:paraId="1FEE9680">
            <w:pPr>
              <w:spacing w:line="467" w:lineRule="auto"/>
              <w:rPr>
                <w:rFonts w:ascii="Arial"/>
                <w:sz w:val="21"/>
              </w:rPr>
            </w:pPr>
          </w:p>
          <w:p w14:paraId="48DEE106">
            <w:pPr>
              <w:spacing w:before="58" w:line="274" w:lineRule="exact"/>
              <w:ind w:left="18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81.7</w:t>
            </w:r>
          </w:p>
        </w:tc>
        <w:tc>
          <w:tcPr>
            <w:tcW w:w="714" w:type="dxa"/>
            <w:vMerge w:val="restart"/>
            <w:tcBorders>
              <w:bottom w:val="nil"/>
            </w:tcBorders>
            <w:vAlign w:val="top"/>
          </w:tcPr>
          <w:p w14:paraId="38770D06">
            <w:pPr>
              <w:spacing w:line="467" w:lineRule="auto"/>
              <w:rPr>
                <w:rFonts w:ascii="Arial"/>
                <w:sz w:val="21"/>
              </w:rPr>
            </w:pPr>
          </w:p>
          <w:p w14:paraId="70784780">
            <w:pPr>
              <w:spacing w:before="58" w:line="274" w:lineRule="exact"/>
              <w:ind w:left="17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79.2</w:t>
            </w:r>
          </w:p>
        </w:tc>
        <w:tc>
          <w:tcPr>
            <w:tcW w:w="714" w:type="dxa"/>
            <w:vMerge w:val="restart"/>
            <w:tcBorders>
              <w:bottom w:val="nil"/>
            </w:tcBorders>
            <w:vAlign w:val="top"/>
          </w:tcPr>
          <w:p w14:paraId="60A4C3CE">
            <w:pPr>
              <w:spacing w:line="467" w:lineRule="auto"/>
              <w:rPr>
                <w:rFonts w:ascii="Arial"/>
                <w:sz w:val="21"/>
              </w:rPr>
            </w:pPr>
          </w:p>
          <w:p w14:paraId="3A308364">
            <w:pPr>
              <w:spacing w:before="58"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77.3</w:t>
            </w:r>
          </w:p>
        </w:tc>
        <w:tc>
          <w:tcPr>
            <w:tcW w:w="714" w:type="dxa"/>
            <w:vMerge w:val="restart"/>
            <w:tcBorders>
              <w:bottom w:val="nil"/>
            </w:tcBorders>
            <w:vAlign w:val="top"/>
          </w:tcPr>
          <w:p w14:paraId="57D5C26C">
            <w:pPr>
              <w:spacing w:line="467" w:lineRule="auto"/>
              <w:rPr>
                <w:rFonts w:ascii="Arial"/>
                <w:sz w:val="21"/>
              </w:rPr>
            </w:pPr>
          </w:p>
          <w:p w14:paraId="0CE0FD9D">
            <w:pPr>
              <w:spacing w:before="58" w:line="274"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73.2</w:t>
            </w:r>
          </w:p>
        </w:tc>
        <w:tc>
          <w:tcPr>
            <w:tcW w:w="713" w:type="dxa"/>
            <w:vMerge w:val="restart"/>
            <w:tcBorders>
              <w:bottom w:val="nil"/>
            </w:tcBorders>
            <w:vAlign w:val="top"/>
          </w:tcPr>
          <w:p w14:paraId="4A19D54C">
            <w:pPr>
              <w:spacing w:line="467" w:lineRule="auto"/>
              <w:rPr>
                <w:rFonts w:ascii="Arial"/>
                <w:sz w:val="21"/>
              </w:rPr>
            </w:pPr>
          </w:p>
          <w:p w14:paraId="7FD1594B">
            <w:pPr>
              <w:spacing w:before="58" w:line="274"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71.3</w:t>
            </w:r>
          </w:p>
        </w:tc>
        <w:tc>
          <w:tcPr>
            <w:tcW w:w="714" w:type="dxa"/>
            <w:vMerge w:val="restart"/>
            <w:tcBorders>
              <w:bottom w:val="nil"/>
            </w:tcBorders>
            <w:vAlign w:val="top"/>
          </w:tcPr>
          <w:p w14:paraId="0F8DD19B">
            <w:pPr>
              <w:spacing w:line="467" w:lineRule="auto"/>
              <w:rPr>
                <w:rFonts w:ascii="Arial"/>
                <w:sz w:val="21"/>
              </w:rPr>
            </w:pPr>
          </w:p>
          <w:p w14:paraId="2EEFC011">
            <w:pPr>
              <w:spacing w:before="58"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67.8</w:t>
            </w:r>
          </w:p>
        </w:tc>
        <w:tc>
          <w:tcPr>
            <w:tcW w:w="719" w:type="dxa"/>
            <w:vMerge w:val="restart"/>
            <w:tcBorders>
              <w:bottom w:val="nil"/>
            </w:tcBorders>
            <w:vAlign w:val="top"/>
          </w:tcPr>
          <w:p w14:paraId="50325726">
            <w:pPr>
              <w:spacing w:line="467" w:lineRule="auto"/>
              <w:rPr>
                <w:rFonts w:ascii="Arial"/>
                <w:sz w:val="21"/>
              </w:rPr>
            </w:pPr>
          </w:p>
          <w:p w14:paraId="3356014D">
            <w:pPr>
              <w:spacing w:before="58" w:line="274" w:lineRule="exact"/>
              <w:ind w:left="18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65.3</w:t>
            </w:r>
          </w:p>
        </w:tc>
      </w:tr>
      <w:tr w14:paraId="2236F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388" w:type="dxa"/>
            <w:vAlign w:val="top"/>
          </w:tcPr>
          <w:p w14:paraId="18574317">
            <w:pPr>
              <w:pStyle w:val="6"/>
              <w:spacing w:before="60" w:line="229" w:lineRule="auto"/>
              <w:ind w:left="280"/>
            </w:pPr>
            <w:r>
              <w:rPr>
                <w:spacing w:val="7"/>
              </w:rPr>
              <w:t>木工电锯</w:t>
            </w:r>
          </w:p>
        </w:tc>
        <w:tc>
          <w:tcPr>
            <w:tcW w:w="1133" w:type="dxa"/>
            <w:vAlign w:val="top"/>
          </w:tcPr>
          <w:p w14:paraId="5D952F40">
            <w:pPr>
              <w:spacing w:before="29" w:line="275" w:lineRule="exact"/>
              <w:ind w:left="4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95</w:t>
            </w:r>
          </w:p>
        </w:tc>
        <w:tc>
          <w:tcPr>
            <w:tcW w:w="714" w:type="dxa"/>
            <w:vMerge w:val="continue"/>
            <w:tcBorders>
              <w:top w:val="nil"/>
              <w:bottom w:val="nil"/>
            </w:tcBorders>
            <w:vAlign w:val="top"/>
          </w:tcPr>
          <w:p w14:paraId="0C1982DC">
            <w:pPr>
              <w:rPr>
                <w:rFonts w:ascii="Arial"/>
                <w:sz w:val="21"/>
              </w:rPr>
            </w:pPr>
          </w:p>
        </w:tc>
        <w:tc>
          <w:tcPr>
            <w:tcW w:w="713" w:type="dxa"/>
            <w:vMerge w:val="continue"/>
            <w:tcBorders>
              <w:top w:val="nil"/>
              <w:bottom w:val="nil"/>
            </w:tcBorders>
            <w:vAlign w:val="top"/>
          </w:tcPr>
          <w:p w14:paraId="5A567022">
            <w:pPr>
              <w:rPr>
                <w:rFonts w:ascii="Arial"/>
                <w:sz w:val="21"/>
              </w:rPr>
            </w:pPr>
          </w:p>
        </w:tc>
        <w:tc>
          <w:tcPr>
            <w:tcW w:w="714" w:type="dxa"/>
            <w:vMerge w:val="continue"/>
            <w:tcBorders>
              <w:top w:val="nil"/>
              <w:bottom w:val="nil"/>
            </w:tcBorders>
            <w:vAlign w:val="top"/>
          </w:tcPr>
          <w:p w14:paraId="15CEBC3B">
            <w:pPr>
              <w:rPr>
                <w:rFonts w:ascii="Arial"/>
                <w:sz w:val="21"/>
              </w:rPr>
            </w:pPr>
          </w:p>
        </w:tc>
        <w:tc>
          <w:tcPr>
            <w:tcW w:w="714" w:type="dxa"/>
            <w:vMerge w:val="continue"/>
            <w:tcBorders>
              <w:top w:val="nil"/>
              <w:bottom w:val="nil"/>
            </w:tcBorders>
            <w:vAlign w:val="top"/>
          </w:tcPr>
          <w:p w14:paraId="57AC33F0">
            <w:pPr>
              <w:rPr>
                <w:rFonts w:ascii="Arial"/>
                <w:sz w:val="21"/>
              </w:rPr>
            </w:pPr>
          </w:p>
        </w:tc>
        <w:tc>
          <w:tcPr>
            <w:tcW w:w="714" w:type="dxa"/>
            <w:vMerge w:val="continue"/>
            <w:tcBorders>
              <w:top w:val="nil"/>
              <w:bottom w:val="nil"/>
            </w:tcBorders>
            <w:vAlign w:val="top"/>
          </w:tcPr>
          <w:p w14:paraId="50C9AA95">
            <w:pPr>
              <w:rPr>
                <w:rFonts w:ascii="Arial"/>
                <w:sz w:val="21"/>
              </w:rPr>
            </w:pPr>
          </w:p>
        </w:tc>
        <w:tc>
          <w:tcPr>
            <w:tcW w:w="714" w:type="dxa"/>
            <w:vMerge w:val="continue"/>
            <w:tcBorders>
              <w:top w:val="nil"/>
              <w:bottom w:val="nil"/>
            </w:tcBorders>
            <w:vAlign w:val="top"/>
          </w:tcPr>
          <w:p w14:paraId="410C5248">
            <w:pPr>
              <w:rPr>
                <w:rFonts w:ascii="Arial"/>
                <w:sz w:val="21"/>
              </w:rPr>
            </w:pPr>
          </w:p>
        </w:tc>
        <w:tc>
          <w:tcPr>
            <w:tcW w:w="713" w:type="dxa"/>
            <w:vMerge w:val="continue"/>
            <w:tcBorders>
              <w:top w:val="nil"/>
              <w:bottom w:val="nil"/>
            </w:tcBorders>
            <w:vAlign w:val="top"/>
          </w:tcPr>
          <w:p w14:paraId="451DCC4D">
            <w:pPr>
              <w:rPr>
                <w:rFonts w:ascii="Arial"/>
                <w:sz w:val="21"/>
              </w:rPr>
            </w:pPr>
          </w:p>
        </w:tc>
        <w:tc>
          <w:tcPr>
            <w:tcW w:w="714" w:type="dxa"/>
            <w:vMerge w:val="continue"/>
            <w:tcBorders>
              <w:top w:val="nil"/>
              <w:bottom w:val="nil"/>
            </w:tcBorders>
            <w:vAlign w:val="top"/>
          </w:tcPr>
          <w:p w14:paraId="7BC69859">
            <w:pPr>
              <w:rPr>
                <w:rFonts w:ascii="Arial"/>
                <w:sz w:val="21"/>
              </w:rPr>
            </w:pPr>
          </w:p>
        </w:tc>
        <w:tc>
          <w:tcPr>
            <w:tcW w:w="719" w:type="dxa"/>
            <w:vMerge w:val="continue"/>
            <w:tcBorders>
              <w:top w:val="nil"/>
              <w:bottom w:val="nil"/>
            </w:tcBorders>
            <w:vAlign w:val="top"/>
          </w:tcPr>
          <w:p w14:paraId="331CF090">
            <w:pPr>
              <w:rPr>
                <w:rFonts w:ascii="Arial"/>
                <w:sz w:val="21"/>
              </w:rPr>
            </w:pPr>
          </w:p>
        </w:tc>
      </w:tr>
      <w:tr w14:paraId="4D01D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388" w:type="dxa"/>
            <w:vAlign w:val="top"/>
          </w:tcPr>
          <w:p w14:paraId="567D7C3B">
            <w:pPr>
              <w:pStyle w:val="6"/>
              <w:spacing w:before="61" w:line="228" w:lineRule="auto"/>
              <w:ind w:left="122"/>
            </w:pPr>
            <w:r>
              <w:rPr>
                <w:spacing w:val="-9"/>
              </w:rPr>
              <w:t>云石机、角磨</w:t>
            </w:r>
          </w:p>
          <w:p w14:paraId="1C8F6994">
            <w:pPr>
              <w:pStyle w:val="6"/>
              <w:spacing w:before="79" w:line="228" w:lineRule="auto"/>
              <w:ind w:left="593"/>
            </w:pPr>
            <w:r>
              <w:rPr>
                <w:spacing w:val="1"/>
              </w:rPr>
              <w:t>机</w:t>
            </w:r>
          </w:p>
        </w:tc>
        <w:tc>
          <w:tcPr>
            <w:tcW w:w="1133" w:type="dxa"/>
            <w:vAlign w:val="top"/>
          </w:tcPr>
          <w:p w14:paraId="1E2868DF">
            <w:pPr>
              <w:spacing w:before="194" w:line="274" w:lineRule="exact"/>
              <w:ind w:left="4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90</w:t>
            </w:r>
          </w:p>
        </w:tc>
        <w:tc>
          <w:tcPr>
            <w:tcW w:w="714" w:type="dxa"/>
            <w:vMerge w:val="continue"/>
            <w:tcBorders>
              <w:top w:val="nil"/>
            </w:tcBorders>
            <w:vAlign w:val="top"/>
          </w:tcPr>
          <w:p w14:paraId="1B4EC5A9">
            <w:pPr>
              <w:rPr>
                <w:rFonts w:ascii="Arial"/>
                <w:sz w:val="21"/>
              </w:rPr>
            </w:pPr>
          </w:p>
        </w:tc>
        <w:tc>
          <w:tcPr>
            <w:tcW w:w="713" w:type="dxa"/>
            <w:vMerge w:val="continue"/>
            <w:tcBorders>
              <w:top w:val="nil"/>
            </w:tcBorders>
            <w:vAlign w:val="top"/>
          </w:tcPr>
          <w:p w14:paraId="358EC1ED">
            <w:pPr>
              <w:rPr>
                <w:rFonts w:ascii="Arial"/>
                <w:sz w:val="21"/>
              </w:rPr>
            </w:pPr>
          </w:p>
        </w:tc>
        <w:tc>
          <w:tcPr>
            <w:tcW w:w="714" w:type="dxa"/>
            <w:vMerge w:val="continue"/>
            <w:tcBorders>
              <w:top w:val="nil"/>
            </w:tcBorders>
            <w:vAlign w:val="top"/>
          </w:tcPr>
          <w:p w14:paraId="58013397">
            <w:pPr>
              <w:rPr>
                <w:rFonts w:ascii="Arial"/>
                <w:sz w:val="21"/>
              </w:rPr>
            </w:pPr>
          </w:p>
        </w:tc>
        <w:tc>
          <w:tcPr>
            <w:tcW w:w="714" w:type="dxa"/>
            <w:vMerge w:val="continue"/>
            <w:tcBorders>
              <w:top w:val="nil"/>
            </w:tcBorders>
            <w:vAlign w:val="top"/>
          </w:tcPr>
          <w:p w14:paraId="433FAA1E">
            <w:pPr>
              <w:rPr>
                <w:rFonts w:ascii="Arial"/>
                <w:sz w:val="21"/>
              </w:rPr>
            </w:pPr>
          </w:p>
        </w:tc>
        <w:tc>
          <w:tcPr>
            <w:tcW w:w="714" w:type="dxa"/>
            <w:vMerge w:val="continue"/>
            <w:tcBorders>
              <w:top w:val="nil"/>
            </w:tcBorders>
            <w:vAlign w:val="top"/>
          </w:tcPr>
          <w:p w14:paraId="21355680">
            <w:pPr>
              <w:rPr>
                <w:rFonts w:ascii="Arial"/>
                <w:sz w:val="21"/>
              </w:rPr>
            </w:pPr>
          </w:p>
        </w:tc>
        <w:tc>
          <w:tcPr>
            <w:tcW w:w="714" w:type="dxa"/>
            <w:vMerge w:val="continue"/>
            <w:tcBorders>
              <w:top w:val="nil"/>
            </w:tcBorders>
            <w:vAlign w:val="top"/>
          </w:tcPr>
          <w:p w14:paraId="6F77C33F">
            <w:pPr>
              <w:rPr>
                <w:rFonts w:ascii="Arial"/>
                <w:sz w:val="21"/>
              </w:rPr>
            </w:pPr>
          </w:p>
        </w:tc>
        <w:tc>
          <w:tcPr>
            <w:tcW w:w="713" w:type="dxa"/>
            <w:vMerge w:val="continue"/>
            <w:tcBorders>
              <w:top w:val="nil"/>
            </w:tcBorders>
            <w:vAlign w:val="top"/>
          </w:tcPr>
          <w:p w14:paraId="7B63CE67">
            <w:pPr>
              <w:rPr>
                <w:rFonts w:ascii="Arial"/>
                <w:sz w:val="21"/>
              </w:rPr>
            </w:pPr>
          </w:p>
        </w:tc>
        <w:tc>
          <w:tcPr>
            <w:tcW w:w="714" w:type="dxa"/>
            <w:vMerge w:val="continue"/>
            <w:tcBorders>
              <w:top w:val="nil"/>
            </w:tcBorders>
            <w:vAlign w:val="top"/>
          </w:tcPr>
          <w:p w14:paraId="7985AA9E">
            <w:pPr>
              <w:rPr>
                <w:rFonts w:ascii="Arial"/>
                <w:sz w:val="21"/>
              </w:rPr>
            </w:pPr>
          </w:p>
        </w:tc>
        <w:tc>
          <w:tcPr>
            <w:tcW w:w="719" w:type="dxa"/>
            <w:vMerge w:val="continue"/>
            <w:tcBorders>
              <w:top w:val="nil"/>
            </w:tcBorders>
            <w:vAlign w:val="top"/>
          </w:tcPr>
          <w:p w14:paraId="45928027">
            <w:pPr>
              <w:rPr>
                <w:rFonts w:ascii="Arial"/>
                <w:sz w:val="21"/>
              </w:rPr>
            </w:pPr>
          </w:p>
        </w:tc>
      </w:tr>
    </w:tbl>
    <w:p w14:paraId="7D6EABA4">
      <w:pPr>
        <w:spacing w:before="291" w:line="371" w:lineRule="auto"/>
        <w:ind w:left="122" w:right="103" w:firstLine="480"/>
        <w:jc w:val="both"/>
        <w:rPr>
          <w:rFonts w:ascii="宋体" w:hAnsi="宋体" w:eastAsia="宋体" w:cs="宋体"/>
          <w:sz w:val="24"/>
          <w:szCs w:val="24"/>
        </w:rPr>
      </w:pPr>
      <w:r>
        <w:rPr>
          <w:rFonts w:ascii="宋体" w:hAnsi="宋体" w:eastAsia="宋体" w:cs="宋体"/>
          <w:spacing w:val="2"/>
          <w:sz w:val="24"/>
          <w:szCs w:val="24"/>
        </w:rPr>
        <w:t>施工单位应采取低噪型施工设备，并在施工厂界四周设置围挡，一般围墙噪声</w:t>
      </w:r>
      <w:r>
        <w:rPr>
          <w:rFonts w:ascii="宋体" w:hAnsi="宋体" w:eastAsia="宋体" w:cs="宋体"/>
          <w:spacing w:val="11"/>
          <w:sz w:val="24"/>
          <w:szCs w:val="24"/>
        </w:rPr>
        <w:t xml:space="preserve"> </w:t>
      </w:r>
      <w:r>
        <w:rPr>
          <w:rFonts w:ascii="宋体" w:hAnsi="宋体" w:eastAsia="宋体" w:cs="宋体"/>
          <w:sz w:val="24"/>
          <w:szCs w:val="24"/>
        </w:rPr>
        <w:t>的隔声值为</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10dB(A)</w:t>
      </w:r>
      <w:r>
        <w:rPr>
          <w:rFonts w:ascii="宋体" w:hAnsi="宋体" w:eastAsia="宋体" w:cs="宋体"/>
          <w:sz w:val="24"/>
          <w:szCs w:val="24"/>
        </w:rPr>
        <w:t>（本项目预测取</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10dB(A)</w:t>
      </w:r>
      <w:r>
        <w:rPr>
          <w:rFonts w:ascii="宋体" w:hAnsi="宋体" w:eastAsia="宋体" w:cs="宋体"/>
          <w:spacing w:val="11"/>
          <w:sz w:val="24"/>
          <w:szCs w:val="24"/>
        </w:rPr>
        <w:t>），</w:t>
      </w:r>
      <w:r>
        <w:rPr>
          <w:rFonts w:ascii="宋体" w:hAnsi="宋体" w:eastAsia="宋体" w:cs="宋体"/>
          <w:spacing w:val="-1"/>
          <w:sz w:val="24"/>
          <w:szCs w:val="24"/>
        </w:rPr>
        <w:t>树木遮挡可降低</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3~5dB(A)</w:t>
      </w:r>
      <w:r>
        <w:rPr>
          <w:rFonts w:ascii="宋体" w:hAnsi="宋体" w:eastAsia="宋体" w:cs="宋体"/>
          <w:spacing w:val="-1"/>
          <w:sz w:val="24"/>
          <w:szCs w:val="24"/>
        </w:rPr>
        <w:t>（本</w:t>
      </w:r>
      <w:r>
        <w:rPr>
          <w:rFonts w:ascii="宋体" w:hAnsi="宋体" w:eastAsia="宋体" w:cs="宋体"/>
          <w:sz w:val="24"/>
          <w:szCs w:val="24"/>
        </w:rPr>
        <w:t xml:space="preserve"> 项目预测取</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3dB(A)</w:t>
      </w:r>
      <w:r>
        <w:rPr>
          <w:rFonts w:ascii="宋体" w:hAnsi="宋体" w:eastAsia="宋体" w:cs="宋体"/>
          <w:spacing w:val="5"/>
          <w:sz w:val="24"/>
          <w:szCs w:val="24"/>
        </w:rPr>
        <w:t>），</w:t>
      </w:r>
      <w:r>
        <w:rPr>
          <w:rFonts w:ascii="宋体" w:hAnsi="宋体" w:eastAsia="宋体" w:cs="宋体"/>
          <w:sz w:val="24"/>
          <w:szCs w:val="24"/>
        </w:rPr>
        <w:t>在采取上述措施后，项目施工设</w:t>
      </w:r>
      <w:r>
        <w:rPr>
          <w:rFonts w:ascii="宋体" w:hAnsi="宋体" w:eastAsia="宋体" w:cs="宋体"/>
          <w:spacing w:val="-1"/>
          <w:sz w:val="24"/>
          <w:szCs w:val="24"/>
        </w:rPr>
        <w:t>备对周围环境的影响程度见</w:t>
      </w:r>
      <w:r>
        <w:rPr>
          <w:rFonts w:ascii="宋体" w:hAnsi="宋体" w:eastAsia="宋体" w:cs="宋体"/>
          <w:sz w:val="24"/>
          <w:szCs w:val="24"/>
        </w:rPr>
        <w:t xml:space="preserve"> </w:t>
      </w:r>
      <w:r>
        <w:rPr>
          <w:rFonts w:ascii="宋体" w:hAnsi="宋体" w:eastAsia="宋体" w:cs="宋体"/>
          <w:spacing w:val="-3"/>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5.1-6</w:t>
      </w:r>
      <w:r>
        <w:rPr>
          <w:rFonts w:ascii="宋体" w:hAnsi="宋体" w:eastAsia="宋体" w:cs="宋体"/>
          <w:spacing w:val="-3"/>
          <w:sz w:val="24"/>
          <w:szCs w:val="24"/>
        </w:rPr>
        <w:t>。</w:t>
      </w:r>
    </w:p>
    <w:p w14:paraId="004451CB">
      <w:pPr>
        <w:spacing w:before="202" w:line="221" w:lineRule="auto"/>
        <w:ind w:left="713"/>
        <w:rPr>
          <w:rFonts w:ascii="Times New Roman" w:hAnsi="Times New Roman" w:eastAsia="Times New Roman" w:cs="Times New Roman"/>
          <w:sz w:val="20"/>
          <w:szCs w:val="20"/>
        </w:rPr>
      </w:pPr>
      <w:r>
        <w:rPr>
          <w:rFonts w:ascii="宋体" w:hAnsi="宋体" w:eastAsia="宋体" w:cs="宋体"/>
          <w:b/>
          <w:bCs/>
          <w:spacing w:val="7"/>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b/>
          <w:bCs/>
          <w:spacing w:val="7"/>
          <w:sz w:val="20"/>
          <w:szCs w:val="20"/>
        </w:rPr>
        <w:t>5.1-6 3</w:t>
      </w:r>
      <w:r>
        <w:rPr>
          <w:rFonts w:ascii="Times New Roman" w:hAnsi="Times New Roman" w:eastAsia="Times New Roman" w:cs="Times New Roman"/>
          <w:b/>
          <w:bCs/>
          <w:spacing w:val="28"/>
          <w:sz w:val="20"/>
          <w:szCs w:val="20"/>
        </w:rPr>
        <w:t xml:space="preserve"> </w:t>
      </w:r>
      <w:r>
        <w:rPr>
          <w:rFonts w:ascii="宋体" w:hAnsi="宋体" w:eastAsia="宋体" w:cs="宋体"/>
          <w:b/>
          <w:bCs/>
          <w:spacing w:val="7"/>
          <w:sz w:val="20"/>
          <w:szCs w:val="20"/>
        </w:rPr>
        <w:t>台施工机械同时施工叠加降噪后对周围环境噪声影响</w:t>
      </w:r>
      <w:r>
        <w:rPr>
          <w:rFonts w:ascii="宋体" w:hAnsi="宋体" w:eastAsia="宋体" w:cs="宋体"/>
          <w:b/>
          <w:bCs/>
          <w:spacing w:val="6"/>
          <w:sz w:val="20"/>
          <w:szCs w:val="20"/>
        </w:rPr>
        <w:t>噪声值单位：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(A)</w:t>
      </w:r>
    </w:p>
    <w:p w14:paraId="07BC8E0E">
      <w:pPr>
        <w:spacing w:line="109"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8"/>
        <w:gridCol w:w="817"/>
        <w:gridCol w:w="817"/>
        <w:gridCol w:w="817"/>
        <w:gridCol w:w="818"/>
        <w:gridCol w:w="818"/>
        <w:gridCol w:w="817"/>
        <w:gridCol w:w="818"/>
        <w:gridCol w:w="818"/>
        <w:gridCol w:w="822"/>
      </w:tblGrid>
      <w:tr w14:paraId="77902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588" w:type="dxa"/>
            <w:tcBorders>
              <w:tl2br w:val="single" w:color="000000" w:sz="4" w:space="0"/>
            </w:tcBorders>
            <w:vAlign w:val="top"/>
          </w:tcPr>
          <w:p w14:paraId="50D2AF21">
            <w:pPr>
              <w:pStyle w:val="6"/>
              <w:spacing w:before="62" w:line="271" w:lineRule="auto"/>
              <w:ind w:left="383" w:right="299" w:hanging="92"/>
            </w:pPr>
            <w:r>
              <w:rPr>
                <w:b/>
                <w:bCs/>
                <w:spacing w:val="-5"/>
              </w:rPr>
              <w:t>距离（</w:t>
            </w:r>
            <w:r>
              <w:rPr>
                <w:spacing w:val="-59"/>
              </w:rPr>
              <w:t xml:space="preserve"> </w:t>
            </w:r>
            <w:r>
              <w:rPr>
                <w:rFonts w:ascii="Times New Roman" w:hAnsi="Times New Roman" w:eastAsia="Times New Roman" w:cs="Times New Roman"/>
                <w:b/>
                <w:bCs/>
                <w:spacing w:val="-5"/>
              </w:rPr>
              <w:t>m</w:t>
            </w:r>
            <w:r>
              <w:rPr>
                <w:b/>
                <w:bCs/>
                <w:spacing w:val="-5"/>
              </w:rPr>
              <w:t>）</w:t>
            </w:r>
            <w:r>
              <w:t xml:space="preserve"> </w:t>
            </w:r>
            <w:r>
              <w:rPr>
                <w:b/>
                <w:bCs/>
                <w:spacing w:val="5"/>
              </w:rPr>
              <w:t>设备名称</w:t>
            </w:r>
          </w:p>
        </w:tc>
        <w:tc>
          <w:tcPr>
            <w:tcW w:w="817" w:type="dxa"/>
            <w:vAlign w:val="top"/>
          </w:tcPr>
          <w:p w14:paraId="77E60075">
            <w:pPr>
              <w:spacing w:before="262" w:line="195" w:lineRule="auto"/>
              <w:ind w:left="312"/>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w:t>
            </w:r>
          </w:p>
        </w:tc>
        <w:tc>
          <w:tcPr>
            <w:tcW w:w="817" w:type="dxa"/>
            <w:vAlign w:val="top"/>
          </w:tcPr>
          <w:p w14:paraId="08D67517">
            <w:pPr>
              <w:spacing w:before="262" w:line="195" w:lineRule="auto"/>
              <w:ind w:left="314"/>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15</w:t>
            </w:r>
          </w:p>
        </w:tc>
        <w:tc>
          <w:tcPr>
            <w:tcW w:w="817" w:type="dxa"/>
            <w:vAlign w:val="top"/>
          </w:tcPr>
          <w:p w14:paraId="6CEE863D">
            <w:pPr>
              <w:spacing w:before="262" w:line="195" w:lineRule="auto"/>
              <w:ind w:left="30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20</w:t>
            </w:r>
          </w:p>
        </w:tc>
        <w:tc>
          <w:tcPr>
            <w:tcW w:w="818" w:type="dxa"/>
            <w:vAlign w:val="top"/>
          </w:tcPr>
          <w:p w14:paraId="4AFB969B">
            <w:pPr>
              <w:spacing w:before="262" w:line="195" w:lineRule="auto"/>
              <w:ind w:left="30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45</w:t>
            </w:r>
          </w:p>
        </w:tc>
        <w:tc>
          <w:tcPr>
            <w:tcW w:w="818" w:type="dxa"/>
            <w:vAlign w:val="top"/>
          </w:tcPr>
          <w:p w14:paraId="347A016D">
            <w:pPr>
              <w:spacing w:before="262" w:line="195" w:lineRule="auto"/>
              <w:ind w:left="308"/>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50</w:t>
            </w:r>
          </w:p>
        </w:tc>
        <w:tc>
          <w:tcPr>
            <w:tcW w:w="817" w:type="dxa"/>
            <w:vAlign w:val="top"/>
          </w:tcPr>
          <w:p w14:paraId="13611B53">
            <w:pPr>
              <w:spacing w:before="262" w:line="195" w:lineRule="auto"/>
              <w:ind w:left="308"/>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80</w:t>
            </w:r>
          </w:p>
        </w:tc>
        <w:tc>
          <w:tcPr>
            <w:tcW w:w="818" w:type="dxa"/>
            <w:vAlign w:val="top"/>
          </w:tcPr>
          <w:p w14:paraId="79FE49DF">
            <w:pPr>
              <w:spacing w:before="262" w:line="195" w:lineRule="auto"/>
              <w:ind w:left="26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100</w:t>
            </w:r>
          </w:p>
        </w:tc>
        <w:tc>
          <w:tcPr>
            <w:tcW w:w="818" w:type="dxa"/>
            <w:vAlign w:val="top"/>
          </w:tcPr>
          <w:p w14:paraId="11FE6DAF">
            <w:pPr>
              <w:spacing w:before="262" w:line="195" w:lineRule="auto"/>
              <w:ind w:left="26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150</w:t>
            </w:r>
          </w:p>
        </w:tc>
        <w:tc>
          <w:tcPr>
            <w:tcW w:w="822" w:type="dxa"/>
            <w:vAlign w:val="top"/>
          </w:tcPr>
          <w:p w14:paraId="4524F7A2">
            <w:pPr>
              <w:spacing w:before="262" w:line="195" w:lineRule="auto"/>
              <w:ind w:left="25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200</w:t>
            </w:r>
          </w:p>
        </w:tc>
      </w:tr>
      <w:tr w14:paraId="14EE7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588" w:type="dxa"/>
            <w:vAlign w:val="top"/>
          </w:tcPr>
          <w:p w14:paraId="6C8BBF99">
            <w:pPr>
              <w:pStyle w:val="6"/>
              <w:spacing w:before="60" w:line="228" w:lineRule="auto"/>
              <w:ind w:left="483"/>
            </w:pPr>
            <w:r>
              <w:rPr>
                <w:spacing w:val="6"/>
              </w:rPr>
              <w:t>装载机</w:t>
            </w:r>
          </w:p>
        </w:tc>
        <w:tc>
          <w:tcPr>
            <w:tcW w:w="817" w:type="dxa"/>
            <w:vMerge w:val="restart"/>
            <w:tcBorders>
              <w:bottom w:val="nil"/>
            </w:tcBorders>
            <w:vAlign w:val="top"/>
          </w:tcPr>
          <w:p w14:paraId="2E4FD09E">
            <w:pPr>
              <w:spacing w:line="306" w:lineRule="auto"/>
              <w:rPr>
                <w:rFonts w:ascii="Arial"/>
                <w:sz w:val="21"/>
              </w:rPr>
            </w:pPr>
          </w:p>
          <w:p w14:paraId="0D8E6D50">
            <w:pPr>
              <w:spacing w:before="58"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78.3</w:t>
            </w:r>
          </w:p>
        </w:tc>
        <w:tc>
          <w:tcPr>
            <w:tcW w:w="817" w:type="dxa"/>
            <w:vMerge w:val="restart"/>
            <w:tcBorders>
              <w:bottom w:val="nil"/>
            </w:tcBorders>
            <w:vAlign w:val="top"/>
          </w:tcPr>
          <w:p w14:paraId="57C252C8">
            <w:pPr>
              <w:spacing w:line="306" w:lineRule="auto"/>
              <w:rPr>
                <w:rFonts w:ascii="Arial"/>
                <w:sz w:val="21"/>
              </w:rPr>
            </w:pPr>
          </w:p>
          <w:p w14:paraId="34B375BF">
            <w:pPr>
              <w:spacing w:before="58" w:line="274"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72.3</w:t>
            </w:r>
          </w:p>
        </w:tc>
        <w:tc>
          <w:tcPr>
            <w:tcW w:w="817" w:type="dxa"/>
            <w:vMerge w:val="restart"/>
            <w:tcBorders>
              <w:bottom w:val="nil"/>
            </w:tcBorders>
            <w:vAlign w:val="top"/>
          </w:tcPr>
          <w:p w14:paraId="41FE881E">
            <w:pPr>
              <w:spacing w:line="306" w:lineRule="auto"/>
              <w:rPr>
                <w:rFonts w:ascii="Arial"/>
                <w:sz w:val="21"/>
              </w:rPr>
            </w:pPr>
          </w:p>
          <w:p w14:paraId="233F604C">
            <w:pPr>
              <w:spacing w:before="58" w:line="274" w:lineRule="exact"/>
              <w:ind w:left="2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69.7</w:t>
            </w:r>
          </w:p>
        </w:tc>
        <w:tc>
          <w:tcPr>
            <w:tcW w:w="818" w:type="dxa"/>
            <w:vMerge w:val="restart"/>
            <w:tcBorders>
              <w:bottom w:val="nil"/>
            </w:tcBorders>
            <w:vAlign w:val="top"/>
          </w:tcPr>
          <w:p w14:paraId="005ABF33">
            <w:pPr>
              <w:spacing w:line="306" w:lineRule="auto"/>
              <w:rPr>
                <w:rFonts w:ascii="Arial"/>
                <w:sz w:val="21"/>
              </w:rPr>
            </w:pPr>
          </w:p>
          <w:p w14:paraId="1EFE4E24">
            <w:pPr>
              <w:spacing w:before="58"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66.2</w:t>
            </w:r>
          </w:p>
        </w:tc>
        <w:tc>
          <w:tcPr>
            <w:tcW w:w="818" w:type="dxa"/>
            <w:vMerge w:val="restart"/>
            <w:tcBorders>
              <w:bottom w:val="nil"/>
            </w:tcBorders>
            <w:vAlign w:val="top"/>
          </w:tcPr>
          <w:p w14:paraId="0EE78AFD">
            <w:pPr>
              <w:spacing w:line="306" w:lineRule="auto"/>
              <w:rPr>
                <w:rFonts w:ascii="Arial"/>
                <w:sz w:val="21"/>
              </w:rPr>
            </w:pPr>
          </w:p>
          <w:p w14:paraId="5F69C5F8">
            <w:pPr>
              <w:spacing w:before="58"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64.3</w:t>
            </w:r>
          </w:p>
        </w:tc>
        <w:tc>
          <w:tcPr>
            <w:tcW w:w="817" w:type="dxa"/>
            <w:vMerge w:val="restart"/>
            <w:tcBorders>
              <w:bottom w:val="nil"/>
            </w:tcBorders>
            <w:vAlign w:val="top"/>
          </w:tcPr>
          <w:p w14:paraId="194B44DB">
            <w:pPr>
              <w:spacing w:line="306" w:lineRule="auto"/>
              <w:rPr>
                <w:rFonts w:ascii="Arial"/>
                <w:sz w:val="21"/>
              </w:rPr>
            </w:pPr>
          </w:p>
          <w:p w14:paraId="75BFD45B">
            <w:pPr>
              <w:spacing w:before="58"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60.2</w:t>
            </w:r>
          </w:p>
        </w:tc>
        <w:tc>
          <w:tcPr>
            <w:tcW w:w="818" w:type="dxa"/>
            <w:vMerge w:val="restart"/>
            <w:tcBorders>
              <w:bottom w:val="nil"/>
            </w:tcBorders>
            <w:vAlign w:val="top"/>
          </w:tcPr>
          <w:p w14:paraId="5BB739BC">
            <w:pPr>
              <w:spacing w:line="306" w:lineRule="auto"/>
              <w:rPr>
                <w:rFonts w:ascii="Arial"/>
                <w:sz w:val="21"/>
              </w:rPr>
            </w:pPr>
          </w:p>
          <w:p w14:paraId="2B6B572C">
            <w:pPr>
              <w:spacing w:before="58"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58.3</w:t>
            </w:r>
          </w:p>
        </w:tc>
        <w:tc>
          <w:tcPr>
            <w:tcW w:w="818" w:type="dxa"/>
            <w:vMerge w:val="restart"/>
            <w:tcBorders>
              <w:bottom w:val="nil"/>
            </w:tcBorders>
            <w:vAlign w:val="top"/>
          </w:tcPr>
          <w:p w14:paraId="598DCD47">
            <w:pPr>
              <w:spacing w:line="306" w:lineRule="auto"/>
              <w:rPr>
                <w:rFonts w:ascii="Arial"/>
                <w:sz w:val="21"/>
              </w:rPr>
            </w:pPr>
          </w:p>
          <w:p w14:paraId="368A817F">
            <w:pPr>
              <w:spacing w:before="58" w:line="274"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54.8</w:t>
            </w:r>
          </w:p>
        </w:tc>
        <w:tc>
          <w:tcPr>
            <w:tcW w:w="822" w:type="dxa"/>
            <w:vMerge w:val="restart"/>
            <w:tcBorders>
              <w:bottom w:val="nil"/>
            </w:tcBorders>
            <w:vAlign w:val="top"/>
          </w:tcPr>
          <w:p w14:paraId="7D21FEC4">
            <w:pPr>
              <w:spacing w:line="306" w:lineRule="auto"/>
              <w:rPr>
                <w:rFonts w:ascii="Arial"/>
                <w:sz w:val="21"/>
              </w:rPr>
            </w:pPr>
          </w:p>
          <w:p w14:paraId="5BBA829A">
            <w:pPr>
              <w:spacing w:before="58" w:line="274"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52.3</w:t>
            </w:r>
          </w:p>
        </w:tc>
      </w:tr>
      <w:tr w14:paraId="2AFAB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588" w:type="dxa"/>
            <w:vAlign w:val="top"/>
          </w:tcPr>
          <w:p w14:paraId="773FD4ED">
            <w:pPr>
              <w:pStyle w:val="6"/>
              <w:spacing w:before="62" w:line="229" w:lineRule="auto"/>
              <w:ind w:left="381"/>
            </w:pPr>
            <w:r>
              <w:rPr>
                <w:spacing w:val="7"/>
              </w:rPr>
              <w:t>木工电锯</w:t>
            </w:r>
          </w:p>
        </w:tc>
        <w:tc>
          <w:tcPr>
            <w:tcW w:w="817" w:type="dxa"/>
            <w:vMerge w:val="continue"/>
            <w:tcBorders>
              <w:top w:val="nil"/>
              <w:bottom w:val="nil"/>
            </w:tcBorders>
            <w:vAlign w:val="top"/>
          </w:tcPr>
          <w:p w14:paraId="5BCA78AC">
            <w:pPr>
              <w:rPr>
                <w:rFonts w:ascii="Arial"/>
                <w:sz w:val="21"/>
              </w:rPr>
            </w:pPr>
          </w:p>
        </w:tc>
        <w:tc>
          <w:tcPr>
            <w:tcW w:w="817" w:type="dxa"/>
            <w:vMerge w:val="continue"/>
            <w:tcBorders>
              <w:top w:val="nil"/>
              <w:bottom w:val="nil"/>
            </w:tcBorders>
            <w:vAlign w:val="top"/>
          </w:tcPr>
          <w:p w14:paraId="0EA1B663">
            <w:pPr>
              <w:rPr>
                <w:rFonts w:ascii="Arial"/>
                <w:sz w:val="21"/>
              </w:rPr>
            </w:pPr>
          </w:p>
        </w:tc>
        <w:tc>
          <w:tcPr>
            <w:tcW w:w="817" w:type="dxa"/>
            <w:vMerge w:val="continue"/>
            <w:tcBorders>
              <w:top w:val="nil"/>
              <w:bottom w:val="nil"/>
            </w:tcBorders>
            <w:vAlign w:val="top"/>
          </w:tcPr>
          <w:p w14:paraId="3290575F">
            <w:pPr>
              <w:rPr>
                <w:rFonts w:ascii="Arial"/>
                <w:sz w:val="21"/>
              </w:rPr>
            </w:pPr>
          </w:p>
        </w:tc>
        <w:tc>
          <w:tcPr>
            <w:tcW w:w="818" w:type="dxa"/>
            <w:vMerge w:val="continue"/>
            <w:tcBorders>
              <w:top w:val="nil"/>
              <w:bottom w:val="nil"/>
            </w:tcBorders>
            <w:vAlign w:val="top"/>
          </w:tcPr>
          <w:p w14:paraId="3354A809">
            <w:pPr>
              <w:rPr>
                <w:rFonts w:ascii="Arial"/>
                <w:sz w:val="21"/>
              </w:rPr>
            </w:pPr>
          </w:p>
        </w:tc>
        <w:tc>
          <w:tcPr>
            <w:tcW w:w="818" w:type="dxa"/>
            <w:vMerge w:val="continue"/>
            <w:tcBorders>
              <w:top w:val="nil"/>
              <w:bottom w:val="nil"/>
            </w:tcBorders>
            <w:vAlign w:val="top"/>
          </w:tcPr>
          <w:p w14:paraId="3B35A702">
            <w:pPr>
              <w:rPr>
                <w:rFonts w:ascii="Arial"/>
                <w:sz w:val="21"/>
              </w:rPr>
            </w:pPr>
          </w:p>
        </w:tc>
        <w:tc>
          <w:tcPr>
            <w:tcW w:w="817" w:type="dxa"/>
            <w:vMerge w:val="continue"/>
            <w:tcBorders>
              <w:top w:val="nil"/>
              <w:bottom w:val="nil"/>
            </w:tcBorders>
            <w:vAlign w:val="top"/>
          </w:tcPr>
          <w:p w14:paraId="0E20953B">
            <w:pPr>
              <w:rPr>
                <w:rFonts w:ascii="Arial"/>
                <w:sz w:val="21"/>
              </w:rPr>
            </w:pPr>
          </w:p>
        </w:tc>
        <w:tc>
          <w:tcPr>
            <w:tcW w:w="818" w:type="dxa"/>
            <w:vMerge w:val="continue"/>
            <w:tcBorders>
              <w:top w:val="nil"/>
              <w:bottom w:val="nil"/>
            </w:tcBorders>
            <w:vAlign w:val="top"/>
          </w:tcPr>
          <w:p w14:paraId="0EF08995">
            <w:pPr>
              <w:rPr>
                <w:rFonts w:ascii="Arial"/>
                <w:sz w:val="21"/>
              </w:rPr>
            </w:pPr>
          </w:p>
        </w:tc>
        <w:tc>
          <w:tcPr>
            <w:tcW w:w="818" w:type="dxa"/>
            <w:vMerge w:val="continue"/>
            <w:tcBorders>
              <w:top w:val="nil"/>
              <w:bottom w:val="nil"/>
            </w:tcBorders>
            <w:vAlign w:val="top"/>
          </w:tcPr>
          <w:p w14:paraId="24E0C722">
            <w:pPr>
              <w:rPr>
                <w:rFonts w:ascii="Arial"/>
                <w:sz w:val="21"/>
              </w:rPr>
            </w:pPr>
          </w:p>
        </w:tc>
        <w:tc>
          <w:tcPr>
            <w:tcW w:w="822" w:type="dxa"/>
            <w:vMerge w:val="continue"/>
            <w:tcBorders>
              <w:top w:val="nil"/>
              <w:bottom w:val="nil"/>
            </w:tcBorders>
            <w:vAlign w:val="top"/>
          </w:tcPr>
          <w:p w14:paraId="53A0A83A">
            <w:pPr>
              <w:rPr>
                <w:rFonts w:ascii="Arial"/>
                <w:sz w:val="21"/>
              </w:rPr>
            </w:pPr>
          </w:p>
        </w:tc>
      </w:tr>
      <w:tr w14:paraId="73AD0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588" w:type="dxa"/>
            <w:vAlign w:val="top"/>
          </w:tcPr>
          <w:p w14:paraId="49C4CAA9">
            <w:pPr>
              <w:pStyle w:val="6"/>
              <w:spacing w:before="62" w:line="228" w:lineRule="auto"/>
              <w:ind w:left="122"/>
            </w:pPr>
            <w:r>
              <w:rPr>
                <w:spacing w:val="-7"/>
              </w:rPr>
              <w:t>云石机、角磨机</w:t>
            </w:r>
          </w:p>
        </w:tc>
        <w:tc>
          <w:tcPr>
            <w:tcW w:w="817" w:type="dxa"/>
            <w:vMerge w:val="continue"/>
            <w:tcBorders>
              <w:top w:val="nil"/>
            </w:tcBorders>
            <w:vAlign w:val="top"/>
          </w:tcPr>
          <w:p w14:paraId="32653AC8">
            <w:pPr>
              <w:rPr>
                <w:rFonts w:ascii="Arial"/>
                <w:sz w:val="21"/>
              </w:rPr>
            </w:pPr>
          </w:p>
        </w:tc>
        <w:tc>
          <w:tcPr>
            <w:tcW w:w="817" w:type="dxa"/>
            <w:vMerge w:val="continue"/>
            <w:tcBorders>
              <w:top w:val="nil"/>
            </w:tcBorders>
            <w:vAlign w:val="top"/>
          </w:tcPr>
          <w:p w14:paraId="5B80BB8C">
            <w:pPr>
              <w:rPr>
                <w:rFonts w:ascii="Arial"/>
                <w:sz w:val="21"/>
              </w:rPr>
            </w:pPr>
          </w:p>
        </w:tc>
        <w:tc>
          <w:tcPr>
            <w:tcW w:w="817" w:type="dxa"/>
            <w:vMerge w:val="continue"/>
            <w:tcBorders>
              <w:top w:val="nil"/>
            </w:tcBorders>
            <w:vAlign w:val="top"/>
          </w:tcPr>
          <w:p w14:paraId="7CBB4CD1">
            <w:pPr>
              <w:rPr>
                <w:rFonts w:ascii="Arial"/>
                <w:sz w:val="21"/>
              </w:rPr>
            </w:pPr>
          </w:p>
        </w:tc>
        <w:tc>
          <w:tcPr>
            <w:tcW w:w="818" w:type="dxa"/>
            <w:vMerge w:val="continue"/>
            <w:tcBorders>
              <w:top w:val="nil"/>
            </w:tcBorders>
            <w:vAlign w:val="top"/>
          </w:tcPr>
          <w:p w14:paraId="3DEA41CB">
            <w:pPr>
              <w:rPr>
                <w:rFonts w:ascii="Arial"/>
                <w:sz w:val="21"/>
              </w:rPr>
            </w:pPr>
          </w:p>
        </w:tc>
        <w:tc>
          <w:tcPr>
            <w:tcW w:w="818" w:type="dxa"/>
            <w:vMerge w:val="continue"/>
            <w:tcBorders>
              <w:top w:val="nil"/>
            </w:tcBorders>
            <w:vAlign w:val="top"/>
          </w:tcPr>
          <w:p w14:paraId="195CCF05">
            <w:pPr>
              <w:rPr>
                <w:rFonts w:ascii="Arial"/>
                <w:sz w:val="21"/>
              </w:rPr>
            </w:pPr>
          </w:p>
        </w:tc>
        <w:tc>
          <w:tcPr>
            <w:tcW w:w="817" w:type="dxa"/>
            <w:vMerge w:val="continue"/>
            <w:tcBorders>
              <w:top w:val="nil"/>
            </w:tcBorders>
            <w:vAlign w:val="top"/>
          </w:tcPr>
          <w:p w14:paraId="34904FE7">
            <w:pPr>
              <w:rPr>
                <w:rFonts w:ascii="Arial"/>
                <w:sz w:val="21"/>
              </w:rPr>
            </w:pPr>
          </w:p>
        </w:tc>
        <w:tc>
          <w:tcPr>
            <w:tcW w:w="818" w:type="dxa"/>
            <w:vMerge w:val="continue"/>
            <w:tcBorders>
              <w:top w:val="nil"/>
            </w:tcBorders>
            <w:vAlign w:val="top"/>
          </w:tcPr>
          <w:p w14:paraId="715708BE">
            <w:pPr>
              <w:rPr>
                <w:rFonts w:ascii="Arial"/>
                <w:sz w:val="21"/>
              </w:rPr>
            </w:pPr>
          </w:p>
        </w:tc>
        <w:tc>
          <w:tcPr>
            <w:tcW w:w="818" w:type="dxa"/>
            <w:vMerge w:val="continue"/>
            <w:tcBorders>
              <w:top w:val="nil"/>
            </w:tcBorders>
            <w:vAlign w:val="top"/>
          </w:tcPr>
          <w:p w14:paraId="4A43A934">
            <w:pPr>
              <w:rPr>
                <w:rFonts w:ascii="Arial"/>
                <w:sz w:val="21"/>
              </w:rPr>
            </w:pPr>
          </w:p>
        </w:tc>
        <w:tc>
          <w:tcPr>
            <w:tcW w:w="822" w:type="dxa"/>
            <w:vMerge w:val="continue"/>
            <w:tcBorders>
              <w:top w:val="nil"/>
            </w:tcBorders>
            <w:vAlign w:val="top"/>
          </w:tcPr>
          <w:p w14:paraId="514BD6A5">
            <w:pPr>
              <w:rPr>
                <w:rFonts w:ascii="Arial"/>
                <w:sz w:val="21"/>
              </w:rPr>
            </w:pPr>
          </w:p>
        </w:tc>
      </w:tr>
    </w:tbl>
    <w:p w14:paraId="5CF23600">
      <w:pPr>
        <w:pStyle w:val="2"/>
        <w:spacing w:line="334" w:lineRule="auto"/>
      </w:pPr>
    </w:p>
    <w:p w14:paraId="0F510628">
      <w:pPr>
        <w:spacing w:before="78" w:line="374" w:lineRule="auto"/>
        <w:ind w:left="122" w:right="113" w:firstLine="481"/>
        <w:jc w:val="both"/>
        <w:rPr>
          <w:rFonts w:ascii="宋体" w:hAnsi="宋体" w:eastAsia="宋体" w:cs="宋体"/>
          <w:sz w:val="24"/>
          <w:szCs w:val="24"/>
        </w:rPr>
      </w:pPr>
      <w:r>
        <w:rPr>
          <w:rFonts w:ascii="宋体" w:hAnsi="宋体" w:eastAsia="宋体" w:cs="宋体"/>
          <w:spacing w:val="-4"/>
          <w:sz w:val="24"/>
          <w:szCs w:val="24"/>
        </w:rPr>
        <w:t>反推计算在围挡隔声后，</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37"/>
          <w:sz w:val="24"/>
          <w:szCs w:val="24"/>
        </w:rPr>
        <w:t xml:space="preserve"> </w:t>
      </w:r>
      <w:r>
        <w:rPr>
          <w:rFonts w:ascii="宋体" w:hAnsi="宋体" w:eastAsia="宋体" w:cs="宋体"/>
          <w:spacing w:val="-4"/>
          <w:sz w:val="24"/>
          <w:szCs w:val="24"/>
        </w:rPr>
        <w:t>台设备同时施工，当厂界的昼间噪声限值达到《建筑</w:t>
      </w:r>
      <w:r>
        <w:rPr>
          <w:rFonts w:ascii="宋体" w:hAnsi="宋体" w:eastAsia="宋体" w:cs="宋体"/>
          <w:sz w:val="24"/>
          <w:szCs w:val="24"/>
        </w:rPr>
        <w:t xml:space="preserve"> </w:t>
      </w:r>
      <w:r>
        <w:rPr>
          <w:rFonts w:ascii="宋体" w:hAnsi="宋体" w:eastAsia="宋体" w:cs="宋体"/>
          <w:spacing w:val="-1"/>
          <w:sz w:val="24"/>
          <w:szCs w:val="24"/>
        </w:rPr>
        <w:t>施工厂界环境噪声排放标准》（</w:t>
      </w:r>
      <w:r>
        <w:rPr>
          <w:rFonts w:ascii="Times New Roman" w:hAnsi="Times New Roman" w:eastAsia="Times New Roman" w:cs="Times New Roman"/>
          <w:spacing w:val="-1"/>
          <w:sz w:val="24"/>
          <w:szCs w:val="24"/>
        </w:rPr>
        <w:t>GB12523-2011</w:t>
      </w:r>
      <w:r>
        <w:rPr>
          <w:rFonts w:ascii="宋体" w:hAnsi="宋体" w:eastAsia="宋体" w:cs="宋体"/>
          <w:spacing w:val="-1"/>
          <w:sz w:val="24"/>
          <w:szCs w:val="24"/>
        </w:rPr>
        <w:t>）中昼间</w:t>
      </w:r>
      <w:r>
        <w:rPr>
          <w:rFonts w:ascii="Times New Roman" w:hAnsi="Times New Roman" w:eastAsia="Times New Roman" w:cs="Times New Roman"/>
          <w:spacing w:val="-1"/>
          <w:sz w:val="24"/>
          <w:szCs w:val="24"/>
        </w:rPr>
        <w:t>≤70dB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）时，</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28"/>
          <w:w w:val="101"/>
          <w:sz w:val="24"/>
          <w:szCs w:val="24"/>
        </w:rPr>
        <w:t xml:space="preserve"> </w:t>
      </w:r>
      <w:r>
        <w:rPr>
          <w:rFonts w:ascii="宋体" w:hAnsi="宋体" w:eastAsia="宋体" w:cs="宋体"/>
          <w:spacing w:val="-1"/>
          <w:sz w:val="24"/>
          <w:szCs w:val="24"/>
        </w:rPr>
        <w:t>台</w:t>
      </w:r>
      <w:r>
        <w:rPr>
          <w:rFonts w:ascii="宋体" w:hAnsi="宋体" w:eastAsia="宋体" w:cs="宋体"/>
          <w:spacing w:val="-2"/>
          <w:sz w:val="24"/>
          <w:szCs w:val="24"/>
        </w:rPr>
        <w:t>设备距</w:t>
      </w:r>
      <w:r>
        <w:rPr>
          <w:rFonts w:ascii="宋体" w:hAnsi="宋体" w:eastAsia="宋体" w:cs="宋体"/>
          <w:sz w:val="24"/>
          <w:szCs w:val="24"/>
        </w:rPr>
        <w:t xml:space="preserve"> </w:t>
      </w:r>
      <w:r>
        <w:rPr>
          <w:rFonts w:ascii="宋体" w:hAnsi="宋体" w:eastAsia="宋体" w:cs="宋体"/>
          <w:spacing w:val="-2"/>
          <w:sz w:val="24"/>
          <w:szCs w:val="24"/>
        </w:rPr>
        <w:t>离施工厂界的最近距离为</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50m</w:t>
      </w:r>
      <w:r>
        <w:rPr>
          <w:rFonts w:ascii="宋体" w:hAnsi="宋体" w:eastAsia="宋体" w:cs="宋体"/>
          <w:spacing w:val="-2"/>
          <w:sz w:val="24"/>
          <w:szCs w:val="24"/>
        </w:rPr>
        <w:t>。</w:t>
      </w:r>
    </w:p>
    <w:p w14:paraId="35F2F35F">
      <w:pPr>
        <w:spacing w:before="48" w:line="366" w:lineRule="auto"/>
        <w:ind w:left="122" w:right="113" w:firstLine="482"/>
        <w:jc w:val="both"/>
        <w:rPr>
          <w:rFonts w:ascii="宋体" w:hAnsi="宋体" w:eastAsia="宋体" w:cs="宋体"/>
          <w:sz w:val="24"/>
          <w:szCs w:val="24"/>
        </w:rPr>
      </w:pPr>
      <w:r>
        <w:rPr>
          <w:rFonts w:ascii="宋体" w:hAnsi="宋体" w:eastAsia="宋体" w:cs="宋体"/>
          <w:spacing w:val="2"/>
          <w:sz w:val="24"/>
          <w:szCs w:val="24"/>
        </w:rPr>
        <w:t>可见，在使用低噪型施工设备，且在施工场界周围设置围挡的情况下，还应保</w:t>
      </w:r>
      <w:r>
        <w:rPr>
          <w:rFonts w:ascii="宋体" w:hAnsi="宋体" w:eastAsia="宋体" w:cs="宋体"/>
          <w:spacing w:val="8"/>
          <w:sz w:val="24"/>
          <w:szCs w:val="24"/>
        </w:rPr>
        <w:t xml:space="preserve"> </w:t>
      </w:r>
      <w:r>
        <w:rPr>
          <w:rFonts w:ascii="宋体" w:hAnsi="宋体" w:eastAsia="宋体" w:cs="宋体"/>
          <w:spacing w:val="2"/>
          <w:sz w:val="24"/>
          <w:szCs w:val="24"/>
        </w:rPr>
        <w:t>证各施工设备与施工场界之间保持一定的距离，方能使其施工场界噪声达到《建筑</w:t>
      </w:r>
      <w:r>
        <w:rPr>
          <w:rFonts w:ascii="宋体" w:hAnsi="宋体" w:eastAsia="宋体" w:cs="宋体"/>
          <w:spacing w:val="7"/>
          <w:sz w:val="24"/>
          <w:szCs w:val="24"/>
        </w:rPr>
        <w:t xml:space="preserve"> </w:t>
      </w:r>
      <w:r>
        <w:rPr>
          <w:rFonts w:ascii="宋体" w:hAnsi="宋体" w:eastAsia="宋体" w:cs="宋体"/>
          <w:sz w:val="24"/>
          <w:szCs w:val="24"/>
        </w:rPr>
        <w:t>施工厂界环境噪声排放标准》（</w:t>
      </w:r>
      <w:r>
        <w:rPr>
          <w:rFonts w:ascii="Times New Roman" w:hAnsi="Times New Roman" w:eastAsia="Times New Roman" w:cs="Times New Roman"/>
          <w:sz w:val="24"/>
          <w:szCs w:val="24"/>
        </w:rPr>
        <w:t>GB12523</w:t>
      </w:r>
      <w:r>
        <w:rPr>
          <w:rFonts w:ascii="Times New Roman" w:hAnsi="Times New Roman" w:eastAsia="Times New Roman" w:cs="Times New Roman"/>
          <w:spacing w:val="-1"/>
          <w:sz w:val="24"/>
          <w:szCs w:val="24"/>
        </w:rPr>
        <w:t>-2011</w:t>
      </w:r>
      <w:r>
        <w:rPr>
          <w:rFonts w:ascii="宋体" w:hAnsi="宋体" w:eastAsia="宋体" w:cs="宋体"/>
          <w:spacing w:val="-1"/>
          <w:sz w:val="24"/>
          <w:szCs w:val="24"/>
        </w:rPr>
        <w:t>）中昼间</w:t>
      </w:r>
      <w:r>
        <w:rPr>
          <w:rFonts w:ascii="Times New Roman" w:hAnsi="Times New Roman" w:eastAsia="Times New Roman" w:cs="Times New Roman"/>
          <w:spacing w:val="-1"/>
          <w:sz w:val="24"/>
          <w:szCs w:val="24"/>
        </w:rPr>
        <w:t>≤70dB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）要求。</w:t>
      </w:r>
    </w:p>
    <w:p w14:paraId="32AE87E0">
      <w:pPr>
        <w:spacing w:line="361" w:lineRule="exact"/>
        <w:ind w:left="603"/>
        <w:rPr>
          <w:rFonts w:ascii="宋体" w:hAnsi="宋体" w:eastAsia="宋体" w:cs="宋体"/>
          <w:sz w:val="24"/>
          <w:szCs w:val="24"/>
        </w:rPr>
      </w:pPr>
      <w:r>
        <w:rPr>
          <w:rFonts w:ascii="Times New Roman" w:hAnsi="Times New Roman" w:eastAsia="Times New Roman" w:cs="Times New Roman"/>
          <w:spacing w:val="-3"/>
          <w:position w:val="2"/>
          <w:sz w:val="24"/>
          <w:szCs w:val="24"/>
        </w:rPr>
        <w:t>3</w:t>
      </w:r>
      <w:r>
        <w:rPr>
          <w:rFonts w:ascii="Times New Roman" w:hAnsi="Times New Roman" w:eastAsia="Times New Roman" w:cs="Times New Roman"/>
          <w:spacing w:val="-32"/>
          <w:position w:val="2"/>
          <w:sz w:val="24"/>
          <w:szCs w:val="24"/>
        </w:rPr>
        <w:t xml:space="preserve"> </w:t>
      </w:r>
      <w:r>
        <w:rPr>
          <w:rFonts w:ascii="宋体" w:hAnsi="宋体" w:eastAsia="宋体" w:cs="宋体"/>
          <w:spacing w:val="-3"/>
          <w:position w:val="2"/>
          <w:sz w:val="24"/>
          <w:szCs w:val="24"/>
        </w:rPr>
        <w:t>、施工期噪声影响防治措施</w:t>
      </w:r>
    </w:p>
    <w:p w14:paraId="4126E1C5">
      <w:pPr>
        <w:spacing w:before="165" w:line="369" w:lineRule="auto"/>
        <w:ind w:left="122" w:right="113" w:firstLine="510"/>
        <w:rPr>
          <w:rFonts w:ascii="宋体" w:hAnsi="宋体" w:eastAsia="宋体" w:cs="宋体"/>
          <w:sz w:val="24"/>
          <w:szCs w:val="24"/>
        </w:rPr>
      </w:pPr>
      <w:r>
        <w:rPr>
          <w:rFonts w:ascii="宋体" w:hAnsi="宋体" w:eastAsia="宋体" w:cs="宋体"/>
          <w:spacing w:val="1"/>
          <w:sz w:val="24"/>
          <w:szCs w:val="24"/>
        </w:rPr>
        <w:t>由施工期噪声影响分析可知，施工机械噪声对周边敏感点会产生一定的影响，</w:t>
      </w:r>
      <w:r>
        <w:rPr>
          <w:rFonts w:ascii="宋体" w:hAnsi="宋体" w:eastAsia="宋体" w:cs="宋体"/>
          <w:spacing w:val="15"/>
          <w:sz w:val="24"/>
          <w:szCs w:val="24"/>
        </w:rPr>
        <w:t xml:space="preserve"> </w:t>
      </w:r>
      <w:r>
        <w:rPr>
          <w:rFonts w:ascii="宋体" w:hAnsi="宋体" w:eastAsia="宋体" w:cs="宋体"/>
          <w:spacing w:val="2"/>
          <w:sz w:val="24"/>
          <w:szCs w:val="24"/>
        </w:rPr>
        <w:t>施工单位应加强施工管理并采取一系列噪声污染防治措施，尽量降低施工期噪声对</w:t>
      </w:r>
      <w:r>
        <w:rPr>
          <w:rFonts w:ascii="宋体" w:hAnsi="宋体" w:eastAsia="宋体" w:cs="宋体"/>
          <w:spacing w:val="7"/>
          <w:sz w:val="24"/>
          <w:szCs w:val="24"/>
        </w:rPr>
        <w:t xml:space="preserve"> </w:t>
      </w:r>
      <w:r>
        <w:rPr>
          <w:rFonts w:ascii="宋体" w:hAnsi="宋体" w:eastAsia="宋体" w:cs="宋体"/>
          <w:spacing w:val="2"/>
          <w:sz w:val="24"/>
          <w:szCs w:val="24"/>
        </w:rPr>
        <w:t>敏感点的影响。为最大程度减少对周边敏感目标及环境的噪声影响，建议建设单位</w:t>
      </w:r>
      <w:r>
        <w:rPr>
          <w:rFonts w:ascii="宋体" w:hAnsi="宋体" w:eastAsia="宋体" w:cs="宋体"/>
          <w:spacing w:val="7"/>
          <w:sz w:val="24"/>
          <w:szCs w:val="24"/>
        </w:rPr>
        <w:t xml:space="preserve"> </w:t>
      </w:r>
      <w:r>
        <w:rPr>
          <w:rFonts w:ascii="宋体" w:hAnsi="宋体" w:eastAsia="宋体" w:cs="宋体"/>
          <w:spacing w:val="-2"/>
          <w:sz w:val="24"/>
          <w:szCs w:val="24"/>
        </w:rPr>
        <w:t>按以下要求执行：</w:t>
      </w:r>
    </w:p>
    <w:p w14:paraId="4E615292">
      <w:pPr>
        <w:spacing w:before="2" w:line="366" w:lineRule="auto"/>
        <w:ind w:left="141" w:right="108" w:firstLine="47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）施工现场应遵照《建筑施工场界环境噪声排放标准》</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GBl</w:t>
      </w:r>
      <w:r>
        <w:rPr>
          <w:rFonts w:ascii="Times New Roman" w:hAnsi="Times New Roman" w:eastAsia="Times New Roman" w:cs="Times New Roman"/>
          <w:spacing w:val="1"/>
          <w:sz w:val="24"/>
          <w:szCs w:val="24"/>
        </w:rPr>
        <w:t>2523</w:t>
      </w:r>
      <w:r>
        <w:rPr>
          <w:rFonts w:ascii="Times New Roman" w:hAnsi="Times New Roman" w:eastAsia="Times New Roman" w:cs="Times New Roman"/>
          <w:sz w:val="24"/>
          <w:szCs w:val="24"/>
        </w:rPr>
        <w:t>-2011)</w:t>
      </w:r>
      <w:r>
        <w:rPr>
          <w:rFonts w:ascii="宋体" w:hAnsi="宋体" w:eastAsia="宋体" w:cs="宋体"/>
          <w:sz w:val="24"/>
          <w:szCs w:val="24"/>
        </w:rPr>
        <w:t xml:space="preserve">指定 </w:t>
      </w:r>
      <w:r>
        <w:rPr>
          <w:rFonts w:ascii="宋体" w:hAnsi="宋体" w:eastAsia="宋体" w:cs="宋体"/>
          <w:spacing w:val="-6"/>
          <w:sz w:val="24"/>
          <w:szCs w:val="24"/>
        </w:rPr>
        <w:t>降噪制度。</w:t>
      </w:r>
    </w:p>
    <w:p w14:paraId="79168799">
      <w:pPr>
        <w:spacing w:line="366" w:lineRule="auto"/>
        <w:rPr>
          <w:rFonts w:ascii="宋体" w:hAnsi="宋体" w:eastAsia="宋体" w:cs="宋体"/>
          <w:sz w:val="24"/>
          <w:szCs w:val="24"/>
        </w:rPr>
        <w:sectPr>
          <w:footerReference r:id="rId126" w:type="default"/>
          <w:pgSz w:w="11906" w:h="16839"/>
          <w:pgMar w:top="400" w:right="1475" w:bottom="1485" w:left="1475" w:header="0" w:footer="1249" w:gutter="0"/>
          <w:cols w:space="720" w:num="1"/>
        </w:sectPr>
      </w:pPr>
    </w:p>
    <w:p w14:paraId="6D8041BF">
      <w:pPr>
        <w:pStyle w:val="2"/>
        <w:spacing w:line="256" w:lineRule="auto"/>
      </w:pPr>
    </w:p>
    <w:p w14:paraId="613315A9">
      <w:pPr>
        <w:pStyle w:val="2"/>
        <w:spacing w:line="256" w:lineRule="auto"/>
      </w:pPr>
    </w:p>
    <w:p w14:paraId="6F6EBC63">
      <w:pPr>
        <w:pStyle w:val="2"/>
        <w:spacing w:line="256" w:lineRule="auto"/>
      </w:pPr>
    </w:p>
    <w:p w14:paraId="089EBEDB">
      <w:pPr>
        <w:pStyle w:val="2"/>
        <w:spacing w:line="256" w:lineRule="auto"/>
      </w:pPr>
    </w:p>
    <w:p w14:paraId="6F51E1D7">
      <w:pPr>
        <w:spacing w:before="78" w:line="350" w:lineRule="auto"/>
        <w:ind w:left="1" w:right="73"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）强化午间及夜间施工噪声管理。严格按照《中华人民共和国环境噪声污染</w:t>
      </w:r>
      <w:r>
        <w:rPr>
          <w:rFonts w:ascii="宋体" w:hAnsi="宋体" w:eastAsia="宋体" w:cs="宋体"/>
          <w:spacing w:val="16"/>
          <w:sz w:val="24"/>
          <w:szCs w:val="24"/>
        </w:rPr>
        <w:t xml:space="preserve"> </w:t>
      </w:r>
      <w:r>
        <w:rPr>
          <w:rFonts w:ascii="宋体" w:hAnsi="宋体" w:eastAsia="宋体" w:cs="宋体"/>
          <w:spacing w:val="1"/>
          <w:sz w:val="24"/>
          <w:szCs w:val="24"/>
        </w:rPr>
        <w:t>防治规定》中对建筑施工的有关管理规定和要求，严禁在中午</w:t>
      </w:r>
      <w:r>
        <w:rPr>
          <w:rFonts w:ascii="Times New Roman" w:hAnsi="Times New Roman" w:eastAsia="Times New Roman" w:cs="Times New Roman"/>
          <w:sz w:val="24"/>
          <w:szCs w:val="24"/>
        </w:rPr>
        <w:t>(12:00</w:t>
      </w:r>
      <w:r>
        <w:rPr>
          <w:rFonts w:ascii="宋体" w:hAnsi="宋体" w:eastAsia="宋体" w:cs="宋体"/>
          <w:sz w:val="24"/>
          <w:szCs w:val="24"/>
        </w:rPr>
        <w:t>～</w:t>
      </w:r>
      <w:r>
        <w:rPr>
          <w:rFonts w:ascii="Times New Roman" w:hAnsi="Times New Roman" w:eastAsia="Times New Roman" w:cs="Times New Roman"/>
          <w:sz w:val="24"/>
          <w:szCs w:val="24"/>
        </w:rPr>
        <w:t>14:00)</w:t>
      </w:r>
      <w:r>
        <w:rPr>
          <w:rFonts w:ascii="宋体" w:hAnsi="宋体" w:eastAsia="宋体" w:cs="宋体"/>
          <w:sz w:val="24"/>
          <w:szCs w:val="24"/>
        </w:rPr>
        <w:t xml:space="preserve">和夜间 </w:t>
      </w:r>
      <w:r>
        <w:rPr>
          <w:rFonts w:ascii="Times New Roman" w:hAnsi="Times New Roman" w:eastAsia="Times New Roman" w:cs="Times New Roman"/>
          <w:spacing w:val="-1"/>
          <w:sz w:val="24"/>
          <w:szCs w:val="24"/>
        </w:rPr>
        <w:t>(22:00</w:t>
      </w:r>
      <w:r>
        <w:rPr>
          <w:rFonts w:ascii="宋体" w:hAnsi="宋体" w:eastAsia="宋体" w:cs="宋体"/>
          <w:spacing w:val="-1"/>
          <w:sz w:val="24"/>
          <w:szCs w:val="24"/>
        </w:rPr>
        <w:t xml:space="preserve">～次日早上 </w:t>
      </w:r>
      <w:r>
        <w:rPr>
          <w:rFonts w:ascii="Times New Roman" w:hAnsi="Times New Roman" w:eastAsia="Times New Roman" w:cs="Times New Roman"/>
          <w:spacing w:val="-1"/>
          <w:sz w:val="24"/>
          <w:szCs w:val="24"/>
        </w:rPr>
        <w:t>6:00)</w:t>
      </w:r>
      <w:r>
        <w:rPr>
          <w:rFonts w:ascii="宋体" w:hAnsi="宋体" w:eastAsia="宋体" w:cs="宋体"/>
          <w:spacing w:val="-1"/>
          <w:sz w:val="24"/>
          <w:szCs w:val="24"/>
        </w:rPr>
        <w:t>期间作业，本项目不允许在中午</w:t>
      </w:r>
      <w:r>
        <w:rPr>
          <w:rFonts w:ascii="宋体" w:hAnsi="宋体" w:eastAsia="宋体" w:cs="宋体"/>
          <w:spacing w:val="-14"/>
          <w:sz w:val="24"/>
          <w:szCs w:val="24"/>
        </w:rPr>
        <w:t xml:space="preserve"> </w:t>
      </w:r>
      <w:r>
        <w:rPr>
          <w:rFonts w:ascii="Times New Roman" w:hAnsi="Times New Roman" w:eastAsia="Times New Roman" w:cs="Times New Roman"/>
          <w:spacing w:val="-1"/>
          <w:sz w:val="24"/>
          <w:szCs w:val="24"/>
        </w:rPr>
        <w:t>12:00</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14:00 </w:t>
      </w:r>
      <w:r>
        <w:rPr>
          <w:rFonts w:ascii="宋体" w:hAnsi="宋体" w:eastAsia="宋体" w:cs="宋体"/>
          <w:spacing w:val="-1"/>
          <w:sz w:val="24"/>
          <w:szCs w:val="24"/>
        </w:rPr>
        <w:t>及晚上</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22:00~</w:t>
      </w:r>
      <w:r>
        <w:rPr>
          <w:rFonts w:ascii="Times New Roman" w:hAnsi="Times New Roman" w:eastAsia="Times New Roman" w:cs="Times New Roman"/>
          <w:sz w:val="24"/>
          <w:szCs w:val="24"/>
        </w:rPr>
        <w:t xml:space="preserve"> </w:t>
      </w:r>
      <w:r>
        <w:rPr>
          <w:rFonts w:ascii="宋体" w:hAnsi="宋体" w:eastAsia="宋体" w:cs="宋体"/>
          <w:spacing w:val="1"/>
          <w:sz w:val="24"/>
          <w:szCs w:val="24"/>
        </w:rPr>
        <w:t>次日</w:t>
      </w:r>
      <w:r>
        <w:rPr>
          <w:rFonts w:ascii="Times New Roman" w:hAnsi="Times New Roman" w:eastAsia="Times New Roman" w:cs="Times New Roman"/>
          <w:spacing w:val="1"/>
          <w:sz w:val="24"/>
          <w:szCs w:val="24"/>
        </w:rPr>
        <w:t>6:00</w:t>
      </w:r>
      <w:r>
        <w:rPr>
          <w:rFonts w:ascii="Times New Roman" w:hAnsi="Times New Roman" w:eastAsia="Times New Roman" w:cs="Times New Roman"/>
          <w:spacing w:val="39"/>
          <w:sz w:val="24"/>
          <w:szCs w:val="24"/>
        </w:rPr>
        <w:t xml:space="preserve"> </w:t>
      </w:r>
      <w:r>
        <w:rPr>
          <w:rFonts w:ascii="宋体" w:hAnsi="宋体" w:eastAsia="宋体" w:cs="宋体"/>
          <w:spacing w:val="1"/>
          <w:sz w:val="24"/>
          <w:szCs w:val="24"/>
        </w:rPr>
        <w:t>内施工，因特殊需要延续施工时间的，应尽量采取降噪措施</w:t>
      </w:r>
      <w:r>
        <w:rPr>
          <w:rFonts w:ascii="宋体" w:hAnsi="宋体" w:eastAsia="宋体" w:cs="宋体"/>
          <w:sz w:val="24"/>
          <w:szCs w:val="24"/>
        </w:rPr>
        <w:t xml:space="preserve">，做好周围群 </w:t>
      </w:r>
      <w:r>
        <w:rPr>
          <w:rFonts w:ascii="宋体" w:hAnsi="宋体" w:eastAsia="宋体" w:cs="宋体"/>
          <w:spacing w:val="-1"/>
          <w:sz w:val="24"/>
          <w:szCs w:val="24"/>
        </w:rPr>
        <w:t>众工作，并报工地所在区或市环保局批准后方可施工。</w:t>
      </w:r>
    </w:p>
    <w:p w14:paraId="14E30649">
      <w:pPr>
        <w:spacing w:before="167" w:line="311" w:lineRule="auto"/>
        <w:ind w:left="16" w:right="15" w:firstLine="476"/>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）从声源上控制：①选用低噪声、低振动设备；②</w:t>
      </w:r>
      <w:r>
        <w:rPr>
          <w:rFonts w:ascii="宋体" w:hAnsi="宋体" w:eastAsia="宋体" w:cs="宋体"/>
          <w:spacing w:val="-7"/>
          <w:sz w:val="24"/>
          <w:szCs w:val="24"/>
        </w:rPr>
        <w:t>改善施工方法和操作方法，</w:t>
      </w:r>
      <w:r>
        <w:rPr>
          <w:rFonts w:ascii="宋体" w:hAnsi="宋体" w:eastAsia="宋体" w:cs="宋体"/>
          <w:sz w:val="24"/>
          <w:szCs w:val="24"/>
        </w:rPr>
        <w:t xml:space="preserve"> </w:t>
      </w:r>
      <w:r>
        <w:rPr>
          <w:rFonts w:ascii="宋体" w:hAnsi="宋体" w:eastAsia="宋体" w:cs="宋体"/>
          <w:spacing w:val="-1"/>
          <w:sz w:val="24"/>
          <w:szCs w:val="24"/>
        </w:rPr>
        <w:t>防止产生高噪声、高振动；③对设备采取消声减振措施。</w:t>
      </w:r>
    </w:p>
    <w:p w14:paraId="1AE8D827">
      <w:pPr>
        <w:spacing w:before="168" w:line="312" w:lineRule="auto"/>
        <w:ind w:left="1" w:right="78"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）对工人和司机进行环保教育，不得喧</w:t>
      </w:r>
      <w:r>
        <w:rPr>
          <w:rFonts w:ascii="宋体" w:hAnsi="宋体" w:eastAsia="宋体" w:cs="宋体"/>
          <w:spacing w:val="-2"/>
          <w:sz w:val="24"/>
          <w:szCs w:val="24"/>
        </w:rPr>
        <w:t>哗，禁止按喇叭，散料装卸车时应轻</w:t>
      </w:r>
      <w:r>
        <w:rPr>
          <w:rFonts w:ascii="宋体" w:hAnsi="宋体" w:eastAsia="宋体" w:cs="宋体"/>
          <w:sz w:val="24"/>
          <w:szCs w:val="24"/>
        </w:rPr>
        <w:t xml:space="preserve"> </w:t>
      </w:r>
      <w:r>
        <w:rPr>
          <w:rFonts w:ascii="宋体" w:hAnsi="宋体" w:eastAsia="宋体" w:cs="宋体"/>
          <w:spacing w:val="-1"/>
          <w:sz w:val="24"/>
          <w:szCs w:val="24"/>
        </w:rPr>
        <w:t>装慢放，减少散料冲出车厢发出的声响。</w:t>
      </w:r>
    </w:p>
    <w:p w14:paraId="5CA26463">
      <w:pPr>
        <w:spacing w:before="203" w:line="219" w:lineRule="auto"/>
        <w:ind w:left="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）车辆噪声采取保持技术状态完好和适当减低速度的方法进行控制。</w:t>
      </w:r>
    </w:p>
    <w:p w14:paraId="408EAADB">
      <w:pPr>
        <w:spacing w:before="167" w:line="361" w:lineRule="exact"/>
        <w:ind w:left="492"/>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6</w:t>
      </w:r>
      <w:r>
        <w:rPr>
          <w:rFonts w:ascii="宋体" w:hAnsi="宋体" w:eastAsia="宋体" w:cs="宋体"/>
          <w:spacing w:val="-1"/>
          <w:position w:val="2"/>
          <w:sz w:val="24"/>
          <w:szCs w:val="24"/>
        </w:rPr>
        <w:t>）将施工高噪声设备尽量远离边界，并避免高噪声设备同时运行。</w:t>
      </w:r>
    </w:p>
    <w:p w14:paraId="5CBEA5AF">
      <w:pPr>
        <w:spacing w:before="130" w:line="334" w:lineRule="auto"/>
        <w:ind w:left="1" w:right="81" w:firstLine="49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）必须在施工场址边界设立围蔽设施，高</w:t>
      </w:r>
      <w:r>
        <w:rPr>
          <w:rFonts w:ascii="宋体" w:hAnsi="宋体" w:eastAsia="宋体" w:cs="宋体"/>
          <w:spacing w:val="2"/>
          <w:sz w:val="24"/>
          <w:szCs w:val="24"/>
        </w:rPr>
        <w:t>度不应小于</w:t>
      </w:r>
      <w:r>
        <w:rPr>
          <w:rFonts w:ascii="Times New Roman" w:hAnsi="Times New Roman" w:eastAsia="Times New Roman" w:cs="Times New Roman"/>
          <w:spacing w:val="2"/>
          <w:sz w:val="24"/>
          <w:szCs w:val="24"/>
        </w:rPr>
        <w:t>2m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，在施工环境敏感</w:t>
      </w:r>
      <w:r>
        <w:rPr>
          <w:rFonts w:ascii="宋体" w:hAnsi="宋体" w:eastAsia="宋体" w:cs="宋体"/>
          <w:sz w:val="24"/>
          <w:szCs w:val="24"/>
        </w:rPr>
        <w:t xml:space="preserve"> </w:t>
      </w:r>
      <w:r>
        <w:rPr>
          <w:rFonts w:ascii="宋体" w:hAnsi="宋体" w:eastAsia="宋体" w:cs="宋体"/>
          <w:spacing w:val="2"/>
          <w:sz w:val="24"/>
          <w:szCs w:val="24"/>
        </w:rPr>
        <w:t>点附近进行高噪声施工时必须设立移动式隔声屏障，降低施工噪声对敏感点造成的</w:t>
      </w:r>
      <w:r>
        <w:rPr>
          <w:rFonts w:ascii="宋体" w:hAnsi="宋体" w:eastAsia="宋体" w:cs="宋体"/>
          <w:spacing w:val="6"/>
          <w:sz w:val="24"/>
          <w:szCs w:val="24"/>
        </w:rPr>
        <w:t xml:space="preserve"> </w:t>
      </w:r>
      <w:r>
        <w:rPr>
          <w:rFonts w:ascii="宋体" w:hAnsi="宋体" w:eastAsia="宋体" w:cs="宋体"/>
          <w:spacing w:val="-4"/>
          <w:sz w:val="24"/>
          <w:szCs w:val="24"/>
        </w:rPr>
        <w:t>影响。</w:t>
      </w:r>
    </w:p>
    <w:p w14:paraId="2A736100">
      <w:pPr>
        <w:spacing w:before="165" w:line="333" w:lineRule="auto"/>
        <w:ind w:left="3" w:right="78" w:firstLine="48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）根据《中华人民共和国环境噪声污染</w:t>
      </w:r>
      <w:r>
        <w:rPr>
          <w:rFonts w:ascii="宋体" w:hAnsi="宋体" w:eastAsia="宋体" w:cs="宋体"/>
          <w:spacing w:val="-2"/>
          <w:sz w:val="24"/>
          <w:szCs w:val="24"/>
        </w:rPr>
        <w:t>防治法》的规定，如采取了降噪措施</w:t>
      </w:r>
      <w:r>
        <w:rPr>
          <w:rFonts w:ascii="宋体" w:hAnsi="宋体" w:eastAsia="宋体" w:cs="宋体"/>
          <w:sz w:val="24"/>
          <w:szCs w:val="24"/>
        </w:rPr>
        <w:t xml:space="preserve"> </w:t>
      </w:r>
      <w:r>
        <w:rPr>
          <w:rFonts w:ascii="宋体" w:hAnsi="宋体" w:eastAsia="宋体" w:cs="宋体"/>
          <w:spacing w:val="2"/>
          <w:sz w:val="24"/>
          <w:szCs w:val="24"/>
        </w:rPr>
        <w:t>后仍不能达到排放限值要求的，特别是夜间施工噪声发生扰民现象时，施工单位应</w:t>
      </w:r>
      <w:r>
        <w:rPr>
          <w:rFonts w:ascii="宋体" w:hAnsi="宋体" w:eastAsia="宋体" w:cs="宋体"/>
          <w:spacing w:val="4"/>
          <w:sz w:val="24"/>
          <w:szCs w:val="24"/>
        </w:rPr>
        <w:t xml:space="preserve"> </w:t>
      </w:r>
      <w:r>
        <w:rPr>
          <w:rFonts w:ascii="宋体" w:hAnsi="宋体" w:eastAsia="宋体" w:cs="宋体"/>
          <w:spacing w:val="-1"/>
          <w:sz w:val="24"/>
          <w:szCs w:val="24"/>
        </w:rPr>
        <w:t>向受影响的组织或个人致歉并给与赔偿。</w:t>
      </w:r>
    </w:p>
    <w:p w14:paraId="20ACF01B">
      <w:pPr>
        <w:spacing w:before="204" w:line="387" w:lineRule="auto"/>
        <w:ind w:left="3" w:firstLine="480"/>
        <w:rPr>
          <w:rFonts w:ascii="宋体" w:hAnsi="宋体" w:eastAsia="宋体" w:cs="宋体"/>
          <w:sz w:val="24"/>
          <w:szCs w:val="24"/>
        </w:rPr>
      </w:pPr>
      <w:r>
        <w:rPr>
          <w:rFonts w:ascii="宋体" w:hAnsi="宋体" w:eastAsia="宋体" w:cs="宋体"/>
          <w:spacing w:val="2"/>
          <w:sz w:val="24"/>
          <w:szCs w:val="24"/>
        </w:rPr>
        <w:t>建设单位采取以上措施后，能使施工场界达到《建筑施工厂界环境噪声排放标</w:t>
      </w:r>
      <w:r>
        <w:rPr>
          <w:rFonts w:ascii="宋体" w:hAnsi="宋体" w:eastAsia="宋体" w:cs="宋体"/>
          <w:spacing w:val="7"/>
          <w:sz w:val="24"/>
          <w:szCs w:val="24"/>
        </w:rPr>
        <w:t xml:space="preserve"> </w:t>
      </w:r>
      <w:r>
        <w:rPr>
          <w:rFonts w:ascii="宋体" w:hAnsi="宋体" w:eastAsia="宋体" w:cs="宋体"/>
          <w:spacing w:val="-5"/>
          <w:sz w:val="24"/>
          <w:szCs w:val="24"/>
        </w:rPr>
        <w:t>准》（</w:t>
      </w:r>
      <w:r>
        <w:rPr>
          <w:rFonts w:ascii="Times New Roman" w:hAnsi="Times New Roman" w:eastAsia="Times New Roman" w:cs="Times New Roman"/>
          <w:spacing w:val="-5"/>
          <w:sz w:val="24"/>
          <w:szCs w:val="24"/>
        </w:rPr>
        <w:t>GB12523-2011</w:t>
      </w:r>
      <w:r>
        <w:rPr>
          <w:rFonts w:ascii="宋体" w:hAnsi="宋体" w:eastAsia="宋体" w:cs="宋体"/>
          <w:spacing w:val="-5"/>
          <w:sz w:val="24"/>
          <w:szCs w:val="24"/>
        </w:rPr>
        <w:t>）中昼间</w:t>
      </w:r>
      <w:r>
        <w:rPr>
          <w:rFonts w:ascii="Times New Roman" w:hAnsi="Times New Roman" w:eastAsia="Times New Roman" w:cs="Times New Roman"/>
          <w:spacing w:val="-5"/>
          <w:sz w:val="24"/>
          <w:szCs w:val="24"/>
        </w:rPr>
        <w:t>≤70dB</w:t>
      </w:r>
      <w:r>
        <w:rPr>
          <w:rFonts w:ascii="宋体" w:hAnsi="宋体" w:eastAsia="宋体" w:cs="宋体"/>
          <w:spacing w:val="-5"/>
          <w:sz w:val="24"/>
          <w:szCs w:val="24"/>
        </w:rPr>
        <w:t>（</w:t>
      </w:r>
      <w:r>
        <w:rPr>
          <w:rFonts w:ascii="Times New Roman" w:hAnsi="Times New Roman" w:eastAsia="Times New Roman" w:cs="Times New Roman"/>
          <w:spacing w:val="-5"/>
          <w:sz w:val="24"/>
          <w:szCs w:val="24"/>
        </w:rPr>
        <w:t>A</w:t>
      </w:r>
      <w:r>
        <w:rPr>
          <w:rFonts w:ascii="宋体" w:hAnsi="宋体" w:eastAsia="宋体" w:cs="宋体"/>
          <w:spacing w:val="-5"/>
          <w:sz w:val="24"/>
          <w:szCs w:val="24"/>
        </w:rPr>
        <w:t>）限值要求，对周边</w:t>
      </w:r>
      <w:r>
        <w:rPr>
          <w:rFonts w:ascii="宋体" w:hAnsi="宋体" w:eastAsia="宋体" w:cs="宋体"/>
          <w:spacing w:val="-6"/>
          <w:sz w:val="24"/>
          <w:szCs w:val="24"/>
        </w:rPr>
        <w:t>及敏感点造成影响较小。</w:t>
      </w:r>
    </w:p>
    <w:p w14:paraId="1FC299DE">
      <w:pPr>
        <w:spacing w:before="269" w:line="221"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5.1.5</w:t>
      </w:r>
      <w:r>
        <w:rPr>
          <w:rFonts w:ascii="宋体" w:hAnsi="宋体" w:eastAsia="宋体" w:cs="宋体"/>
          <w:b/>
          <w:bCs/>
          <w:spacing w:val="-2"/>
          <w:sz w:val="24"/>
          <w:szCs w:val="24"/>
        </w:rPr>
        <w:t>施工期固体废物影响分析</w:t>
      </w:r>
    </w:p>
    <w:p w14:paraId="03A50B5D">
      <w:pPr>
        <w:pStyle w:val="2"/>
        <w:spacing w:line="276" w:lineRule="auto"/>
      </w:pPr>
    </w:p>
    <w:p w14:paraId="135CA939">
      <w:pPr>
        <w:spacing w:before="79" w:line="221" w:lineRule="auto"/>
        <w:ind w:left="480"/>
        <w:rPr>
          <w:rFonts w:ascii="宋体" w:hAnsi="宋体" w:eastAsia="宋体" w:cs="宋体"/>
          <w:sz w:val="24"/>
          <w:szCs w:val="24"/>
        </w:rPr>
      </w:pPr>
      <w:r>
        <w:rPr>
          <w:rFonts w:ascii="宋体" w:hAnsi="宋体" w:eastAsia="宋体" w:cs="宋体"/>
          <w:spacing w:val="-1"/>
          <w:sz w:val="24"/>
          <w:szCs w:val="24"/>
        </w:rPr>
        <w:t>施工期间的固体废物主要是建筑垃圾和施工人员的生活垃圾。</w:t>
      </w:r>
    </w:p>
    <w:p w14:paraId="523A0FBE">
      <w:pPr>
        <w:spacing w:before="167" w:line="361" w:lineRule="exact"/>
        <w:ind w:left="499"/>
        <w:rPr>
          <w:rFonts w:ascii="宋体" w:hAnsi="宋体" w:eastAsia="宋体" w:cs="宋体"/>
          <w:sz w:val="24"/>
          <w:szCs w:val="24"/>
        </w:rPr>
      </w:pPr>
      <w:r>
        <w:rPr>
          <w:rFonts w:ascii="Times New Roman" w:hAnsi="Times New Roman" w:eastAsia="Times New Roman" w:cs="Times New Roman"/>
          <w:spacing w:val="-10"/>
          <w:position w:val="2"/>
          <w:sz w:val="24"/>
          <w:szCs w:val="24"/>
        </w:rPr>
        <w:t>1</w:t>
      </w:r>
      <w:r>
        <w:rPr>
          <w:rFonts w:ascii="Times New Roman" w:hAnsi="Times New Roman" w:eastAsia="Times New Roman" w:cs="Times New Roman"/>
          <w:spacing w:val="-30"/>
          <w:position w:val="2"/>
          <w:sz w:val="24"/>
          <w:szCs w:val="24"/>
        </w:rPr>
        <w:t xml:space="preserve"> </w:t>
      </w:r>
      <w:r>
        <w:rPr>
          <w:rFonts w:ascii="宋体" w:hAnsi="宋体" w:eastAsia="宋体" w:cs="宋体"/>
          <w:spacing w:val="-10"/>
          <w:position w:val="2"/>
          <w:sz w:val="24"/>
          <w:szCs w:val="24"/>
        </w:rPr>
        <w:t>、建筑垃圾</w:t>
      </w:r>
    </w:p>
    <w:p w14:paraId="1E31BB74">
      <w:pPr>
        <w:spacing w:before="163" w:line="376" w:lineRule="auto"/>
        <w:ind w:left="28" w:right="17" w:firstLine="451"/>
        <w:rPr>
          <w:rFonts w:ascii="宋体" w:hAnsi="宋体" w:eastAsia="宋体" w:cs="宋体"/>
          <w:sz w:val="24"/>
          <w:szCs w:val="24"/>
        </w:rPr>
      </w:pPr>
      <w:r>
        <w:rPr>
          <w:rFonts w:ascii="宋体" w:hAnsi="宋体" w:eastAsia="宋体" w:cs="宋体"/>
          <w:spacing w:val="-3"/>
          <w:sz w:val="24"/>
          <w:szCs w:val="24"/>
        </w:rPr>
        <w:t>施工期间建筑工地会产生大量余泥、渣土、地表开挖的淤泥、施工剩余废物料，</w:t>
      </w:r>
      <w:r>
        <w:rPr>
          <w:rFonts w:ascii="宋体" w:hAnsi="宋体" w:eastAsia="宋体" w:cs="宋体"/>
          <w:spacing w:val="7"/>
          <w:sz w:val="24"/>
          <w:szCs w:val="24"/>
        </w:rPr>
        <w:t xml:space="preserve"> </w:t>
      </w:r>
      <w:r>
        <w:rPr>
          <w:rFonts w:ascii="宋体" w:hAnsi="宋体" w:eastAsia="宋体" w:cs="宋体"/>
          <w:spacing w:val="-2"/>
          <w:sz w:val="24"/>
          <w:szCs w:val="24"/>
        </w:rPr>
        <w:t>以及在运输过程中，车辆若不注意清洁运输而沿途撒落的尘土。</w:t>
      </w:r>
    </w:p>
    <w:p w14:paraId="584D7A89">
      <w:pPr>
        <w:spacing w:line="219" w:lineRule="auto"/>
        <w:ind w:left="480"/>
        <w:rPr>
          <w:rFonts w:ascii="宋体" w:hAnsi="宋体" w:eastAsia="宋体" w:cs="宋体"/>
          <w:sz w:val="24"/>
          <w:szCs w:val="24"/>
        </w:rPr>
      </w:pPr>
      <w:r>
        <w:rPr>
          <w:rFonts w:ascii="宋体" w:hAnsi="宋体" w:eastAsia="宋体" w:cs="宋体"/>
          <w:spacing w:val="-1"/>
          <w:sz w:val="24"/>
          <w:szCs w:val="24"/>
        </w:rPr>
        <w:t>施工期建筑垃圾产生量采用建筑面积发展预测，预测模型为：</w:t>
      </w:r>
    </w:p>
    <w:p w14:paraId="40C61456">
      <w:pPr>
        <w:spacing w:before="170" w:line="314" w:lineRule="exact"/>
        <w:ind w:left="4163"/>
        <w:outlineLvl w:val="0"/>
        <w:rPr>
          <w:rFonts w:ascii="Times New Roman" w:hAnsi="Times New Roman" w:eastAsia="Times New Roman" w:cs="Times New Roman"/>
          <w:sz w:val="15"/>
          <w:szCs w:val="15"/>
        </w:rPr>
      </w:pPr>
      <w:r>
        <w:rPr>
          <w:rFonts w:ascii="Times New Roman" w:hAnsi="Times New Roman" w:eastAsia="Times New Roman" w:cs="Times New Roman"/>
          <w:position w:val="4"/>
          <w:sz w:val="24"/>
          <w:szCs w:val="24"/>
        </w:rPr>
        <w:t>J</w:t>
      </w:r>
      <w:r>
        <w:rPr>
          <w:rFonts w:ascii="Times New Roman" w:hAnsi="Times New Roman" w:eastAsia="Times New Roman" w:cs="Times New Roman"/>
          <w:position w:val="3"/>
          <w:sz w:val="15"/>
          <w:szCs w:val="15"/>
        </w:rPr>
        <w:t>s</w:t>
      </w:r>
      <w:r>
        <w:rPr>
          <w:rFonts w:ascii="Times New Roman" w:hAnsi="Times New Roman" w:eastAsia="Times New Roman" w:cs="Times New Roman"/>
          <w:position w:val="4"/>
          <w:sz w:val="24"/>
          <w:szCs w:val="24"/>
        </w:rPr>
        <w:t>=Q</w:t>
      </w:r>
      <w:r>
        <w:rPr>
          <w:rFonts w:ascii="Times New Roman" w:hAnsi="Times New Roman" w:eastAsia="Times New Roman" w:cs="Times New Roman"/>
          <w:position w:val="4"/>
          <w:sz w:val="15"/>
          <w:szCs w:val="15"/>
        </w:rPr>
        <w:t>s</w:t>
      </w:r>
      <w:r>
        <w:rPr>
          <w:rFonts w:ascii="Times New Roman" w:hAnsi="Times New Roman" w:eastAsia="Times New Roman" w:cs="Times New Roman"/>
          <w:position w:val="4"/>
          <w:sz w:val="24"/>
          <w:szCs w:val="24"/>
        </w:rPr>
        <w:t>×C</w:t>
      </w:r>
      <w:r>
        <w:rPr>
          <w:rFonts w:ascii="Times New Roman" w:hAnsi="Times New Roman" w:eastAsia="Times New Roman" w:cs="Times New Roman"/>
          <w:position w:val="3"/>
          <w:sz w:val="15"/>
          <w:szCs w:val="15"/>
        </w:rPr>
        <w:t>s</w:t>
      </w:r>
    </w:p>
    <w:p w14:paraId="364097E4">
      <w:pPr>
        <w:spacing w:before="211" w:line="220" w:lineRule="auto"/>
        <w:ind w:left="486"/>
        <w:rPr>
          <w:rFonts w:ascii="宋体" w:hAnsi="宋体" w:eastAsia="宋体" w:cs="宋体"/>
          <w:sz w:val="24"/>
          <w:szCs w:val="24"/>
        </w:rPr>
      </w:pPr>
      <w:r>
        <w:rPr>
          <w:rFonts w:ascii="宋体" w:hAnsi="宋体" w:eastAsia="宋体" w:cs="宋体"/>
          <w:spacing w:val="-1"/>
          <w:sz w:val="24"/>
          <w:szCs w:val="24"/>
        </w:rPr>
        <w:t xml:space="preserve">式中： </w:t>
      </w:r>
      <w:r>
        <w:rPr>
          <w:rFonts w:ascii="Times New Roman" w:hAnsi="Times New Roman" w:eastAsia="Times New Roman" w:cs="Times New Roman"/>
          <w:i/>
          <w:iCs/>
          <w:spacing w:val="-1"/>
          <w:sz w:val="24"/>
          <w:szCs w:val="24"/>
        </w:rPr>
        <w:t>J</w:t>
      </w:r>
      <w:r>
        <w:rPr>
          <w:rFonts w:ascii="Times New Roman" w:hAnsi="Times New Roman" w:eastAsia="Times New Roman" w:cs="Times New Roman"/>
          <w:i/>
          <w:iCs/>
          <w:spacing w:val="-1"/>
          <w:position w:val="-1"/>
          <w:sz w:val="15"/>
          <w:szCs w:val="15"/>
        </w:rPr>
        <w:t>s</w:t>
      </w:r>
      <w:r>
        <w:rPr>
          <w:rFonts w:ascii="Times New Roman" w:hAnsi="Times New Roman" w:eastAsia="Times New Roman" w:cs="Times New Roman"/>
          <w:spacing w:val="-1"/>
          <w:sz w:val="24"/>
          <w:szCs w:val="24"/>
        </w:rPr>
        <w:t>—</w:t>
      </w:r>
      <w:r>
        <w:rPr>
          <w:rFonts w:ascii="宋体" w:hAnsi="宋体" w:eastAsia="宋体" w:cs="宋体"/>
          <w:spacing w:val="-1"/>
          <w:sz w:val="24"/>
          <w:szCs w:val="24"/>
        </w:rPr>
        <w:t>建筑垃圾产生量；</w:t>
      </w:r>
    </w:p>
    <w:p w14:paraId="462168DC">
      <w:pPr>
        <w:spacing w:line="220" w:lineRule="auto"/>
        <w:rPr>
          <w:rFonts w:ascii="宋体" w:hAnsi="宋体" w:eastAsia="宋体" w:cs="宋体"/>
          <w:sz w:val="24"/>
          <w:szCs w:val="24"/>
        </w:rPr>
        <w:sectPr>
          <w:footerReference r:id="rId127" w:type="default"/>
          <w:pgSz w:w="11906" w:h="16839"/>
          <w:pgMar w:top="400" w:right="1507" w:bottom="1485" w:left="1596" w:header="0" w:footer="1249" w:gutter="0"/>
          <w:cols w:space="720" w:num="1"/>
        </w:sectPr>
      </w:pPr>
    </w:p>
    <w:p w14:paraId="24852463">
      <w:pPr>
        <w:pStyle w:val="2"/>
        <w:spacing w:line="264" w:lineRule="auto"/>
      </w:pPr>
    </w:p>
    <w:p w14:paraId="6CBD4B2D">
      <w:pPr>
        <w:pStyle w:val="2"/>
        <w:spacing w:line="264" w:lineRule="auto"/>
      </w:pPr>
    </w:p>
    <w:p w14:paraId="6574D46C">
      <w:pPr>
        <w:pStyle w:val="2"/>
        <w:spacing w:line="264" w:lineRule="auto"/>
      </w:pPr>
    </w:p>
    <w:p w14:paraId="482766FB">
      <w:pPr>
        <w:pStyle w:val="2"/>
        <w:spacing w:line="265" w:lineRule="auto"/>
      </w:pPr>
    </w:p>
    <w:p w14:paraId="2D533245">
      <w:pPr>
        <w:spacing w:before="78" w:line="212" w:lineRule="auto"/>
        <w:ind w:left="483"/>
        <w:rPr>
          <w:rFonts w:ascii="宋体" w:hAnsi="宋体" w:eastAsia="宋体" w:cs="宋体"/>
          <w:sz w:val="24"/>
          <w:szCs w:val="24"/>
        </w:rPr>
      </w:pPr>
      <w:r>
        <w:rPr>
          <w:rFonts w:ascii="Times New Roman" w:hAnsi="Times New Roman" w:eastAsia="Times New Roman" w:cs="Times New Roman"/>
          <w:i/>
          <w:iCs/>
          <w:sz w:val="24"/>
          <w:szCs w:val="24"/>
        </w:rPr>
        <w:t>Q</w:t>
      </w:r>
      <w:r>
        <w:rPr>
          <w:rFonts w:ascii="Times New Roman" w:hAnsi="Times New Roman" w:eastAsia="Times New Roman" w:cs="Times New Roman"/>
          <w:i/>
          <w:iCs/>
          <w:sz w:val="15"/>
          <w:szCs w:val="15"/>
        </w:rPr>
        <w:t>s</w:t>
      </w:r>
      <w:r>
        <w:rPr>
          <w:rFonts w:ascii="Times New Roman" w:hAnsi="Times New Roman" w:eastAsia="Times New Roman" w:cs="Times New Roman"/>
          <w:spacing w:val="8"/>
          <w:sz w:val="24"/>
          <w:szCs w:val="24"/>
        </w:rPr>
        <w:t>—</w:t>
      </w:r>
      <w:r>
        <w:rPr>
          <w:rFonts w:ascii="宋体" w:hAnsi="宋体" w:eastAsia="宋体" w:cs="宋体"/>
          <w:spacing w:val="8"/>
          <w:sz w:val="24"/>
          <w:szCs w:val="24"/>
        </w:rPr>
        <w:t>建筑面积；</w:t>
      </w:r>
    </w:p>
    <w:p w14:paraId="5757AD1D">
      <w:pPr>
        <w:spacing w:before="178" w:line="360" w:lineRule="exact"/>
        <w:ind w:left="488"/>
        <w:rPr>
          <w:rFonts w:ascii="宋体" w:hAnsi="宋体" w:eastAsia="宋体" w:cs="宋体"/>
          <w:sz w:val="24"/>
          <w:szCs w:val="24"/>
        </w:rPr>
      </w:pPr>
      <w:r>
        <w:rPr>
          <w:rFonts w:ascii="Times New Roman" w:hAnsi="Times New Roman" w:eastAsia="Times New Roman" w:cs="Times New Roman"/>
          <w:i/>
          <w:iCs/>
          <w:spacing w:val="-2"/>
          <w:position w:val="2"/>
          <w:sz w:val="24"/>
          <w:szCs w:val="24"/>
        </w:rPr>
        <w:t>C</w:t>
      </w:r>
      <w:r>
        <w:rPr>
          <w:rFonts w:ascii="Times New Roman" w:hAnsi="Times New Roman" w:eastAsia="Times New Roman" w:cs="Times New Roman"/>
          <w:i/>
          <w:iCs/>
          <w:spacing w:val="-2"/>
          <w:position w:val="1"/>
          <w:sz w:val="15"/>
          <w:szCs w:val="15"/>
        </w:rPr>
        <w:t>s</w:t>
      </w:r>
      <w:r>
        <w:rPr>
          <w:rFonts w:ascii="Times New Roman" w:hAnsi="Times New Roman" w:eastAsia="Times New Roman" w:cs="Times New Roman"/>
          <w:spacing w:val="-2"/>
          <w:position w:val="2"/>
          <w:sz w:val="24"/>
          <w:szCs w:val="24"/>
        </w:rPr>
        <w:t>—</w:t>
      </w:r>
      <w:r>
        <w:rPr>
          <w:rFonts w:ascii="宋体" w:hAnsi="宋体" w:eastAsia="宋体" w:cs="宋体"/>
          <w:spacing w:val="-2"/>
          <w:position w:val="2"/>
          <w:sz w:val="24"/>
          <w:szCs w:val="24"/>
        </w:rPr>
        <w:t>平均每平方建筑面积垃圾产生量（</w:t>
      </w:r>
      <w:r>
        <w:rPr>
          <w:rFonts w:ascii="Times New Roman" w:hAnsi="Times New Roman" w:eastAsia="Times New Roman" w:cs="Times New Roman"/>
          <w:spacing w:val="-2"/>
          <w:position w:val="2"/>
          <w:sz w:val="24"/>
          <w:szCs w:val="24"/>
        </w:rPr>
        <w:t>t/m</w:t>
      </w:r>
      <w:r>
        <w:rPr>
          <w:rFonts w:ascii="Times New Roman" w:hAnsi="Times New Roman" w:eastAsia="Times New Roman" w:cs="Times New Roman"/>
          <w:spacing w:val="-2"/>
          <w:position w:val="9"/>
          <w:sz w:val="15"/>
          <w:szCs w:val="15"/>
        </w:rPr>
        <w:t xml:space="preserve">2 </w:t>
      </w:r>
      <w:r>
        <w:rPr>
          <w:rFonts w:ascii="宋体" w:hAnsi="宋体" w:eastAsia="宋体" w:cs="宋体"/>
          <w:spacing w:val="-3"/>
          <w:position w:val="2"/>
          <w:sz w:val="24"/>
          <w:szCs w:val="24"/>
        </w:rPr>
        <w:t>）。</w:t>
      </w:r>
    </w:p>
    <w:p w14:paraId="3787B895">
      <w:pPr>
        <w:spacing w:before="124" w:line="375" w:lineRule="auto"/>
        <w:ind w:left="1" w:right="2" w:firstLine="425"/>
        <w:rPr>
          <w:rFonts w:ascii="宋体" w:hAnsi="宋体" w:eastAsia="宋体" w:cs="宋体"/>
          <w:sz w:val="24"/>
          <w:szCs w:val="24"/>
        </w:rPr>
      </w:pPr>
      <w:r>
        <w:rPr>
          <w:rFonts w:ascii="宋体" w:hAnsi="宋体" w:eastAsia="宋体" w:cs="宋体"/>
          <w:sz w:val="24"/>
          <w:szCs w:val="24"/>
        </w:rPr>
        <w:t>本项目建筑面积为</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8346m</w:t>
      </w:r>
      <w:r>
        <w:rPr>
          <w:rFonts w:ascii="Times New Roman" w:hAnsi="Times New Roman" w:eastAsia="Times New Roman" w:cs="Times New Roman"/>
          <w:position w:val="7"/>
          <w:sz w:val="15"/>
          <w:szCs w:val="15"/>
        </w:rPr>
        <w:t>2</w:t>
      </w:r>
      <w:r>
        <w:rPr>
          <w:rFonts w:ascii="Times New Roman" w:hAnsi="Times New Roman" w:eastAsia="Times New Roman" w:cs="Times New Roman"/>
          <w:spacing w:val="-10"/>
          <w:position w:val="7"/>
          <w:sz w:val="15"/>
          <w:szCs w:val="15"/>
        </w:rPr>
        <w:t xml:space="preserve"> </w:t>
      </w:r>
      <w:r>
        <w:rPr>
          <w:rFonts w:ascii="宋体" w:hAnsi="宋体" w:eastAsia="宋体" w:cs="宋体"/>
          <w:sz w:val="24"/>
          <w:szCs w:val="24"/>
        </w:rPr>
        <w:t xml:space="preserve">，经过与工业企业施工期固废排放情况类比，每平方 </w:t>
      </w:r>
      <w:r>
        <w:rPr>
          <w:rFonts w:ascii="宋体" w:hAnsi="宋体" w:eastAsia="宋体" w:cs="宋体"/>
          <w:spacing w:val="2"/>
          <w:sz w:val="24"/>
          <w:szCs w:val="24"/>
        </w:rPr>
        <w:t>米建筑面积产生建筑垃圾约</w:t>
      </w:r>
      <w:r>
        <w:rPr>
          <w:rFonts w:ascii="Times New Roman" w:hAnsi="Times New Roman" w:eastAsia="Times New Roman" w:cs="Times New Roman"/>
          <w:spacing w:val="2"/>
          <w:sz w:val="24"/>
          <w:szCs w:val="24"/>
        </w:rPr>
        <w:t>4.4</w:t>
      </w:r>
      <w:r>
        <w:rPr>
          <w:rFonts w:ascii="Times New Roman" w:hAnsi="Times New Roman" w:eastAsia="Times New Roman" w:cs="Times New Roman"/>
          <w:sz w:val="24"/>
          <w:szCs w:val="24"/>
        </w:rPr>
        <w:t>kg</w:t>
      </w:r>
      <w:r>
        <w:rPr>
          <w:rFonts w:ascii="Times New Roman" w:hAnsi="Times New Roman" w:eastAsia="Times New Roman" w:cs="Times New Roman"/>
          <w:spacing w:val="-21"/>
          <w:sz w:val="24"/>
          <w:szCs w:val="24"/>
        </w:rPr>
        <w:t xml:space="preserve"> </w:t>
      </w:r>
      <w:r>
        <w:rPr>
          <w:rFonts w:ascii="宋体" w:hAnsi="宋体" w:eastAsia="宋体" w:cs="宋体"/>
          <w:spacing w:val="2"/>
          <w:sz w:val="24"/>
          <w:szCs w:val="24"/>
        </w:rPr>
        <w:t>。故本项目施工期将产生约</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36.7t </w:t>
      </w:r>
      <w:r>
        <w:rPr>
          <w:rFonts w:ascii="宋体" w:hAnsi="宋体" w:eastAsia="宋体" w:cs="宋体"/>
          <w:spacing w:val="2"/>
          <w:sz w:val="24"/>
          <w:szCs w:val="24"/>
        </w:rPr>
        <w:t>建筑垃圾。施工</w:t>
      </w:r>
      <w:r>
        <w:rPr>
          <w:rFonts w:ascii="宋体" w:hAnsi="宋体" w:eastAsia="宋体" w:cs="宋体"/>
          <w:sz w:val="24"/>
          <w:szCs w:val="24"/>
        </w:rPr>
        <w:t xml:space="preserve"> </w:t>
      </w:r>
      <w:r>
        <w:rPr>
          <w:rFonts w:ascii="宋体" w:hAnsi="宋体" w:eastAsia="宋体" w:cs="宋体"/>
          <w:spacing w:val="2"/>
          <w:sz w:val="24"/>
          <w:szCs w:val="24"/>
        </w:rPr>
        <w:t>期产生的建筑垃圾，首先考虑废料回收利用，不能回收利用的交由废品收购站或者</w:t>
      </w:r>
      <w:r>
        <w:rPr>
          <w:rFonts w:ascii="宋体" w:hAnsi="宋体" w:eastAsia="宋体" w:cs="宋体"/>
          <w:spacing w:val="6"/>
          <w:sz w:val="24"/>
          <w:szCs w:val="24"/>
        </w:rPr>
        <w:t xml:space="preserve"> </w:t>
      </w:r>
      <w:r>
        <w:rPr>
          <w:rFonts w:ascii="宋体" w:hAnsi="宋体" w:eastAsia="宋体" w:cs="宋体"/>
          <w:spacing w:val="-1"/>
          <w:sz w:val="24"/>
          <w:szCs w:val="24"/>
        </w:rPr>
        <w:t>清运到指定的建筑垃圾场。</w:t>
      </w:r>
    </w:p>
    <w:p w14:paraId="6B9E4C74">
      <w:pPr>
        <w:spacing w:before="8" w:line="361" w:lineRule="exact"/>
        <w:ind w:left="477"/>
        <w:outlineLvl w:val="0"/>
        <w:rPr>
          <w:rFonts w:ascii="宋体" w:hAnsi="宋体" w:eastAsia="宋体" w:cs="宋体"/>
          <w:sz w:val="24"/>
          <w:szCs w:val="24"/>
        </w:rPr>
      </w:pP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27"/>
          <w:position w:val="2"/>
          <w:sz w:val="24"/>
          <w:szCs w:val="24"/>
        </w:rPr>
        <w:t xml:space="preserve"> </w:t>
      </w:r>
      <w:r>
        <w:rPr>
          <w:rFonts w:ascii="宋体" w:hAnsi="宋体" w:eastAsia="宋体" w:cs="宋体"/>
          <w:spacing w:val="-4"/>
          <w:position w:val="2"/>
          <w:sz w:val="24"/>
          <w:szCs w:val="24"/>
        </w:rPr>
        <w:t>、施工人员生活垃圾</w:t>
      </w:r>
    </w:p>
    <w:p w14:paraId="3D20D868">
      <w:pPr>
        <w:spacing w:before="130" w:line="365" w:lineRule="auto"/>
        <w:ind w:left="20" w:firstLine="460"/>
        <w:jc w:val="both"/>
        <w:rPr>
          <w:rFonts w:ascii="宋体" w:hAnsi="宋体" w:eastAsia="宋体" w:cs="宋体"/>
          <w:sz w:val="24"/>
          <w:szCs w:val="24"/>
        </w:rPr>
      </w:pPr>
      <w:r>
        <w:rPr>
          <w:rFonts w:ascii="宋体" w:hAnsi="宋体" w:eastAsia="宋体" w:cs="宋体"/>
          <w:spacing w:val="1"/>
          <w:sz w:val="24"/>
          <w:szCs w:val="24"/>
        </w:rPr>
        <w:t>施工人员</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30 </w:t>
      </w:r>
      <w:r>
        <w:rPr>
          <w:rFonts w:ascii="宋体" w:hAnsi="宋体" w:eastAsia="宋体" w:cs="宋体"/>
          <w:spacing w:val="1"/>
          <w:sz w:val="24"/>
          <w:szCs w:val="24"/>
        </w:rPr>
        <w:t>人，施工期</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个月，按每人每</w:t>
      </w:r>
      <w:r>
        <w:rPr>
          <w:rFonts w:ascii="宋体" w:hAnsi="宋体" w:eastAsia="宋体" w:cs="宋体"/>
          <w:sz w:val="24"/>
          <w:szCs w:val="24"/>
        </w:rPr>
        <w:t>天产生生活垃圾</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0.5kg/d</w:t>
      </w:r>
      <w:r>
        <w:rPr>
          <w:rFonts w:ascii="Times New Roman" w:hAnsi="Times New Roman" w:eastAsia="Times New Roman" w:cs="Times New Roman"/>
          <w:spacing w:val="17"/>
          <w:sz w:val="24"/>
          <w:szCs w:val="24"/>
        </w:rPr>
        <w:t xml:space="preserve"> </w:t>
      </w:r>
      <w:r>
        <w:rPr>
          <w:rFonts w:ascii="宋体" w:hAnsi="宋体" w:eastAsia="宋体" w:cs="宋体"/>
          <w:sz w:val="24"/>
          <w:szCs w:val="24"/>
        </w:rPr>
        <w:t xml:space="preserve">计，施工期 </w:t>
      </w:r>
      <w:r>
        <w:rPr>
          <w:rFonts w:ascii="宋体" w:hAnsi="宋体" w:eastAsia="宋体" w:cs="宋体"/>
          <w:spacing w:val="2"/>
          <w:sz w:val="24"/>
          <w:szCs w:val="24"/>
        </w:rPr>
        <w:t>间生活垃圾产生量为</w:t>
      </w:r>
      <w:r>
        <w:rPr>
          <w:rFonts w:ascii="Times New Roman" w:hAnsi="Times New Roman" w:eastAsia="Times New Roman" w:cs="Times New Roman"/>
          <w:spacing w:val="2"/>
          <w:sz w:val="24"/>
          <w:szCs w:val="24"/>
        </w:rPr>
        <w:t>2.25t/a</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。施工人员生活垃圾经收集后交给当地的环卫部门，每</w:t>
      </w:r>
      <w:r>
        <w:rPr>
          <w:rFonts w:ascii="宋体" w:hAnsi="宋体" w:eastAsia="宋体" w:cs="宋体"/>
          <w:sz w:val="24"/>
          <w:szCs w:val="24"/>
        </w:rPr>
        <w:t xml:space="preserve"> </w:t>
      </w:r>
      <w:r>
        <w:rPr>
          <w:rFonts w:ascii="宋体" w:hAnsi="宋体" w:eastAsia="宋体" w:cs="宋体"/>
          <w:spacing w:val="-1"/>
          <w:sz w:val="24"/>
          <w:szCs w:val="24"/>
        </w:rPr>
        <w:t>日清理，并要做好垃圾堆放点的消毒，杀灭害虫，以免散发恶臭、滋生蚊蝇。</w:t>
      </w:r>
    </w:p>
    <w:p w14:paraId="2D891B51">
      <w:pPr>
        <w:spacing w:before="41" w:line="361" w:lineRule="exact"/>
        <w:ind w:left="482"/>
        <w:rPr>
          <w:rFonts w:ascii="宋体" w:hAnsi="宋体" w:eastAsia="宋体" w:cs="宋体"/>
          <w:sz w:val="24"/>
          <w:szCs w:val="24"/>
        </w:rPr>
      </w:pPr>
      <w:r>
        <w:rPr>
          <w:rFonts w:ascii="Times New Roman" w:hAnsi="Times New Roman" w:eastAsia="Times New Roman" w:cs="Times New Roman"/>
          <w:spacing w:val="-3"/>
          <w:position w:val="2"/>
          <w:sz w:val="24"/>
          <w:szCs w:val="24"/>
        </w:rPr>
        <w:t>3</w:t>
      </w:r>
      <w:r>
        <w:rPr>
          <w:rFonts w:ascii="Times New Roman" w:hAnsi="Times New Roman" w:eastAsia="Times New Roman" w:cs="Times New Roman"/>
          <w:spacing w:val="-23"/>
          <w:position w:val="2"/>
          <w:sz w:val="24"/>
          <w:szCs w:val="24"/>
        </w:rPr>
        <w:t xml:space="preserve"> </w:t>
      </w:r>
      <w:r>
        <w:rPr>
          <w:rFonts w:ascii="宋体" w:hAnsi="宋体" w:eastAsia="宋体" w:cs="宋体"/>
          <w:spacing w:val="-3"/>
          <w:position w:val="2"/>
          <w:sz w:val="24"/>
          <w:szCs w:val="24"/>
        </w:rPr>
        <w:t>、施工期固体废弃物影响防治措施</w:t>
      </w:r>
    </w:p>
    <w:p w14:paraId="332947D1">
      <w:pPr>
        <w:spacing w:before="167" w:line="219" w:lineRule="auto"/>
        <w:ind w:left="484"/>
        <w:rPr>
          <w:rFonts w:ascii="宋体" w:hAnsi="宋体" w:eastAsia="宋体" w:cs="宋体"/>
          <w:sz w:val="24"/>
          <w:szCs w:val="24"/>
        </w:rPr>
      </w:pPr>
      <w:r>
        <w:rPr>
          <w:rFonts w:ascii="宋体" w:hAnsi="宋体" w:eastAsia="宋体" w:cs="宋体"/>
          <w:spacing w:val="-1"/>
          <w:sz w:val="24"/>
          <w:szCs w:val="24"/>
        </w:rPr>
        <w:t>为减少施工期固废对周围环境的影响，建议采取以下防范措施：</w:t>
      </w:r>
    </w:p>
    <w:p w14:paraId="7E5C286B">
      <w:pPr>
        <w:spacing w:before="168" w:line="312" w:lineRule="auto"/>
        <w:ind w:left="2" w:right="2"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）弃土的处置建设单位拟将施工过程产生弃土方运至城管部门认可的建筑废</w:t>
      </w:r>
      <w:r>
        <w:rPr>
          <w:rFonts w:ascii="宋体" w:hAnsi="宋体" w:eastAsia="宋体" w:cs="宋体"/>
          <w:spacing w:val="16"/>
          <w:sz w:val="24"/>
          <w:szCs w:val="24"/>
        </w:rPr>
        <w:t xml:space="preserve"> </w:t>
      </w:r>
      <w:r>
        <w:rPr>
          <w:rFonts w:ascii="宋体" w:hAnsi="宋体" w:eastAsia="宋体" w:cs="宋体"/>
          <w:spacing w:val="-2"/>
          <w:sz w:val="24"/>
          <w:szCs w:val="24"/>
        </w:rPr>
        <w:t>土渣场填埋。</w:t>
      </w:r>
    </w:p>
    <w:p w14:paraId="159AD4D7">
      <w:pPr>
        <w:spacing w:before="163" w:line="334" w:lineRule="auto"/>
        <w:ind w:right="2"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）施工废料处理首先应考虑废料的回收利用。对钢筋、钢板、玻璃、木材等</w:t>
      </w:r>
      <w:r>
        <w:rPr>
          <w:rFonts w:ascii="宋体" w:hAnsi="宋体" w:eastAsia="宋体" w:cs="宋体"/>
          <w:spacing w:val="16"/>
          <w:sz w:val="24"/>
          <w:szCs w:val="24"/>
        </w:rPr>
        <w:t xml:space="preserve"> </w:t>
      </w:r>
      <w:r>
        <w:rPr>
          <w:rFonts w:ascii="宋体" w:hAnsi="宋体" w:eastAsia="宋体" w:cs="宋体"/>
          <w:spacing w:val="2"/>
          <w:sz w:val="24"/>
          <w:szCs w:val="24"/>
        </w:rPr>
        <w:t>边角料可分类回收，交废物收购站处理；对建筑垃圾，如废砖、含砖、石、砂的杂</w:t>
      </w:r>
      <w:r>
        <w:rPr>
          <w:rFonts w:ascii="宋体" w:hAnsi="宋体" w:eastAsia="宋体" w:cs="宋体"/>
          <w:spacing w:val="7"/>
          <w:sz w:val="24"/>
          <w:szCs w:val="24"/>
        </w:rPr>
        <w:t xml:space="preserve"> </w:t>
      </w:r>
      <w:r>
        <w:rPr>
          <w:rFonts w:ascii="宋体" w:hAnsi="宋体" w:eastAsia="宋体" w:cs="宋体"/>
          <w:spacing w:val="-1"/>
          <w:sz w:val="24"/>
          <w:szCs w:val="24"/>
        </w:rPr>
        <w:t>土应及时清运处理，以免影响施工和环境卫生。</w:t>
      </w:r>
    </w:p>
    <w:p w14:paraId="4F5DDFFA">
      <w:pPr>
        <w:spacing w:before="168" w:line="312" w:lineRule="auto"/>
        <w:ind w:left="3" w:firstLine="48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）针对生活垃圾，应设有垃圾桶或垃圾</w:t>
      </w:r>
      <w:r>
        <w:rPr>
          <w:rFonts w:ascii="宋体" w:hAnsi="宋体" w:eastAsia="宋体" w:cs="宋体"/>
          <w:spacing w:val="-2"/>
          <w:sz w:val="24"/>
          <w:szCs w:val="24"/>
        </w:rPr>
        <w:t>池，派专人负责清扫收集，统一收集</w:t>
      </w:r>
      <w:r>
        <w:rPr>
          <w:rFonts w:ascii="宋体" w:hAnsi="宋体" w:eastAsia="宋体" w:cs="宋体"/>
          <w:sz w:val="24"/>
          <w:szCs w:val="24"/>
        </w:rPr>
        <w:t xml:space="preserve"> 后及时交给环卫部门，由环卫部门清运到生活垃圾</w:t>
      </w:r>
      <w:r>
        <w:rPr>
          <w:rFonts w:ascii="宋体" w:hAnsi="宋体" w:eastAsia="宋体" w:cs="宋体"/>
          <w:spacing w:val="-1"/>
          <w:sz w:val="24"/>
          <w:szCs w:val="24"/>
        </w:rPr>
        <w:t>填埋场处理，严禁随地处置。</w:t>
      </w:r>
    </w:p>
    <w:p w14:paraId="1FFB8019">
      <w:pPr>
        <w:spacing w:before="167" w:line="344" w:lineRule="auto"/>
        <w:ind w:right="2" w:firstLine="49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）完工清场的固体废物处理处置工程完工后应撤离所有临时设施和部件，四</w:t>
      </w:r>
      <w:r>
        <w:rPr>
          <w:rFonts w:ascii="宋体" w:hAnsi="宋体" w:eastAsia="宋体" w:cs="宋体"/>
          <w:spacing w:val="16"/>
          <w:sz w:val="24"/>
          <w:szCs w:val="24"/>
        </w:rPr>
        <w:t xml:space="preserve"> </w:t>
      </w:r>
      <w:r>
        <w:rPr>
          <w:rFonts w:ascii="宋体" w:hAnsi="宋体" w:eastAsia="宋体" w:cs="宋体"/>
          <w:spacing w:val="2"/>
          <w:sz w:val="24"/>
          <w:szCs w:val="24"/>
        </w:rPr>
        <w:t>周溢流砂浆的泥土全部挖除，临时设施拆除时应防止扬尘、噪声及废弃物污染。施</w:t>
      </w:r>
      <w:r>
        <w:rPr>
          <w:rFonts w:ascii="宋体" w:hAnsi="宋体" w:eastAsia="宋体" w:cs="宋体"/>
          <w:spacing w:val="8"/>
          <w:sz w:val="24"/>
          <w:szCs w:val="24"/>
        </w:rPr>
        <w:t xml:space="preserve"> </w:t>
      </w:r>
      <w:r>
        <w:rPr>
          <w:rFonts w:ascii="宋体" w:hAnsi="宋体" w:eastAsia="宋体" w:cs="宋体"/>
          <w:spacing w:val="2"/>
          <w:sz w:val="24"/>
          <w:szCs w:val="24"/>
        </w:rPr>
        <w:t>工区垃圾堆放点、临时厕所全部拆除并进行消毒。对所有施工工作面和施工活动区</w:t>
      </w:r>
      <w:r>
        <w:rPr>
          <w:rFonts w:ascii="宋体" w:hAnsi="宋体" w:eastAsia="宋体" w:cs="宋体"/>
          <w:spacing w:val="8"/>
          <w:sz w:val="24"/>
          <w:szCs w:val="24"/>
        </w:rPr>
        <w:t xml:space="preserve"> </w:t>
      </w:r>
      <w:r>
        <w:rPr>
          <w:rFonts w:ascii="宋体" w:hAnsi="宋体" w:eastAsia="宋体" w:cs="宋体"/>
          <w:spacing w:val="-1"/>
          <w:sz w:val="24"/>
          <w:szCs w:val="24"/>
        </w:rPr>
        <w:t>进行检查，将施工废弃物彻底清理处置。</w:t>
      </w:r>
    </w:p>
    <w:p w14:paraId="17B81F2F">
      <w:pPr>
        <w:spacing w:before="203" w:line="220" w:lineRule="auto"/>
        <w:ind w:left="483"/>
        <w:rPr>
          <w:rFonts w:ascii="宋体" w:hAnsi="宋体" w:eastAsia="宋体" w:cs="宋体"/>
          <w:sz w:val="24"/>
          <w:szCs w:val="24"/>
        </w:rPr>
      </w:pPr>
      <w:r>
        <w:rPr>
          <w:rFonts w:ascii="宋体" w:hAnsi="宋体" w:eastAsia="宋体" w:cs="宋体"/>
          <w:spacing w:val="-1"/>
          <w:sz w:val="24"/>
          <w:szCs w:val="24"/>
        </w:rPr>
        <w:t>经过上述措施处理后，施工产生的固体废物对周围环境的影响较小。</w:t>
      </w:r>
    </w:p>
    <w:p w14:paraId="3B38BEC1">
      <w:pPr>
        <w:pStyle w:val="2"/>
        <w:spacing w:line="417" w:lineRule="auto"/>
      </w:pPr>
    </w:p>
    <w:p w14:paraId="2AD00F7A">
      <w:pPr>
        <w:spacing w:before="79" w:line="221"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5.1.6</w:t>
      </w:r>
      <w:r>
        <w:rPr>
          <w:rFonts w:ascii="宋体" w:hAnsi="宋体" w:eastAsia="宋体" w:cs="宋体"/>
          <w:b/>
          <w:bCs/>
          <w:spacing w:val="-2"/>
          <w:sz w:val="24"/>
          <w:szCs w:val="24"/>
        </w:rPr>
        <w:t>施工期生态环境影响分析</w:t>
      </w:r>
    </w:p>
    <w:p w14:paraId="2AB8F9D3">
      <w:pPr>
        <w:pStyle w:val="2"/>
        <w:spacing w:line="243" w:lineRule="auto"/>
      </w:pPr>
    </w:p>
    <w:p w14:paraId="0836BC18">
      <w:pPr>
        <w:spacing w:before="79" w:line="360" w:lineRule="exact"/>
        <w:ind w:left="500"/>
        <w:rPr>
          <w:rFonts w:ascii="宋体" w:hAnsi="宋体" w:eastAsia="宋体" w:cs="宋体"/>
          <w:sz w:val="24"/>
          <w:szCs w:val="24"/>
        </w:rPr>
      </w:pPr>
      <w:r>
        <w:rPr>
          <w:rFonts w:ascii="Times New Roman" w:hAnsi="Times New Roman" w:eastAsia="Times New Roman" w:cs="Times New Roman"/>
          <w:spacing w:val="-5"/>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5"/>
          <w:position w:val="2"/>
          <w:sz w:val="24"/>
          <w:szCs w:val="24"/>
        </w:rPr>
        <w:t>、施工期对植被的影响</w:t>
      </w:r>
    </w:p>
    <w:p w14:paraId="3738EC2B">
      <w:pPr>
        <w:spacing w:before="165" w:line="219" w:lineRule="auto"/>
        <w:ind w:right="2"/>
        <w:jc w:val="right"/>
        <w:rPr>
          <w:rFonts w:ascii="宋体" w:hAnsi="宋体" w:eastAsia="宋体" w:cs="宋体"/>
          <w:sz w:val="24"/>
          <w:szCs w:val="24"/>
        </w:rPr>
      </w:pPr>
      <w:r>
        <w:rPr>
          <w:rFonts w:ascii="宋体" w:hAnsi="宋体" w:eastAsia="宋体" w:cs="宋体"/>
          <w:spacing w:val="2"/>
          <w:sz w:val="24"/>
          <w:szCs w:val="24"/>
        </w:rPr>
        <w:t>项目的施工建设，必然会对周围的生态环境带来一定的破坏影响，使现有的土</w:t>
      </w:r>
    </w:p>
    <w:p w14:paraId="673D2A36">
      <w:pPr>
        <w:spacing w:line="219" w:lineRule="auto"/>
        <w:rPr>
          <w:rFonts w:ascii="宋体" w:hAnsi="宋体" w:eastAsia="宋体" w:cs="宋体"/>
          <w:sz w:val="24"/>
          <w:szCs w:val="24"/>
        </w:rPr>
        <w:sectPr>
          <w:footerReference r:id="rId128" w:type="default"/>
          <w:pgSz w:w="11906" w:h="16839"/>
          <w:pgMar w:top="400" w:right="1585" w:bottom="1485" w:left="1596" w:header="0" w:footer="1249" w:gutter="0"/>
          <w:cols w:space="720" w:num="1"/>
        </w:sectPr>
      </w:pPr>
    </w:p>
    <w:p w14:paraId="09110150">
      <w:pPr>
        <w:pStyle w:val="2"/>
        <w:spacing w:line="264" w:lineRule="auto"/>
      </w:pPr>
    </w:p>
    <w:p w14:paraId="20CD6342">
      <w:pPr>
        <w:pStyle w:val="2"/>
        <w:spacing w:line="264" w:lineRule="auto"/>
      </w:pPr>
    </w:p>
    <w:p w14:paraId="239273EE">
      <w:pPr>
        <w:pStyle w:val="2"/>
        <w:spacing w:line="264" w:lineRule="auto"/>
      </w:pPr>
    </w:p>
    <w:p w14:paraId="64DDEF38">
      <w:pPr>
        <w:pStyle w:val="2"/>
        <w:spacing w:line="264" w:lineRule="auto"/>
      </w:pPr>
    </w:p>
    <w:p w14:paraId="5C48F545">
      <w:pPr>
        <w:spacing w:before="78" w:line="371" w:lineRule="auto"/>
        <w:ind w:left="1" w:right="81"/>
        <w:jc w:val="both"/>
        <w:rPr>
          <w:rFonts w:ascii="宋体" w:hAnsi="宋体" w:eastAsia="宋体" w:cs="宋体"/>
          <w:sz w:val="24"/>
          <w:szCs w:val="24"/>
        </w:rPr>
      </w:pPr>
      <w:r>
        <w:rPr>
          <w:rFonts w:ascii="宋体" w:hAnsi="宋体" w:eastAsia="宋体" w:cs="宋体"/>
          <w:spacing w:val="2"/>
          <w:sz w:val="24"/>
          <w:szCs w:val="24"/>
        </w:rPr>
        <w:t>地利用类型发生变化，许多地表植被会消失，同时各种机械车辆碾压和施工人员的</w:t>
      </w:r>
      <w:r>
        <w:rPr>
          <w:rFonts w:ascii="宋体" w:hAnsi="宋体" w:eastAsia="宋体" w:cs="宋体"/>
          <w:spacing w:val="6"/>
          <w:sz w:val="24"/>
          <w:szCs w:val="24"/>
        </w:rPr>
        <w:t xml:space="preserve"> </w:t>
      </w:r>
      <w:r>
        <w:rPr>
          <w:rFonts w:ascii="宋体" w:hAnsi="宋体" w:eastAsia="宋体" w:cs="宋体"/>
          <w:spacing w:val="2"/>
          <w:sz w:val="24"/>
          <w:szCs w:val="24"/>
        </w:rPr>
        <w:t>践踏及土石的堆放，也会对植被造成较为严重的破坏和影响。随着施工期的进行，</w:t>
      </w:r>
      <w:r>
        <w:rPr>
          <w:rFonts w:ascii="宋体" w:hAnsi="宋体" w:eastAsia="宋体" w:cs="宋体"/>
          <w:spacing w:val="6"/>
          <w:sz w:val="24"/>
          <w:szCs w:val="24"/>
        </w:rPr>
        <w:t xml:space="preserve"> </w:t>
      </w:r>
      <w:r>
        <w:rPr>
          <w:rFonts w:ascii="宋体" w:hAnsi="宋体" w:eastAsia="宋体" w:cs="宋体"/>
          <w:spacing w:val="2"/>
          <w:sz w:val="24"/>
          <w:szCs w:val="24"/>
        </w:rPr>
        <w:t>用地范围内的一些植物种类将会消失，绝大部分的植物种类数量将会大大减少。随</w:t>
      </w:r>
      <w:r>
        <w:rPr>
          <w:rFonts w:ascii="宋体" w:hAnsi="宋体" w:eastAsia="宋体" w:cs="宋体"/>
          <w:spacing w:val="6"/>
          <w:sz w:val="24"/>
          <w:szCs w:val="24"/>
        </w:rPr>
        <w:t xml:space="preserve"> </w:t>
      </w:r>
      <w:r>
        <w:rPr>
          <w:rFonts w:ascii="宋体" w:hAnsi="宋体" w:eastAsia="宋体" w:cs="宋体"/>
          <w:spacing w:val="2"/>
          <w:sz w:val="24"/>
          <w:szCs w:val="24"/>
        </w:rPr>
        <w:t>着施工期的建设，经过绿化建设，植被会得到逐步恢复。施工期对植被的破坏将可</w:t>
      </w:r>
      <w:r>
        <w:rPr>
          <w:rFonts w:ascii="宋体" w:hAnsi="宋体" w:eastAsia="宋体" w:cs="宋体"/>
          <w:spacing w:val="6"/>
          <w:sz w:val="24"/>
          <w:szCs w:val="24"/>
        </w:rPr>
        <w:t xml:space="preserve"> </w:t>
      </w:r>
      <w:r>
        <w:rPr>
          <w:rFonts w:ascii="宋体" w:hAnsi="宋体" w:eastAsia="宋体" w:cs="宋体"/>
          <w:sz w:val="24"/>
          <w:szCs w:val="24"/>
        </w:rPr>
        <w:t>能会降低区域生态系统的服务功能，此影响将会延</w:t>
      </w:r>
      <w:r>
        <w:rPr>
          <w:rFonts w:ascii="宋体" w:hAnsi="宋体" w:eastAsia="宋体" w:cs="宋体"/>
          <w:spacing w:val="-1"/>
          <w:sz w:val="24"/>
          <w:szCs w:val="24"/>
        </w:rPr>
        <w:t>续到施工期后的营运期。</w:t>
      </w:r>
    </w:p>
    <w:p w14:paraId="1CE5083A">
      <w:pPr>
        <w:spacing w:line="360"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）施工期对土壤和景观的影响</w:t>
      </w:r>
    </w:p>
    <w:p w14:paraId="55AD6810">
      <w:pPr>
        <w:spacing w:before="163" w:line="377" w:lineRule="auto"/>
        <w:ind w:left="2" w:right="81" w:firstLine="478"/>
        <w:rPr>
          <w:rFonts w:ascii="宋体" w:hAnsi="宋体" w:eastAsia="宋体" w:cs="宋体"/>
          <w:sz w:val="24"/>
          <w:szCs w:val="24"/>
        </w:rPr>
      </w:pPr>
      <w:r>
        <w:rPr>
          <w:rFonts w:ascii="宋体" w:hAnsi="宋体" w:eastAsia="宋体" w:cs="宋体"/>
          <w:spacing w:val="2"/>
          <w:sz w:val="24"/>
          <w:szCs w:val="24"/>
        </w:rPr>
        <w:t>施工期由于机械的碾压及施工人员的践踏，在施工作业区周围的土壤将被严重</w:t>
      </w:r>
      <w:r>
        <w:rPr>
          <w:rFonts w:ascii="宋体" w:hAnsi="宋体" w:eastAsia="宋体" w:cs="宋体"/>
          <w:spacing w:val="11"/>
          <w:sz w:val="24"/>
          <w:szCs w:val="24"/>
        </w:rPr>
        <w:t xml:space="preserve"> </w:t>
      </w:r>
      <w:r>
        <w:rPr>
          <w:rFonts w:ascii="宋体" w:hAnsi="宋体" w:eastAsia="宋体" w:cs="宋体"/>
          <w:spacing w:val="2"/>
          <w:sz w:val="24"/>
          <w:szCs w:val="24"/>
        </w:rPr>
        <w:t>压实，部分施工区域的表土被铲去，另一些区域的表土将可能被填埋，从而使施工</w:t>
      </w:r>
      <w:r>
        <w:rPr>
          <w:rFonts w:ascii="宋体" w:hAnsi="宋体" w:eastAsia="宋体" w:cs="宋体"/>
          <w:spacing w:val="5"/>
          <w:sz w:val="24"/>
          <w:szCs w:val="24"/>
        </w:rPr>
        <w:t xml:space="preserve"> </w:t>
      </w:r>
      <w:r>
        <w:rPr>
          <w:rFonts w:ascii="宋体" w:hAnsi="宋体" w:eastAsia="宋体" w:cs="宋体"/>
          <w:sz w:val="24"/>
          <w:szCs w:val="24"/>
        </w:rPr>
        <w:t>完成后的土壤表层缺乏原有土壤的肥力，不利</w:t>
      </w:r>
      <w:r>
        <w:rPr>
          <w:rFonts w:ascii="宋体" w:hAnsi="宋体" w:eastAsia="宋体" w:cs="宋体"/>
          <w:spacing w:val="-1"/>
          <w:sz w:val="24"/>
          <w:szCs w:val="24"/>
        </w:rPr>
        <w:t>于植物的生长和植被恢复。</w:t>
      </w:r>
    </w:p>
    <w:p w14:paraId="0796F310">
      <w:pPr>
        <w:spacing w:before="301" w:line="224" w:lineRule="auto"/>
        <w:ind w:left="2"/>
        <w:outlineLvl w:val="1"/>
        <w:rPr>
          <w:rFonts w:ascii="宋体" w:hAnsi="宋体" w:eastAsia="宋体" w:cs="宋体"/>
          <w:sz w:val="31"/>
          <w:szCs w:val="31"/>
        </w:rPr>
      </w:pPr>
      <w:bookmarkStart w:id="36" w:name="bookmark32"/>
      <w:bookmarkEnd w:id="36"/>
      <w:r>
        <w:rPr>
          <w:rFonts w:ascii="Times New Roman" w:hAnsi="Times New Roman" w:eastAsia="Times New Roman" w:cs="Times New Roman"/>
          <w:b/>
          <w:bCs/>
          <w:spacing w:val="5"/>
          <w:sz w:val="31"/>
          <w:szCs w:val="31"/>
        </w:rPr>
        <w:t>5.2</w:t>
      </w:r>
      <w:r>
        <w:rPr>
          <w:rFonts w:ascii="宋体" w:hAnsi="宋体" w:eastAsia="宋体" w:cs="宋体"/>
          <w:b/>
          <w:bCs/>
          <w:spacing w:val="5"/>
          <w:sz w:val="31"/>
          <w:szCs w:val="31"/>
        </w:rPr>
        <w:t>营运期环境影响评价</w:t>
      </w:r>
    </w:p>
    <w:p w14:paraId="4E40C85E">
      <w:pPr>
        <w:pStyle w:val="2"/>
        <w:spacing w:line="448" w:lineRule="auto"/>
      </w:pPr>
    </w:p>
    <w:p w14:paraId="20F98CA7">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5.2.1</w:t>
      </w:r>
      <w:r>
        <w:rPr>
          <w:rFonts w:ascii="宋体" w:hAnsi="宋体" w:eastAsia="宋体" w:cs="宋体"/>
          <w:b/>
          <w:bCs/>
          <w:spacing w:val="-2"/>
          <w:sz w:val="24"/>
          <w:szCs w:val="24"/>
        </w:rPr>
        <w:t>地表水环境影响评价</w:t>
      </w:r>
    </w:p>
    <w:p w14:paraId="1FA11932">
      <w:pPr>
        <w:pStyle w:val="2"/>
        <w:spacing w:line="281" w:lineRule="auto"/>
      </w:pPr>
    </w:p>
    <w:p w14:paraId="5944B2BE">
      <w:pPr>
        <w:spacing w:before="78" w:line="220" w:lineRule="auto"/>
        <w:ind w:left="487"/>
        <w:rPr>
          <w:rFonts w:ascii="宋体" w:hAnsi="宋体" w:eastAsia="宋体" w:cs="宋体"/>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7"/>
          <w:sz w:val="24"/>
          <w:szCs w:val="24"/>
        </w:rPr>
        <w:t xml:space="preserve"> </w:t>
      </w:r>
      <w:r>
        <w:rPr>
          <w:rFonts w:ascii="宋体" w:hAnsi="宋体" w:eastAsia="宋体" w:cs="宋体"/>
          <w:b/>
          <w:bCs/>
          <w:spacing w:val="-6"/>
          <w:sz w:val="24"/>
          <w:szCs w:val="24"/>
        </w:rPr>
        <w:t>、废水产生及排放情况</w:t>
      </w:r>
    </w:p>
    <w:p w14:paraId="6159C5BC">
      <w:pPr>
        <w:spacing w:before="78" w:line="357" w:lineRule="auto"/>
        <w:ind w:left="1" w:right="73" w:firstLine="508"/>
        <w:jc w:val="both"/>
        <w:rPr>
          <w:rFonts w:ascii="宋体" w:hAnsi="宋体" w:eastAsia="宋体" w:cs="宋体"/>
          <w:sz w:val="24"/>
          <w:szCs w:val="24"/>
        </w:rPr>
      </w:pPr>
      <w:r>
        <w:rPr>
          <w:rFonts w:ascii="宋体" w:hAnsi="宋体" w:eastAsia="宋体" w:cs="宋体"/>
          <w:spacing w:val="6"/>
          <w:sz w:val="24"/>
          <w:szCs w:val="24"/>
        </w:rPr>
        <w:t>由“</w:t>
      </w:r>
      <w:r>
        <w:rPr>
          <w:rFonts w:ascii="Times New Roman" w:hAnsi="Times New Roman" w:eastAsia="Times New Roman" w:cs="Times New Roman"/>
          <w:spacing w:val="6"/>
          <w:sz w:val="24"/>
          <w:szCs w:val="24"/>
        </w:rPr>
        <w:t>3.5.</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6"/>
          <w:sz w:val="24"/>
          <w:szCs w:val="24"/>
        </w:rPr>
        <w:t>1</w:t>
      </w:r>
      <w:r>
        <w:rPr>
          <w:rFonts w:ascii="宋体" w:hAnsi="宋体" w:eastAsia="宋体" w:cs="宋体"/>
          <w:spacing w:val="6"/>
          <w:sz w:val="24"/>
          <w:szCs w:val="24"/>
        </w:rPr>
        <w:t>水污染源</w:t>
      </w:r>
      <w:r>
        <w:rPr>
          <w:rFonts w:ascii="宋体" w:hAnsi="宋体" w:eastAsia="宋体" w:cs="宋体"/>
          <w:spacing w:val="-78"/>
          <w:sz w:val="24"/>
          <w:szCs w:val="24"/>
        </w:rPr>
        <w:t xml:space="preserve"> </w:t>
      </w:r>
      <w:r>
        <w:rPr>
          <w:rFonts w:ascii="宋体" w:hAnsi="宋体" w:eastAsia="宋体" w:cs="宋体"/>
          <w:spacing w:val="6"/>
          <w:sz w:val="24"/>
          <w:szCs w:val="24"/>
        </w:rPr>
        <w:t>”分析可知，本项目运营期猪只养殖废水最大产生总量为</w:t>
      </w:r>
      <w:r>
        <w:rPr>
          <w:rFonts w:ascii="宋体" w:hAnsi="宋体" w:eastAsia="宋体" w:cs="宋体"/>
          <w:sz w:val="24"/>
          <w:szCs w:val="24"/>
        </w:rPr>
        <w:t xml:space="preserve"> </w:t>
      </w:r>
      <w:r>
        <w:rPr>
          <w:rFonts w:ascii="Times New Roman" w:hAnsi="Times New Roman" w:eastAsia="Times New Roman" w:cs="Times New Roman"/>
          <w:sz w:val="24"/>
          <w:szCs w:val="24"/>
        </w:rPr>
        <w:t>30.38t/d</w:t>
      </w:r>
      <w:r>
        <w:rPr>
          <w:rFonts w:ascii="宋体" w:hAnsi="宋体" w:eastAsia="宋体" w:cs="宋体"/>
          <w:sz w:val="24"/>
          <w:szCs w:val="24"/>
        </w:rPr>
        <w:t>（</w:t>
      </w:r>
      <w:r>
        <w:rPr>
          <w:rFonts w:ascii="Times New Roman" w:hAnsi="Times New Roman" w:eastAsia="Times New Roman" w:cs="Times New Roman"/>
          <w:sz w:val="24"/>
          <w:szCs w:val="24"/>
        </w:rPr>
        <w:t>8698.02t/a</w:t>
      </w:r>
      <w:r>
        <w:rPr>
          <w:rFonts w:ascii="宋体" w:hAnsi="宋体" w:eastAsia="宋体" w:cs="宋体"/>
          <w:spacing w:val="14"/>
          <w:sz w:val="24"/>
          <w:szCs w:val="24"/>
        </w:rPr>
        <w:t>），</w:t>
      </w:r>
      <w:r>
        <w:rPr>
          <w:rFonts w:ascii="宋体" w:hAnsi="宋体" w:eastAsia="宋体" w:cs="宋体"/>
          <w:sz w:val="24"/>
          <w:szCs w:val="24"/>
        </w:rPr>
        <w:t>办公生活污水产生量为</w:t>
      </w:r>
      <w:r>
        <w:rPr>
          <w:rFonts w:ascii="Times New Roman" w:hAnsi="Times New Roman" w:eastAsia="Times New Roman" w:cs="Times New Roman"/>
          <w:sz w:val="24"/>
          <w:szCs w:val="24"/>
        </w:rPr>
        <w:t>0.58t/d</w:t>
      </w:r>
      <w:r>
        <w:rPr>
          <w:rFonts w:ascii="宋体" w:hAnsi="宋体" w:eastAsia="宋体" w:cs="宋体"/>
          <w:sz w:val="24"/>
          <w:szCs w:val="24"/>
        </w:rPr>
        <w:t>（</w:t>
      </w:r>
      <w:r>
        <w:rPr>
          <w:rFonts w:ascii="Times New Roman" w:hAnsi="Times New Roman" w:eastAsia="Times New Roman" w:cs="Times New Roman"/>
          <w:sz w:val="24"/>
          <w:szCs w:val="24"/>
        </w:rPr>
        <w:t>210.24t/a</w:t>
      </w:r>
      <w:r>
        <w:rPr>
          <w:rFonts w:ascii="宋体" w:hAnsi="宋体" w:eastAsia="宋体" w:cs="宋体"/>
          <w:spacing w:val="14"/>
          <w:sz w:val="24"/>
          <w:szCs w:val="24"/>
        </w:rPr>
        <w:t>），</w:t>
      </w:r>
      <w:r>
        <w:rPr>
          <w:rFonts w:ascii="宋体" w:hAnsi="宋体" w:eastAsia="宋体" w:cs="宋体"/>
          <w:sz w:val="24"/>
          <w:szCs w:val="24"/>
        </w:rPr>
        <w:t>项目运营期废</w:t>
      </w:r>
      <w:r>
        <w:rPr>
          <w:rFonts w:ascii="宋体" w:hAnsi="宋体" w:eastAsia="宋体" w:cs="宋体"/>
          <w:spacing w:val="2"/>
          <w:sz w:val="24"/>
          <w:szCs w:val="24"/>
        </w:rPr>
        <w:t xml:space="preserve"> </w:t>
      </w:r>
      <w:r>
        <w:rPr>
          <w:rFonts w:ascii="宋体" w:hAnsi="宋体" w:eastAsia="宋体" w:cs="宋体"/>
          <w:spacing w:val="-1"/>
          <w:sz w:val="24"/>
          <w:szCs w:val="24"/>
        </w:rPr>
        <w:t>水产生总量为</w:t>
      </w:r>
      <w:r>
        <w:rPr>
          <w:rFonts w:ascii="Times New Roman" w:hAnsi="Times New Roman" w:eastAsia="Times New Roman" w:cs="Times New Roman"/>
          <w:spacing w:val="-1"/>
          <w:sz w:val="24"/>
          <w:szCs w:val="24"/>
        </w:rPr>
        <w:t>30.96t/d</w:t>
      </w:r>
      <w:r>
        <w:rPr>
          <w:rFonts w:ascii="宋体" w:hAnsi="宋体" w:eastAsia="宋体" w:cs="宋体"/>
          <w:spacing w:val="-1"/>
          <w:sz w:val="24"/>
          <w:szCs w:val="24"/>
        </w:rPr>
        <w:t>（</w:t>
      </w:r>
      <w:r>
        <w:rPr>
          <w:rFonts w:ascii="Times New Roman" w:hAnsi="Times New Roman" w:eastAsia="Times New Roman" w:cs="Times New Roman"/>
          <w:spacing w:val="-1"/>
          <w:sz w:val="24"/>
          <w:szCs w:val="24"/>
        </w:rPr>
        <w:t>8908.26 t/a</w:t>
      </w:r>
      <w:r>
        <w:rPr>
          <w:rFonts w:ascii="宋体" w:hAnsi="宋体" w:eastAsia="宋体" w:cs="宋体"/>
          <w:spacing w:val="-1"/>
          <w:sz w:val="24"/>
          <w:szCs w:val="24"/>
        </w:rPr>
        <w:t>）。</w:t>
      </w:r>
    </w:p>
    <w:p w14:paraId="502C2D3D">
      <w:pPr>
        <w:spacing w:before="133" w:line="376" w:lineRule="auto"/>
        <w:ind w:left="3" w:firstLine="479"/>
        <w:rPr>
          <w:rFonts w:ascii="宋体" w:hAnsi="宋体" w:eastAsia="宋体" w:cs="宋体"/>
          <w:sz w:val="24"/>
          <w:szCs w:val="24"/>
        </w:rPr>
      </w:pPr>
      <w:r>
        <w:rPr>
          <w:rFonts w:ascii="宋体" w:hAnsi="宋体" w:eastAsia="宋体" w:cs="宋体"/>
          <w:spacing w:val="-2"/>
          <w:sz w:val="24"/>
          <w:szCs w:val="24"/>
        </w:rPr>
        <w:t>本项目养殖废水（猪只尿液、猪舍冲洗水）与猪只粪</w:t>
      </w:r>
      <w:r>
        <w:rPr>
          <w:rFonts w:ascii="宋体" w:hAnsi="宋体" w:eastAsia="宋体" w:cs="宋体"/>
          <w:spacing w:val="-3"/>
          <w:sz w:val="24"/>
          <w:szCs w:val="24"/>
        </w:rPr>
        <w:t>便一起收集，不单独收集，</w:t>
      </w:r>
      <w:r>
        <w:rPr>
          <w:rFonts w:ascii="宋体" w:hAnsi="宋体" w:eastAsia="宋体" w:cs="宋体"/>
          <w:sz w:val="24"/>
          <w:szCs w:val="24"/>
        </w:rPr>
        <w:t xml:space="preserve"> </w:t>
      </w:r>
      <w:r>
        <w:rPr>
          <w:rFonts w:ascii="宋体" w:hAnsi="宋体" w:eastAsia="宋体" w:cs="宋体"/>
          <w:spacing w:val="-2"/>
          <w:sz w:val="24"/>
          <w:szCs w:val="24"/>
        </w:rPr>
        <w:t>收集的粪污传至有机肥发酵处理系统进行好氧发酵成为有机肥半</w:t>
      </w:r>
      <w:r>
        <w:rPr>
          <w:rFonts w:ascii="宋体" w:hAnsi="宋体" w:eastAsia="宋体" w:cs="宋体"/>
          <w:spacing w:val="-3"/>
          <w:sz w:val="24"/>
          <w:szCs w:val="24"/>
        </w:rPr>
        <w:t>成品外售，不外排。</w:t>
      </w:r>
      <w:r>
        <w:rPr>
          <w:rFonts w:ascii="宋体" w:hAnsi="宋体" w:eastAsia="宋体" w:cs="宋体"/>
          <w:sz w:val="24"/>
          <w:szCs w:val="24"/>
        </w:rPr>
        <w:t xml:space="preserve"> </w:t>
      </w:r>
      <w:r>
        <w:rPr>
          <w:rFonts w:ascii="宋体" w:hAnsi="宋体" w:eastAsia="宋体" w:cs="宋体"/>
          <w:spacing w:val="3"/>
          <w:sz w:val="24"/>
          <w:szCs w:val="24"/>
        </w:rPr>
        <w:t>生活污水也经有机肥发酵处理系统进行好氧发酵成为有机肥半成品外售，不外排。</w:t>
      </w:r>
      <w:r>
        <w:rPr>
          <w:rFonts w:ascii="宋体" w:hAnsi="宋体" w:eastAsia="宋体" w:cs="宋体"/>
          <w:spacing w:val="1"/>
          <w:sz w:val="24"/>
          <w:szCs w:val="24"/>
        </w:rPr>
        <w:t xml:space="preserve"> </w:t>
      </w:r>
      <w:r>
        <w:rPr>
          <w:rFonts w:ascii="宋体" w:hAnsi="宋体" w:eastAsia="宋体" w:cs="宋体"/>
          <w:spacing w:val="-1"/>
          <w:sz w:val="24"/>
          <w:szCs w:val="24"/>
        </w:rPr>
        <w:t>因此本项目不会对区域地表水环境造成影响。</w:t>
      </w:r>
    </w:p>
    <w:p w14:paraId="10A1BD6D">
      <w:pPr>
        <w:spacing w:before="1" w:line="218" w:lineRule="auto"/>
        <w:ind w:left="482"/>
        <w:rPr>
          <w:rFonts w:ascii="宋体" w:hAnsi="宋体" w:eastAsia="宋体" w:cs="宋体"/>
          <w:sz w:val="24"/>
          <w:szCs w:val="24"/>
        </w:rPr>
      </w:pPr>
      <w:r>
        <w:rPr>
          <w:rFonts w:ascii="宋体" w:hAnsi="宋体" w:eastAsia="宋体" w:cs="宋体"/>
          <w:spacing w:val="-3"/>
          <w:sz w:val="24"/>
          <w:szCs w:val="24"/>
        </w:rPr>
        <w:t>有机肥发酵处理具体处理方案见“</w:t>
      </w:r>
      <w:r>
        <w:rPr>
          <w:rFonts w:ascii="宋体" w:hAnsi="宋体" w:eastAsia="宋体" w:cs="宋体"/>
          <w:spacing w:val="-77"/>
          <w:sz w:val="24"/>
          <w:szCs w:val="24"/>
        </w:rPr>
        <w:t xml:space="preserve"> </w:t>
      </w:r>
      <w:r>
        <w:rPr>
          <w:rFonts w:ascii="宋体" w:hAnsi="宋体" w:eastAsia="宋体" w:cs="宋体"/>
          <w:spacing w:val="-3"/>
          <w:sz w:val="24"/>
          <w:szCs w:val="24"/>
        </w:rPr>
        <w:t>固体废物环境影响评价</w:t>
      </w:r>
      <w:r>
        <w:rPr>
          <w:rFonts w:ascii="宋体" w:hAnsi="宋体" w:eastAsia="宋体" w:cs="宋体"/>
          <w:spacing w:val="-88"/>
          <w:sz w:val="24"/>
          <w:szCs w:val="24"/>
        </w:rPr>
        <w:t xml:space="preserve"> </w:t>
      </w:r>
      <w:r>
        <w:rPr>
          <w:rFonts w:ascii="宋体" w:hAnsi="宋体" w:eastAsia="宋体" w:cs="宋体"/>
          <w:spacing w:val="-3"/>
          <w:sz w:val="24"/>
          <w:szCs w:val="24"/>
        </w:rPr>
        <w:t>”章节。</w:t>
      </w:r>
    </w:p>
    <w:p w14:paraId="41EE0572">
      <w:pPr>
        <w:spacing w:line="218" w:lineRule="auto"/>
        <w:rPr>
          <w:rFonts w:ascii="宋体" w:hAnsi="宋体" w:eastAsia="宋体" w:cs="宋体"/>
          <w:sz w:val="24"/>
          <w:szCs w:val="24"/>
        </w:rPr>
        <w:sectPr>
          <w:footerReference r:id="rId129" w:type="default"/>
          <w:pgSz w:w="11906" w:h="16839"/>
          <w:pgMar w:top="400" w:right="1507" w:bottom="1485" w:left="1596" w:header="0" w:footer="1249" w:gutter="0"/>
          <w:cols w:space="720" w:num="1"/>
        </w:sectPr>
      </w:pPr>
    </w:p>
    <w:p w14:paraId="02FF742F">
      <w:pPr>
        <w:pStyle w:val="2"/>
        <w:spacing w:line="270" w:lineRule="auto"/>
      </w:pPr>
    </w:p>
    <w:p w14:paraId="572BE854">
      <w:pPr>
        <w:pStyle w:val="2"/>
        <w:spacing w:line="270" w:lineRule="auto"/>
      </w:pPr>
    </w:p>
    <w:p w14:paraId="00918F3A">
      <w:pPr>
        <w:pStyle w:val="2"/>
        <w:spacing w:line="270" w:lineRule="auto"/>
      </w:pPr>
    </w:p>
    <w:p w14:paraId="4936EAC1">
      <w:pPr>
        <w:pStyle w:val="2"/>
        <w:spacing w:line="271" w:lineRule="auto"/>
      </w:pPr>
    </w:p>
    <w:p w14:paraId="5606CE7F">
      <w:pPr>
        <w:pStyle w:val="2"/>
        <w:spacing w:line="271" w:lineRule="auto"/>
      </w:pPr>
    </w:p>
    <w:p w14:paraId="1F968CE1">
      <w:pPr>
        <w:spacing w:before="78" w:line="219" w:lineRule="auto"/>
        <w:ind w:left="1"/>
        <w:outlineLvl w:val="2"/>
        <w:rPr>
          <w:rFonts w:ascii="宋体" w:hAnsi="宋体" w:eastAsia="宋体" w:cs="宋体"/>
          <w:sz w:val="24"/>
          <w:szCs w:val="24"/>
        </w:rPr>
      </w:pPr>
      <w:r>
        <w:rPr>
          <w:rFonts w:ascii="Times New Roman" w:hAnsi="Times New Roman" w:eastAsia="Times New Roman" w:cs="Times New Roman"/>
          <w:b/>
          <w:bCs/>
          <w:spacing w:val="-2"/>
          <w:sz w:val="24"/>
          <w:szCs w:val="24"/>
        </w:rPr>
        <w:t>5.2.2</w:t>
      </w:r>
      <w:r>
        <w:rPr>
          <w:rFonts w:ascii="宋体" w:hAnsi="宋体" w:eastAsia="宋体" w:cs="宋体"/>
          <w:b/>
          <w:bCs/>
          <w:spacing w:val="-2"/>
          <w:sz w:val="24"/>
          <w:szCs w:val="24"/>
        </w:rPr>
        <w:t>地下水环境影响评价</w:t>
      </w:r>
    </w:p>
    <w:p w14:paraId="1601B39F">
      <w:pPr>
        <w:pStyle w:val="2"/>
        <w:spacing w:line="283" w:lineRule="auto"/>
      </w:pPr>
    </w:p>
    <w:p w14:paraId="4ACBD95A">
      <w:pPr>
        <w:spacing w:before="78" w:line="369" w:lineRule="auto"/>
        <w:ind w:left="1" w:right="120" w:firstLine="482"/>
        <w:jc w:val="both"/>
        <w:rPr>
          <w:rFonts w:ascii="宋体" w:hAnsi="宋体" w:eastAsia="宋体" w:cs="宋体"/>
          <w:sz w:val="24"/>
          <w:szCs w:val="24"/>
        </w:rPr>
      </w:pPr>
      <w:r>
        <w:rPr>
          <w:rFonts w:ascii="宋体" w:hAnsi="宋体" w:eastAsia="宋体" w:cs="宋体"/>
          <w:spacing w:val="2"/>
          <w:sz w:val="24"/>
          <w:szCs w:val="24"/>
        </w:rPr>
        <w:t>污染物对地下水的影响主要是由于降雨或废水等通过垂直渗透进入包气带，进</w:t>
      </w:r>
      <w:r>
        <w:rPr>
          <w:rFonts w:ascii="宋体" w:hAnsi="宋体" w:eastAsia="宋体" w:cs="宋体"/>
          <w:spacing w:val="8"/>
          <w:sz w:val="24"/>
          <w:szCs w:val="24"/>
        </w:rPr>
        <w:t xml:space="preserve"> </w:t>
      </w:r>
      <w:r>
        <w:rPr>
          <w:rFonts w:ascii="宋体" w:hAnsi="宋体" w:eastAsia="宋体" w:cs="宋体"/>
          <w:spacing w:val="2"/>
          <w:sz w:val="24"/>
          <w:szCs w:val="24"/>
        </w:rPr>
        <w:t>入包气带的污染物在物理、化学和生物作用下经吸附、转化、迁移和分解后输入地</w:t>
      </w:r>
      <w:r>
        <w:rPr>
          <w:rFonts w:ascii="宋体" w:hAnsi="宋体" w:eastAsia="宋体" w:cs="宋体"/>
          <w:spacing w:val="7"/>
          <w:sz w:val="24"/>
          <w:szCs w:val="24"/>
        </w:rPr>
        <w:t xml:space="preserve"> </w:t>
      </w:r>
      <w:r>
        <w:rPr>
          <w:rFonts w:ascii="宋体" w:hAnsi="宋体" w:eastAsia="宋体" w:cs="宋体"/>
          <w:spacing w:val="2"/>
          <w:sz w:val="24"/>
          <w:szCs w:val="24"/>
        </w:rPr>
        <w:t>下水。因此，包气带是连接地面污染物与地下含水层的主要通道和过渡带，既是污</w:t>
      </w:r>
      <w:r>
        <w:rPr>
          <w:rFonts w:ascii="宋体" w:hAnsi="宋体" w:eastAsia="宋体" w:cs="宋体"/>
          <w:spacing w:val="7"/>
          <w:sz w:val="24"/>
          <w:szCs w:val="24"/>
        </w:rPr>
        <w:t xml:space="preserve"> </w:t>
      </w:r>
      <w:r>
        <w:rPr>
          <w:rFonts w:ascii="宋体" w:hAnsi="宋体" w:eastAsia="宋体" w:cs="宋体"/>
          <w:spacing w:val="-1"/>
          <w:sz w:val="24"/>
          <w:szCs w:val="24"/>
        </w:rPr>
        <w:t>染物媒介体，又是污染物的净化场所和防护层。</w:t>
      </w:r>
    </w:p>
    <w:p w14:paraId="710935E0">
      <w:pPr>
        <w:spacing w:line="360" w:lineRule="exact"/>
        <w:ind w:left="501"/>
        <w:rPr>
          <w:rFonts w:ascii="宋体" w:hAnsi="宋体" w:eastAsia="宋体" w:cs="宋体"/>
          <w:sz w:val="24"/>
          <w:szCs w:val="24"/>
        </w:rPr>
      </w:pPr>
      <w:r>
        <w:rPr>
          <w:rFonts w:ascii="Times New Roman" w:hAnsi="Times New Roman" w:eastAsia="Times New Roman" w:cs="Times New Roman"/>
          <w:spacing w:val="-4"/>
          <w:position w:val="2"/>
          <w:sz w:val="24"/>
          <w:szCs w:val="24"/>
        </w:rPr>
        <w:t>1</w:t>
      </w:r>
      <w:r>
        <w:rPr>
          <w:rFonts w:ascii="Times New Roman" w:hAnsi="Times New Roman" w:eastAsia="Times New Roman" w:cs="Times New Roman"/>
          <w:spacing w:val="-26"/>
          <w:position w:val="2"/>
          <w:sz w:val="24"/>
          <w:szCs w:val="24"/>
        </w:rPr>
        <w:t xml:space="preserve"> </w:t>
      </w:r>
      <w:r>
        <w:rPr>
          <w:rFonts w:ascii="宋体" w:hAnsi="宋体" w:eastAsia="宋体" w:cs="宋体"/>
          <w:spacing w:val="-4"/>
          <w:position w:val="2"/>
          <w:sz w:val="24"/>
          <w:szCs w:val="24"/>
        </w:rPr>
        <w:t>、废水回用对地下水污染影响分析</w:t>
      </w:r>
    </w:p>
    <w:p w14:paraId="0343C3E2">
      <w:pPr>
        <w:spacing w:before="129" w:line="360" w:lineRule="exact"/>
        <w:ind w:left="467"/>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）污染途径</w:t>
      </w:r>
    </w:p>
    <w:p w14:paraId="4EFB5AA1">
      <w:pPr>
        <w:spacing w:before="164" w:line="369" w:lineRule="auto"/>
        <w:ind w:firstLine="456"/>
        <w:rPr>
          <w:rFonts w:ascii="宋体" w:hAnsi="宋体" w:eastAsia="宋体" w:cs="宋体"/>
          <w:sz w:val="24"/>
          <w:szCs w:val="24"/>
        </w:rPr>
      </w:pPr>
      <w:r>
        <w:rPr>
          <w:rFonts w:ascii="宋体" w:hAnsi="宋体" w:eastAsia="宋体" w:cs="宋体"/>
          <w:spacing w:val="-1"/>
          <w:sz w:val="24"/>
          <w:szCs w:val="24"/>
        </w:rPr>
        <w:t>污染物从污染源进入地下水所经过路径称为地下水污染途径。地下水污染途径是</w:t>
      </w:r>
      <w:r>
        <w:rPr>
          <w:rFonts w:ascii="宋体" w:hAnsi="宋体" w:eastAsia="宋体" w:cs="宋体"/>
          <w:spacing w:val="17"/>
          <w:sz w:val="24"/>
          <w:szCs w:val="24"/>
        </w:rPr>
        <w:t xml:space="preserve"> </w:t>
      </w:r>
      <w:r>
        <w:rPr>
          <w:rFonts w:ascii="宋体" w:hAnsi="宋体" w:eastAsia="宋体" w:cs="宋体"/>
          <w:spacing w:val="-1"/>
          <w:sz w:val="24"/>
          <w:szCs w:val="24"/>
        </w:rPr>
        <w:t>多种多样的，根据项目所在区域的地质情况，项目可能对地下水造成污染的</w:t>
      </w:r>
      <w:r>
        <w:rPr>
          <w:rFonts w:ascii="宋体" w:hAnsi="宋体" w:eastAsia="宋体" w:cs="宋体"/>
          <w:spacing w:val="-2"/>
          <w:sz w:val="24"/>
          <w:szCs w:val="24"/>
        </w:rPr>
        <w:t>途径主要</w:t>
      </w:r>
      <w:r>
        <w:rPr>
          <w:rFonts w:ascii="宋体" w:hAnsi="宋体" w:eastAsia="宋体" w:cs="宋体"/>
          <w:sz w:val="24"/>
          <w:szCs w:val="24"/>
        </w:rPr>
        <w:t xml:space="preserve"> </w:t>
      </w:r>
      <w:r>
        <w:rPr>
          <w:rFonts w:ascii="宋体" w:hAnsi="宋体" w:eastAsia="宋体" w:cs="宋体"/>
          <w:spacing w:val="-1"/>
          <w:sz w:val="24"/>
          <w:szCs w:val="24"/>
        </w:rPr>
        <w:t>有大气降水后凹坑积水区域、有机肥发酵车间等未铺设水泥区域污水可能下</w:t>
      </w:r>
      <w:r>
        <w:rPr>
          <w:rFonts w:ascii="宋体" w:hAnsi="宋体" w:eastAsia="宋体" w:cs="宋体"/>
          <w:spacing w:val="-2"/>
          <w:sz w:val="24"/>
          <w:szCs w:val="24"/>
        </w:rPr>
        <w:t>渗对地下</w:t>
      </w:r>
      <w:r>
        <w:rPr>
          <w:rFonts w:ascii="宋体" w:hAnsi="宋体" w:eastAsia="宋体" w:cs="宋体"/>
          <w:sz w:val="24"/>
          <w:szCs w:val="24"/>
        </w:rPr>
        <w:t xml:space="preserve"> </w:t>
      </w:r>
      <w:r>
        <w:rPr>
          <w:rFonts w:ascii="宋体" w:hAnsi="宋体" w:eastAsia="宋体" w:cs="宋体"/>
          <w:spacing w:val="-2"/>
          <w:sz w:val="24"/>
          <w:szCs w:val="24"/>
        </w:rPr>
        <w:t>水造成的污染。</w:t>
      </w:r>
    </w:p>
    <w:p w14:paraId="23E0F2C3">
      <w:pPr>
        <w:spacing w:line="360" w:lineRule="exact"/>
        <w:ind w:left="467"/>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）地下水影响分析</w:t>
      </w:r>
    </w:p>
    <w:p w14:paraId="32351823">
      <w:pPr>
        <w:spacing w:before="167" w:line="369" w:lineRule="auto"/>
        <w:ind w:firstLine="456"/>
        <w:rPr>
          <w:rFonts w:ascii="宋体" w:hAnsi="宋体" w:eastAsia="宋体" w:cs="宋体"/>
          <w:sz w:val="24"/>
          <w:szCs w:val="24"/>
        </w:rPr>
      </w:pPr>
      <w:r>
        <w:rPr>
          <w:rFonts w:ascii="宋体" w:hAnsi="宋体" w:eastAsia="宋体" w:cs="宋体"/>
          <w:spacing w:val="-1"/>
          <w:sz w:val="24"/>
          <w:szCs w:val="24"/>
        </w:rPr>
        <w:t>本项目有机肥发酵车间及养殖区均均做了硬底化防渗处理，且本项目养殖废水不</w:t>
      </w:r>
      <w:r>
        <w:rPr>
          <w:rFonts w:ascii="宋体" w:hAnsi="宋体" w:eastAsia="宋体" w:cs="宋体"/>
          <w:spacing w:val="18"/>
          <w:sz w:val="24"/>
          <w:szCs w:val="24"/>
        </w:rPr>
        <w:t xml:space="preserve"> </w:t>
      </w:r>
      <w:r>
        <w:rPr>
          <w:rFonts w:ascii="宋体" w:hAnsi="宋体" w:eastAsia="宋体" w:cs="宋体"/>
          <w:spacing w:val="-1"/>
          <w:sz w:val="24"/>
          <w:szCs w:val="24"/>
        </w:rPr>
        <w:t>单独收集，与猪只粪便一起收集后，经异位发酵床高温好氧发酵成有机肥半成</w:t>
      </w:r>
      <w:r>
        <w:rPr>
          <w:rFonts w:ascii="宋体" w:hAnsi="宋体" w:eastAsia="宋体" w:cs="宋体"/>
          <w:spacing w:val="-2"/>
          <w:sz w:val="24"/>
          <w:szCs w:val="24"/>
        </w:rPr>
        <w:t>品后外</w:t>
      </w:r>
      <w:r>
        <w:rPr>
          <w:rFonts w:ascii="宋体" w:hAnsi="宋体" w:eastAsia="宋体" w:cs="宋体"/>
          <w:sz w:val="24"/>
          <w:szCs w:val="24"/>
        </w:rPr>
        <w:t xml:space="preserve"> </w:t>
      </w:r>
      <w:r>
        <w:rPr>
          <w:rFonts w:ascii="宋体" w:hAnsi="宋体" w:eastAsia="宋体" w:cs="宋体"/>
          <w:spacing w:val="-1"/>
          <w:sz w:val="24"/>
          <w:szCs w:val="24"/>
        </w:rPr>
        <w:t>售，不外排。根据以上分析，项目污水不会对深层地下水造成污染影响，不会</w:t>
      </w:r>
      <w:r>
        <w:rPr>
          <w:rFonts w:ascii="宋体" w:hAnsi="宋体" w:eastAsia="宋体" w:cs="宋体"/>
          <w:spacing w:val="-2"/>
          <w:sz w:val="24"/>
          <w:szCs w:val="24"/>
        </w:rPr>
        <w:t>对周围</w:t>
      </w:r>
      <w:r>
        <w:rPr>
          <w:rFonts w:ascii="宋体" w:hAnsi="宋体" w:eastAsia="宋体" w:cs="宋体"/>
          <w:sz w:val="24"/>
          <w:szCs w:val="24"/>
        </w:rPr>
        <w:t xml:space="preserve"> </w:t>
      </w:r>
      <w:r>
        <w:rPr>
          <w:rFonts w:ascii="宋体" w:hAnsi="宋体" w:eastAsia="宋体" w:cs="宋体"/>
          <w:spacing w:val="-1"/>
          <w:sz w:val="24"/>
          <w:szCs w:val="24"/>
        </w:rPr>
        <w:t>居民饮用水环境安全造成危害。</w:t>
      </w:r>
    </w:p>
    <w:p w14:paraId="2B12E77D">
      <w:pPr>
        <w:spacing w:line="360" w:lineRule="exact"/>
        <w:ind w:left="451"/>
        <w:rPr>
          <w:rFonts w:ascii="宋体" w:hAnsi="宋体" w:eastAsia="宋体" w:cs="宋体"/>
          <w:sz w:val="24"/>
          <w:szCs w:val="24"/>
        </w:rPr>
      </w:pPr>
      <w:r>
        <w:rPr>
          <w:rFonts w:ascii="Times New Roman" w:hAnsi="Times New Roman" w:eastAsia="Times New Roman" w:cs="Times New Roman"/>
          <w:spacing w:val="-3"/>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3"/>
          <w:position w:val="2"/>
          <w:sz w:val="24"/>
          <w:szCs w:val="24"/>
        </w:rPr>
        <w:t>、项目现状监测资料分析</w:t>
      </w:r>
    </w:p>
    <w:p w14:paraId="1A69775B">
      <w:pPr>
        <w:spacing w:before="164" w:line="362" w:lineRule="auto"/>
        <w:ind w:left="13" w:right="14" w:firstLine="497"/>
        <w:rPr>
          <w:rFonts w:ascii="宋体" w:hAnsi="宋体" w:eastAsia="宋体" w:cs="宋体"/>
          <w:sz w:val="24"/>
          <w:szCs w:val="24"/>
        </w:rPr>
      </w:pPr>
      <w:r>
        <w:rPr>
          <w:rFonts w:ascii="宋体" w:hAnsi="宋体" w:eastAsia="宋体" w:cs="宋体"/>
          <w:spacing w:val="-2"/>
          <w:sz w:val="24"/>
          <w:szCs w:val="24"/>
        </w:rPr>
        <w:t>由监测数据分析，项目周边监测点现状监测数</w:t>
      </w:r>
      <w:r>
        <w:rPr>
          <w:rFonts w:ascii="宋体" w:hAnsi="宋体" w:eastAsia="宋体" w:cs="宋体"/>
          <w:spacing w:val="-3"/>
          <w:sz w:val="24"/>
          <w:szCs w:val="24"/>
        </w:rPr>
        <w:t>据均满足《地下水环境质量标准》</w:t>
      </w:r>
      <w:r>
        <w:rPr>
          <w:rFonts w:ascii="宋体" w:hAnsi="宋体" w:eastAsia="宋体" w:cs="宋体"/>
          <w:sz w:val="24"/>
          <w:szCs w:val="24"/>
        </w:rPr>
        <w:t xml:space="preserve"> （</w:t>
      </w:r>
      <w:r>
        <w:rPr>
          <w:rFonts w:ascii="Times New Roman" w:hAnsi="Times New Roman" w:eastAsia="Times New Roman" w:cs="Times New Roman"/>
          <w:sz w:val="24"/>
          <w:szCs w:val="24"/>
        </w:rPr>
        <w:t>GB/T</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14848-93</w:t>
      </w:r>
      <w:r>
        <w:rPr>
          <w:rFonts w:ascii="宋体" w:hAnsi="宋体" w:eastAsia="宋体" w:cs="宋体"/>
          <w:sz w:val="24"/>
          <w:szCs w:val="24"/>
        </w:rPr>
        <w:t>）</w:t>
      </w:r>
      <w:r>
        <w:rPr>
          <w:rFonts w:ascii="Times New Roman" w:hAnsi="Times New Roman" w:eastAsia="Times New Roman" w:cs="Times New Roman"/>
          <w:sz w:val="24"/>
          <w:szCs w:val="24"/>
        </w:rPr>
        <w:t xml:space="preserve">III </w:t>
      </w:r>
      <w:r>
        <w:rPr>
          <w:rFonts w:ascii="宋体" w:hAnsi="宋体" w:eastAsia="宋体" w:cs="宋体"/>
          <w:sz w:val="24"/>
          <w:szCs w:val="24"/>
        </w:rPr>
        <w:t>类标准要求，说明本项目附近地</w:t>
      </w:r>
      <w:r>
        <w:rPr>
          <w:rFonts w:ascii="宋体" w:hAnsi="宋体" w:eastAsia="宋体" w:cs="宋体"/>
          <w:spacing w:val="-1"/>
          <w:sz w:val="24"/>
          <w:szCs w:val="24"/>
        </w:rPr>
        <w:t>下水的水环境质量现状良好。</w:t>
      </w:r>
      <w:r>
        <w:rPr>
          <w:rFonts w:ascii="宋体" w:hAnsi="宋体" w:eastAsia="宋体" w:cs="宋体"/>
          <w:sz w:val="24"/>
          <w:szCs w:val="24"/>
        </w:rPr>
        <w:t xml:space="preserve"> </w:t>
      </w:r>
      <w:r>
        <w:rPr>
          <w:rFonts w:ascii="宋体" w:hAnsi="宋体" w:eastAsia="宋体" w:cs="宋体"/>
          <w:spacing w:val="-2"/>
          <w:sz w:val="24"/>
          <w:szCs w:val="24"/>
        </w:rPr>
        <w:t>因此项目对周边地下水环境影响不大，项目污染物排放</w:t>
      </w:r>
      <w:r>
        <w:rPr>
          <w:rFonts w:ascii="宋体" w:hAnsi="宋体" w:eastAsia="宋体" w:cs="宋体"/>
          <w:spacing w:val="-3"/>
          <w:sz w:val="24"/>
          <w:szCs w:val="24"/>
        </w:rPr>
        <w:t>对周围的影响在可接纳范围。</w:t>
      </w:r>
    </w:p>
    <w:p w14:paraId="5FE1516A">
      <w:pPr>
        <w:spacing w:before="20" w:line="360" w:lineRule="exact"/>
        <w:ind w:left="456"/>
        <w:rPr>
          <w:rFonts w:ascii="宋体" w:hAnsi="宋体" w:eastAsia="宋体" w:cs="宋体"/>
          <w:sz w:val="24"/>
          <w:szCs w:val="24"/>
        </w:rPr>
      </w:pPr>
      <w:r>
        <w:rPr>
          <w:rFonts w:ascii="Times New Roman" w:hAnsi="Times New Roman" w:eastAsia="Times New Roman" w:cs="Times New Roman"/>
          <w:spacing w:val="-3"/>
          <w:position w:val="2"/>
          <w:sz w:val="24"/>
          <w:szCs w:val="24"/>
        </w:rPr>
        <w:t>3</w:t>
      </w:r>
      <w:r>
        <w:rPr>
          <w:rFonts w:ascii="Times New Roman" w:hAnsi="Times New Roman" w:eastAsia="Times New Roman" w:cs="Times New Roman"/>
          <w:spacing w:val="-32"/>
          <w:position w:val="2"/>
          <w:sz w:val="24"/>
          <w:szCs w:val="24"/>
        </w:rPr>
        <w:t xml:space="preserve"> </w:t>
      </w:r>
      <w:r>
        <w:rPr>
          <w:rFonts w:ascii="宋体" w:hAnsi="宋体" w:eastAsia="宋体" w:cs="宋体"/>
          <w:spacing w:val="-3"/>
          <w:position w:val="2"/>
          <w:sz w:val="24"/>
          <w:szCs w:val="24"/>
        </w:rPr>
        <w:t>、粪污对地下水的影响分析</w:t>
      </w:r>
    </w:p>
    <w:p w14:paraId="70C0A832">
      <w:pPr>
        <w:spacing w:before="164" w:line="371" w:lineRule="auto"/>
        <w:ind w:left="2" w:right="120" w:firstLine="480"/>
        <w:rPr>
          <w:rFonts w:ascii="宋体" w:hAnsi="宋体" w:eastAsia="宋体" w:cs="宋体"/>
          <w:sz w:val="24"/>
          <w:szCs w:val="24"/>
        </w:rPr>
      </w:pPr>
      <w:r>
        <w:rPr>
          <w:rFonts w:ascii="宋体" w:hAnsi="宋体" w:eastAsia="宋体" w:cs="宋体"/>
          <w:spacing w:val="2"/>
          <w:sz w:val="24"/>
          <w:szCs w:val="24"/>
        </w:rPr>
        <w:t>猪只粪污中富含氮、磷等物质，运营期对地下水环境的影响主要是养殖场猪只</w:t>
      </w:r>
      <w:r>
        <w:rPr>
          <w:rFonts w:ascii="宋体" w:hAnsi="宋体" w:eastAsia="宋体" w:cs="宋体"/>
          <w:spacing w:val="10"/>
          <w:sz w:val="24"/>
          <w:szCs w:val="24"/>
        </w:rPr>
        <w:t xml:space="preserve"> </w:t>
      </w:r>
      <w:r>
        <w:rPr>
          <w:rFonts w:ascii="宋体" w:hAnsi="宋体" w:eastAsia="宋体" w:cs="宋体"/>
          <w:spacing w:val="2"/>
          <w:sz w:val="24"/>
          <w:szCs w:val="24"/>
        </w:rPr>
        <w:t>粪污事故性排放渗入地下可能造成地下水中的硝酸盐含量过高。本项目周边居民主</w:t>
      </w:r>
      <w:r>
        <w:rPr>
          <w:rFonts w:ascii="宋体" w:hAnsi="宋体" w:eastAsia="宋体" w:cs="宋体"/>
          <w:spacing w:val="6"/>
          <w:sz w:val="24"/>
          <w:szCs w:val="24"/>
        </w:rPr>
        <w:t xml:space="preserve"> </w:t>
      </w:r>
      <w:r>
        <w:rPr>
          <w:rFonts w:ascii="宋体" w:hAnsi="宋体" w:eastAsia="宋体" w:cs="宋体"/>
          <w:spacing w:val="2"/>
          <w:sz w:val="24"/>
          <w:szCs w:val="24"/>
        </w:rPr>
        <w:t>要是来源于地下井水，根据周边地表水流向可知，周围居民点的用水不途径本项目</w:t>
      </w:r>
      <w:r>
        <w:rPr>
          <w:rFonts w:ascii="宋体" w:hAnsi="宋体" w:eastAsia="宋体" w:cs="宋体"/>
          <w:spacing w:val="6"/>
          <w:sz w:val="24"/>
          <w:szCs w:val="24"/>
        </w:rPr>
        <w:t xml:space="preserve"> </w:t>
      </w:r>
      <w:r>
        <w:rPr>
          <w:rFonts w:ascii="宋体" w:hAnsi="宋体" w:eastAsia="宋体" w:cs="宋体"/>
          <w:spacing w:val="2"/>
          <w:sz w:val="24"/>
          <w:szCs w:val="24"/>
        </w:rPr>
        <w:t>位置，本项目对周边居民用水无影响。对此，本环评建议采取以下措施来避免此类</w:t>
      </w:r>
      <w:r>
        <w:rPr>
          <w:rFonts w:ascii="宋体" w:hAnsi="宋体" w:eastAsia="宋体" w:cs="宋体"/>
          <w:spacing w:val="6"/>
          <w:sz w:val="24"/>
          <w:szCs w:val="24"/>
        </w:rPr>
        <w:t xml:space="preserve"> </w:t>
      </w:r>
      <w:r>
        <w:rPr>
          <w:rFonts w:ascii="宋体" w:hAnsi="宋体" w:eastAsia="宋体" w:cs="宋体"/>
          <w:spacing w:val="-2"/>
          <w:sz w:val="24"/>
          <w:szCs w:val="24"/>
        </w:rPr>
        <w:t>现象的发生：</w:t>
      </w:r>
    </w:p>
    <w:p w14:paraId="72398030">
      <w:pPr>
        <w:spacing w:line="359" w:lineRule="exact"/>
        <w:ind w:left="493"/>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）猪只粪污传送渠按有关要求建设，有机肥发酵车间将采用水泥硬底化并防</w:t>
      </w:r>
    </w:p>
    <w:p w14:paraId="59F00F65">
      <w:pPr>
        <w:spacing w:line="359" w:lineRule="exact"/>
        <w:rPr>
          <w:rFonts w:ascii="宋体" w:hAnsi="宋体" w:eastAsia="宋体" w:cs="宋体"/>
          <w:sz w:val="24"/>
          <w:szCs w:val="24"/>
        </w:rPr>
        <w:sectPr>
          <w:footerReference r:id="rId130" w:type="default"/>
          <w:pgSz w:w="11906" w:h="16839"/>
          <w:pgMar w:top="400" w:right="1468" w:bottom="1485" w:left="1595" w:header="0" w:footer="1249" w:gutter="0"/>
          <w:cols w:space="720" w:num="1"/>
        </w:sectPr>
      </w:pPr>
    </w:p>
    <w:p w14:paraId="72541611">
      <w:pPr>
        <w:pStyle w:val="2"/>
        <w:spacing w:line="264" w:lineRule="auto"/>
      </w:pPr>
    </w:p>
    <w:p w14:paraId="4664D00C">
      <w:pPr>
        <w:pStyle w:val="2"/>
        <w:spacing w:line="264" w:lineRule="auto"/>
      </w:pPr>
    </w:p>
    <w:p w14:paraId="1CE43914">
      <w:pPr>
        <w:pStyle w:val="2"/>
        <w:spacing w:line="264" w:lineRule="auto"/>
      </w:pPr>
    </w:p>
    <w:p w14:paraId="5100532C">
      <w:pPr>
        <w:pStyle w:val="2"/>
        <w:spacing w:line="265" w:lineRule="auto"/>
      </w:pPr>
    </w:p>
    <w:p w14:paraId="67DD58B5">
      <w:pPr>
        <w:spacing w:before="78" w:line="219" w:lineRule="auto"/>
        <w:ind w:left="10"/>
        <w:rPr>
          <w:rFonts w:ascii="宋体" w:hAnsi="宋体" w:eastAsia="宋体" w:cs="宋体"/>
          <w:sz w:val="24"/>
          <w:szCs w:val="24"/>
        </w:rPr>
      </w:pPr>
      <w:r>
        <w:rPr>
          <w:rFonts w:ascii="宋体" w:hAnsi="宋体" w:eastAsia="宋体" w:cs="宋体"/>
          <w:spacing w:val="-1"/>
          <w:sz w:val="24"/>
          <w:szCs w:val="24"/>
        </w:rPr>
        <w:t>雨，猪舍全部采用水泥硬底化，防止渗滤液泄漏污染地下水。</w:t>
      </w:r>
    </w:p>
    <w:p w14:paraId="65289BFB">
      <w:pPr>
        <w:spacing w:before="204" w:line="220" w:lineRule="auto"/>
        <w:ind w:left="492"/>
        <w:rPr>
          <w:rFonts w:ascii="宋体" w:hAnsi="宋体" w:eastAsia="宋体" w:cs="宋体"/>
          <w:sz w:val="24"/>
          <w:szCs w:val="24"/>
        </w:rPr>
      </w:pPr>
      <w:r>
        <w:rPr>
          <w:rFonts w:ascii="宋体" w:hAnsi="宋体" w:eastAsia="宋体" w:cs="宋体"/>
          <w:spacing w:val="-1"/>
          <w:sz w:val="24"/>
          <w:szCs w:val="24"/>
        </w:rPr>
        <w:t>（2）养殖场的排水系统应实行雨水和污水收集输送系统分离。</w:t>
      </w:r>
    </w:p>
    <w:p w14:paraId="43CF0028">
      <w:pPr>
        <w:spacing w:before="204" w:line="378" w:lineRule="auto"/>
        <w:ind w:left="1" w:right="86" w:firstLine="498"/>
        <w:rPr>
          <w:rFonts w:ascii="宋体" w:hAnsi="宋体" w:eastAsia="宋体" w:cs="宋体"/>
          <w:sz w:val="24"/>
          <w:szCs w:val="24"/>
        </w:rPr>
      </w:pPr>
      <w:r>
        <w:rPr>
          <w:rFonts w:ascii="宋体" w:hAnsi="宋体" w:eastAsia="宋体" w:cs="宋体"/>
          <w:spacing w:val="2"/>
          <w:sz w:val="24"/>
          <w:szCs w:val="24"/>
        </w:rPr>
        <w:t>因此，在企业严格落实对污水明渠硬底化、环保处理设施</w:t>
      </w:r>
      <w:r>
        <w:rPr>
          <w:rFonts w:ascii="宋体" w:hAnsi="宋体" w:eastAsia="宋体" w:cs="宋体"/>
          <w:spacing w:val="1"/>
          <w:sz w:val="24"/>
          <w:szCs w:val="24"/>
        </w:rPr>
        <w:t>采用防渗漏措施以及</w:t>
      </w:r>
      <w:r>
        <w:rPr>
          <w:rFonts w:ascii="宋体" w:hAnsi="宋体" w:eastAsia="宋体" w:cs="宋体"/>
          <w:sz w:val="24"/>
          <w:szCs w:val="24"/>
        </w:rPr>
        <w:t xml:space="preserve"> </w:t>
      </w:r>
      <w:r>
        <w:rPr>
          <w:rFonts w:ascii="宋体" w:hAnsi="宋体" w:eastAsia="宋体" w:cs="宋体"/>
          <w:spacing w:val="-1"/>
          <w:sz w:val="24"/>
          <w:szCs w:val="24"/>
        </w:rPr>
        <w:t>加强管理下，可认为，本项目的建设对地下水的影响不大。</w:t>
      </w:r>
    </w:p>
    <w:p w14:paraId="53205C9C">
      <w:pPr>
        <w:spacing w:before="290"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5.2.3</w:t>
      </w:r>
      <w:r>
        <w:rPr>
          <w:rFonts w:ascii="宋体" w:hAnsi="宋体" w:eastAsia="宋体" w:cs="宋体"/>
          <w:b/>
          <w:bCs/>
          <w:spacing w:val="-2"/>
          <w:sz w:val="24"/>
          <w:szCs w:val="24"/>
        </w:rPr>
        <w:t>大气环境影响评价</w:t>
      </w:r>
    </w:p>
    <w:p w14:paraId="7DDB4E5E">
      <w:pPr>
        <w:pStyle w:val="2"/>
        <w:spacing w:line="246" w:lineRule="auto"/>
      </w:pPr>
    </w:p>
    <w:p w14:paraId="62E10401">
      <w:pPr>
        <w:spacing w:before="78" w:line="360" w:lineRule="exact"/>
        <w:ind w:left="473"/>
        <w:rPr>
          <w:rFonts w:ascii="宋体" w:hAnsi="宋体" w:eastAsia="宋体" w:cs="宋体"/>
          <w:sz w:val="24"/>
          <w:szCs w:val="24"/>
        </w:rPr>
      </w:pPr>
      <w:r>
        <w:rPr>
          <w:rFonts w:ascii="Times New Roman" w:hAnsi="Times New Roman" w:eastAsia="Times New Roman" w:cs="Times New Roman"/>
          <w:spacing w:val="-7"/>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7"/>
          <w:position w:val="2"/>
          <w:sz w:val="24"/>
          <w:szCs w:val="24"/>
        </w:rPr>
        <w:t>、气象条件分析</w:t>
      </w:r>
    </w:p>
    <w:p w14:paraId="23AD0B54">
      <w:pPr>
        <w:spacing w:before="129" w:line="374" w:lineRule="auto"/>
        <w:ind w:left="1" w:right="81" w:firstLine="480"/>
        <w:rPr>
          <w:rFonts w:ascii="宋体" w:hAnsi="宋体" w:eastAsia="宋体" w:cs="宋体"/>
          <w:sz w:val="24"/>
          <w:szCs w:val="24"/>
        </w:rPr>
      </w:pPr>
      <w:r>
        <w:rPr>
          <w:rFonts w:ascii="宋体" w:hAnsi="宋体" w:eastAsia="宋体" w:cs="宋体"/>
          <w:spacing w:val="-2"/>
          <w:sz w:val="24"/>
          <w:szCs w:val="24"/>
        </w:rPr>
        <w:t>根据《环境影响评价技术导则大气环境》（</w:t>
      </w:r>
      <w:r>
        <w:rPr>
          <w:rFonts w:ascii="Times New Roman" w:hAnsi="Times New Roman" w:eastAsia="Times New Roman" w:cs="Times New Roman"/>
          <w:spacing w:val="-2"/>
          <w:sz w:val="24"/>
          <w:szCs w:val="24"/>
        </w:rPr>
        <w:t>HJ2.2-2018</w:t>
      </w:r>
      <w:r>
        <w:rPr>
          <w:rFonts w:ascii="宋体" w:hAnsi="宋体" w:eastAsia="宋体" w:cs="宋体"/>
          <w:spacing w:val="-2"/>
          <w:sz w:val="24"/>
          <w:szCs w:val="24"/>
        </w:rPr>
        <w:t>）要求，本报告</w:t>
      </w:r>
      <w:r>
        <w:rPr>
          <w:rFonts w:ascii="宋体" w:hAnsi="宋体" w:eastAsia="宋体" w:cs="宋体"/>
          <w:spacing w:val="-3"/>
          <w:sz w:val="24"/>
          <w:szCs w:val="24"/>
        </w:rPr>
        <w:t>收集了汕</w:t>
      </w:r>
      <w:r>
        <w:rPr>
          <w:rFonts w:ascii="宋体" w:hAnsi="宋体" w:eastAsia="宋体" w:cs="宋体"/>
          <w:sz w:val="24"/>
          <w:szCs w:val="24"/>
        </w:rPr>
        <w:t xml:space="preserve"> </w:t>
      </w:r>
      <w:r>
        <w:rPr>
          <w:rFonts w:ascii="宋体" w:hAnsi="宋体" w:eastAsia="宋体" w:cs="宋体"/>
          <w:spacing w:val="-2"/>
          <w:sz w:val="24"/>
          <w:szCs w:val="24"/>
        </w:rPr>
        <w:t>尾站近</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 </w:t>
      </w:r>
      <w:r>
        <w:rPr>
          <w:rFonts w:ascii="宋体" w:hAnsi="宋体" w:eastAsia="宋体" w:cs="宋体"/>
          <w:spacing w:val="-2"/>
          <w:sz w:val="24"/>
          <w:szCs w:val="24"/>
        </w:rPr>
        <w:t>年的主要气候统计资料（</w:t>
      </w:r>
      <w:r>
        <w:rPr>
          <w:rFonts w:ascii="Times New Roman" w:hAnsi="Times New Roman" w:eastAsia="Times New Roman" w:cs="Times New Roman"/>
          <w:spacing w:val="-2"/>
          <w:sz w:val="24"/>
          <w:szCs w:val="24"/>
        </w:rPr>
        <w:t xml:space="preserve">1997~2016 </w:t>
      </w:r>
      <w:r>
        <w:rPr>
          <w:rFonts w:ascii="宋体" w:hAnsi="宋体" w:eastAsia="宋体" w:cs="宋体"/>
          <w:spacing w:val="-2"/>
          <w:sz w:val="24"/>
          <w:szCs w:val="24"/>
        </w:rPr>
        <w:t>年</w:t>
      </w:r>
      <w:r>
        <w:rPr>
          <w:rFonts w:ascii="宋体" w:hAnsi="宋体" w:eastAsia="宋体" w:cs="宋体"/>
          <w:spacing w:val="-13"/>
          <w:sz w:val="24"/>
          <w:szCs w:val="24"/>
        </w:rPr>
        <w:t>），</w:t>
      </w:r>
      <w:r>
        <w:rPr>
          <w:rFonts w:ascii="宋体" w:hAnsi="宋体" w:eastAsia="宋体" w:cs="宋体"/>
          <w:spacing w:val="-2"/>
          <w:sz w:val="24"/>
          <w:szCs w:val="24"/>
        </w:rPr>
        <w:t>汕尾气象站（</w:t>
      </w:r>
      <w:r>
        <w:rPr>
          <w:rFonts w:ascii="Times New Roman" w:hAnsi="Times New Roman" w:eastAsia="Times New Roman" w:cs="Times New Roman"/>
          <w:spacing w:val="-2"/>
          <w:sz w:val="24"/>
          <w:szCs w:val="24"/>
        </w:rPr>
        <w:t>59501</w:t>
      </w:r>
      <w:r>
        <w:rPr>
          <w:rFonts w:ascii="宋体" w:hAnsi="宋体" w:eastAsia="宋体" w:cs="宋体"/>
          <w:spacing w:val="-2"/>
          <w:sz w:val="24"/>
          <w:szCs w:val="24"/>
        </w:rPr>
        <w:t>）位</w:t>
      </w:r>
      <w:r>
        <w:rPr>
          <w:rFonts w:ascii="宋体" w:hAnsi="宋体" w:eastAsia="宋体" w:cs="宋体"/>
          <w:spacing w:val="-3"/>
          <w:sz w:val="24"/>
          <w:szCs w:val="24"/>
        </w:rPr>
        <w:t>于广东</w:t>
      </w:r>
      <w:r>
        <w:rPr>
          <w:rFonts w:ascii="宋体" w:hAnsi="宋体" w:eastAsia="宋体" w:cs="宋体"/>
          <w:sz w:val="24"/>
          <w:szCs w:val="24"/>
        </w:rPr>
        <w:t xml:space="preserve"> </w:t>
      </w:r>
      <w:r>
        <w:rPr>
          <w:rFonts w:ascii="宋体" w:hAnsi="宋体" w:eastAsia="宋体" w:cs="宋体"/>
          <w:spacing w:val="-2"/>
          <w:sz w:val="24"/>
          <w:szCs w:val="24"/>
        </w:rPr>
        <w:t>省汕尾市，地理坐标为东经</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 xml:space="preserve">115.3667  </w:t>
      </w:r>
      <w:r>
        <w:rPr>
          <w:rFonts w:ascii="宋体" w:hAnsi="宋体" w:eastAsia="宋体" w:cs="宋体"/>
          <w:spacing w:val="-2"/>
          <w:sz w:val="24"/>
          <w:szCs w:val="24"/>
        </w:rPr>
        <w:t>度，北纬</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22.8 </w:t>
      </w:r>
      <w:r>
        <w:rPr>
          <w:rFonts w:ascii="宋体" w:hAnsi="宋体" w:eastAsia="宋体" w:cs="宋体"/>
          <w:spacing w:val="-2"/>
          <w:sz w:val="24"/>
          <w:szCs w:val="24"/>
        </w:rPr>
        <w:t>度，海拔高度</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17.3  </w:t>
      </w:r>
      <w:r>
        <w:rPr>
          <w:rFonts w:ascii="宋体" w:hAnsi="宋体" w:eastAsia="宋体" w:cs="宋体"/>
          <w:spacing w:val="-2"/>
          <w:sz w:val="24"/>
          <w:szCs w:val="24"/>
        </w:rPr>
        <w:t>米。</w:t>
      </w:r>
    </w:p>
    <w:p w14:paraId="1E633C14">
      <w:pPr>
        <w:spacing w:before="9" w:line="360"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）多年气象统计资料</w:t>
      </w:r>
    </w:p>
    <w:p w14:paraId="64FE18AD">
      <w:pPr>
        <w:spacing w:before="129" w:line="334" w:lineRule="exact"/>
        <w:ind w:left="499"/>
        <w:rPr>
          <w:rFonts w:ascii="宋体" w:hAnsi="宋体" w:eastAsia="宋体" w:cs="宋体"/>
          <w:sz w:val="24"/>
          <w:szCs w:val="24"/>
        </w:rPr>
      </w:pPr>
      <w:r>
        <w:rPr>
          <w:rFonts w:ascii="Times New Roman" w:hAnsi="Times New Roman" w:eastAsia="Times New Roman" w:cs="Times New Roman"/>
          <w:spacing w:val="-2"/>
          <w:position w:val="3"/>
          <w:sz w:val="24"/>
          <w:szCs w:val="24"/>
        </w:rPr>
        <w:t>1)</w:t>
      </w:r>
      <w:r>
        <w:rPr>
          <w:rFonts w:ascii="宋体" w:hAnsi="宋体" w:eastAsia="宋体" w:cs="宋体"/>
          <w:spacing w:val="-2"/>
          <w:position w:val="3"/>
          <w:sz w:val="24"/>
          <w:szCs w:val="24"/>
        </w:rPr>
        <w:t>汕尾气象站气象资料整编表如下表所示。</w:t>
      </w:r>
    </w:p>
    <w:p w14:paraId="670EF1A9">
      <w:pPr>
        <w:spacing w:before="206" w:line="228" w:lineRule="auto"/>
        <w:ind w:left="1523"/>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6"/>
          <w:sz w:val="20"/>
          <w:szCs w:val="20"/>
        </w:rPr>
        <w:t xml:space="preserve">5.2-7 </w:t>
      </w:r>
      <w:r>
        <w:rPr>
          <w:rFonts w:ascii="宋体" w:hAnsi="宋体" w:eastAsia="宋体" w:cs="宋体"/>
          <w:b/>
          <w:bCs/>
          <w:spacing w:val="6"/>
          <w:sz w:val="20"/>
          <w:szCs w:val="20"/>
        </w:rPr>
        <w:t>汕尾气象站近</w:t>
      </w:r>
      <w:r>
        <w:rPr>
          <w:rFonts w:ascii="宋体" w:hAnsi="宋体" w:eastAsia="宋体" w:cs="宋体"/>
          <w:spacing w:val="-40"/>
          <w:sz w:val="20"/>
          <w:szCs w:val="20"/>
        </w:rPr>
        <w:t xml:space="preserve"> </w:t>
      </w:r>
      <w:r>
        <w:rPr>
          <w:rFonts w:ascii="Times New Roman" w:hAnsi="Times New Roman" w:eastAsia="Times New Roman" w:cs="Times New Roman"/>
          <w:b/>
          <w:bCs/>
          <w:spacing w:val="6"/>
          <w:sz w:val="20"/>
          <w:szCs w:val="20"/>
        </w:rPr>
        <w:t xml:space="preserve">20 </w:t>
      </w:r>
      <w:r>
        <w:rPr>
          <w:rFonts w:ascii="宋体" w:hAnsi="宋体" w:eastAsia="宋体" w:cs="宋体"/>
          <w:b/>
          <w:bCs/>
          <w:spacing w:val="6"/>
          <w:sz w:val="20"/>
          <w:szCs w:val="20"/>
        </w:rPr>
        <w:t>年（</w:t>
      </w:r>
      <w:r>
        <w:rPr>
          <w:rFonts w:ascii="Times New Roman" w:hAnsi="Times New Roman" w:eastAsia="Times New Roman" w:cs="Times New Roman"/>
          <w:b/>
          <w:bCs/>
          <w:spacing w:val="6"/>
          <w:sz w:val="20"/>
          <w:szCs w:val="20"/>
        </w:rPr>
        <w:t>1997</w:t>
      </w:r>
      <w:r>
        <w:rPr>
          <w:rFonts w:ascii="宋体" w:hAnsi="宋体" w:eastAsia="宋体" w:cs="宋体"/>
          <w:b/>
          <w:bCs/>
          <w:spacing w:val="6"/>
          <w:sz w:val="20"/>
          <w:szCs w:val="20"/>
        </w:rPr>
        <w:t>～</w:t>
      </w:r>
      <w:r>
        <w:rPr>
          <w:rFonts w:ascii="Times New Roman" w:hAnsi="Times New Roman" w:eastAsia="Times New Roman" w:cs="Times New Roman"/>
          <w:b/>
          <w:bCs/>
          <w:spacing w:val="6"/>
          <w:sz w:val="20"/>
          <w:szCs w:val="20"/>
        </w:rPr>
        <w:t xml:space="preserve">2016 </w:t>
      </w:r>
      <w:r>
        <w:rPr>
          <w:rFonts w:ascii="宋体" w:hAnsi="宋体" w:eastAsia="宋体" w:cs="宋体"/>
          <w:b/>
          <w:bCs/>
          <w:spacing w:val="6"/>
          <w:sz w:val="20"/>
          <w:szCs w:val="20"/>
        </w:rPr>
        <w:t>年）主要气候资料统计表</w:t>
      </w:r>
    </w:p>
    <w:p w14:paraId="28651DA1">
      <w:pPr>
        <w:spacing w:before="202" w:line="5016" w:lineRule="exact"/>
        <w:ind w:firstLine="503"/>
      </w:pPr>
      <w:r>
        <w:rPr>
          <w:position w:val="-100"/>
        </w:rPr>
        <w:drawing>
          <wp:inline distT="0" distB="0" distL="0" distR="0">
            <wp:extent cx="5273040" cy="318452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27"/>
                    <a:stretch>
                      <a:fillRect/>
                    </a:stretch>
                  </pic:blipFill>
                  <pic:spPr>
                    <a:xfrm>
                      <a:off x="0" y="0"/>
                      <a:ext cx="5273040" cy="3185159"/>
                    </a:xfrm>
                    <a:prstGeom prst="rect">
                      <a:avLst/>
                    </a:prstGeom>
                  </pic:spPr>
                </pic:pic>
              </a:graphicData>
            </a:graphic>
          </wp:inline>
        </w:drawing>
      </w:r>
    </w:p>
    <w:p w14:paraId="3F821C71">
      <w:pPr>
        <w:spacing w:before="187" w:line="334" w:lineRule="exact"/>
        <w:ind w:left="476"/>
        <w:rPr>
          <w:rFonts w:ascii="宋体" w:hAnsi="宋体" w:eastAsia="宋体" w:cs="宋体"/>
          <w:sz w:val="24"/>
          <w:szCs w:val="24"/>
        </w:rPr>
      </w:pPr>
      <w:r>
        <w:rPr>
          <w:rFonts w:ascii="Times New Roman" w:hAnsi="Times New Roman" w:eastAsia="Times New Roman" w:cs="Times New Roman"/>
          <w:spacing w:val="-1"/>
          <w:position w:val="3"/>
          <w:sz w:val="24"/>
          <w:szCs w:val="24"/>
        </w:rPr>
        <w:t>2)</w:t>
      </w:r>
      <w:r>
        <w:rPr>
          <w:rFonts w:ascii="宋体" w:hAnsi="宋体" w:eastAsia="宋体" w:cs="宋体"/>
          <w:spacing w:val="-1"/>
          <w:position w:val="3"/>
          <w:sz w:val="24"/>
          <w:szCs w:val="24"/>
        </w:rPr>
        <w:t>气象站风观测数据统计</w:t>
      </w:r>
    </w:p>
    <w:p w14:paraId="6FE8E82F">
      <w:pPr>
        <w:spacing w:before="194" w:line="220" w:lineRule="auto"/>
        <w:ind w:left="480"/>
        <w:rPr>
          <w:rFonts w:ascii="宋体" w:hAnsi="宋体" w:eastAsia="宋体" w:cs="宋体"/>
          <w:sz w:val="24"/>
          <w:szCs w:val="24"/>
        </w:rPr>
      </w:pPr>
      <w:r>
        <w:rPr>
          <w:rFonts w:ascii="Times New Roman" w:hAnsi="Times New Roman" w:eastAsia="Times New Roman" w:cs="Times New Roman"/>
          <w:spacing w:val="-4"/>
          <w:sz w:val="24"/>
          <w:szCs w:val="24"/>
        </w:rPr>
        <w:t>a</w:t>
      </w:r>
      <w:r>
        <w:rPr>
          <w:rFonts w:ascii="Times New Roman" w:hAnsi="Times New Roman" w:eastAsia="Times New Roman" w:cs="Times New Roman"/>
          <w:spacing w:val="-35"/>
          <w:sz w:val="24"/>
          <w:szCs w:val="24"/>
        </w:rPr>
        <w:t xml:space="preserve"> </w:t>
      </w:r>
      <w:r>
        <w:rPr>
          <w:rFonts w:ascii="宋体" w:hAnsi="宋体" w:eastAsia="宋体" w:cs="宋体"/>
          <w:spacing w:val="-4"/>
          <w:sz w:val="24"/>
          <w:szCs w:val="24"/>
        </w:rPr>
        <w:t>、气象站温度分析</w:t>
      </w:r>
    </w:p>
    <w:p w14:paraId="193F1013">
      <w:pPr>
        <w:spacing w:before="165" w:line="374" w:lineRule="auto"/>
        <w:ind w:left="2" w:right="86" w:firstLine="481"/>
        <w:rPr>
          <w:rFonts w:ascii="宋体" w:hAnsi="宋体" w:eastAsia="宋体" w:cs="宋体"/>
          <w:sz w:val="24"/>
          <w:szCs w:val="24"/>
        </w:rPr>
      </w:pPr>
      <w:r>
        <w:rPr>
          <w:rFonts w:ascii="宋体" w:hAnsi="宋体" w:eastAsia="宋体" w:cs="宋体"/>
          <w:spacing w:val="-7"/>
          <w:sz w:val="24"/>
          <w:szCs w:val="24"/>
        </w:rPr>
        <w:t>汕尾气象站</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07</w:t>
      </w:r>
      <w:r>
        <w:rPr>
          <w:rFonts w:ascii="Times New Roman" w:hAnsi="Times New Roman" w:eastAsia="Times New Roman" w:cs="Times New Roman"/>
          <w:spacing w:val="16"/>
          <w:sz w:val="24"/>
          <w:szCs w:val="24"/>
        </w:rPr>
        <w:t xml:space="preserve"> </w:t>
      </w:r>
      <w:r>
        <w:rPr>
          <w:rFonts w:ascii="宋体" w:hAnsi="宋体" w:eastAsia="宋体" w:cs="宋体"/>
          <w:spacing w:val="-7"/>
          <w:sz w:val="24"/>
          <w:szCs w:val="24"/>
        </w:rPr>
        <w:t>月气温最高（</w:t>
      </w:r>
      <w:r>
        <w:rPr>
          <w:rFonts w:ascii="Times New Roman" w:hAnsi="Times New Roman" w:eastAsia="Times New Roman" w:cs="Times New Roman"/>
          <w:spacing w:val="-7"/>
          <w:sz w:val="24"/>
          <w:szCs w:val="24"/>
        </w:rPr>
        <w:t>28.49</w:t>
      </w:r>
      <w:r>
        <w:rPr>
          <w:rFonts w:ascii="宋体" w:hAnsi="宋体" w:eastAsia="宋体" w:cs="宋体"/>
          <w:spacing w:val="-7"/>
          <w:sz w:val="24"/>
          <w:szCs w:val="24"/>
        </w:rPr>
        <w:t>℃)</w:t>
      </w:r>
      <w:r>
        <w:rPr>
          <w:rFonts w:ascii="宋体" w:hAnsi="宋体" w:eastAsia="宋体" w:cs="宋体"/>
          <w:spacing w:val="27"/>
          <w:sz w:val="24"/>
          <w:szCs w:val="24"/>
        </w:rPr>
        <w:t xml:space="preserve"> </w:t>
      </w:r>
      <w:r>
        <w:rPr>
          <w:rFonts w:ascii="宋体" w:hAnsi="宋体" w:eastAsia="宋体" w:cs="宋体"/>
          <w:spacing w:val="-7"/>
          <w:sz w:val="24"/>
          <w:szCs w:val="24"/>
        </w:rPr>
        <w:t>,</w:t>
      </w:r>
      <w:r>
        <w:rPr>
          <w:rFonts w:ascii="宋体" w:hAnsi="宋体" w:eastAsia="宋体" w:cs="宋体"/>
          <w:spacing w:val="46"/>
          <w:sz w:val="24"/>
          <w:szCs w:val="24"/>
        </w:rPr>
        <w:t xml:space="preserve"> </w:t>
      </w:r>
      <w:r>
        <w:rPr>
          <w:rFonts w:ascii="Times New Roman" w:hAnsi="Times New Roman" w:eastAsia="Times New Roman" w:cs="Times New Roman"/>
          <w:spacing w:val="-7"/>
          <w:sz w:val="24"/>
          <w:szCs w:val="24"/>
        </w:rPr>
        <w:t>01</w:t>
      </w:r>
      <w:r>
        <w:rPr>
          <w:rFonts w:ascii="Times New Roman" w:hAnsi="Times New Roman" w:eastAsia="Times New Roman" w:cs="Times New Roman"/>
          <w:spacing w:val="15"/>
          <w:w w:val="101"/>
          <w:sz w:val="24"/>
          <w:szCs w:val="24"/>
        </w:rPr>
        <w:t xml:space="preserve"> </w:t>
      </w:r>
      <w:r>
        <w:rPr>
          <w:rFonts w:ascii="宋体" w:hAnsi="宋体" w:eastAsia="宋体" w:cs="宋体"/>
          <w:spacing w:val="-8"/>
          <w:sz w:val="24"/>
          <w:szCs w:val="24"/>
        </w:rPr>
        <w:t>月气温最低（</w:t>
      </w:r>
      <w:r>
        <w:rPr>
          <w:rFonts w:ascii="Times New Roman" w:hAnsi="Times New Roman" w:eastAsia="Times New Roman" w:cs="Times New Roman"/>
          <w:spacing w:val="-8"/>
          <w:sz w:val="24"/>
          <w:szCs w:val="24"/>
        </w:rPr>
        <w:t>15.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8"/>
          <w:sz w:val="24"/>
          <w:szCs w:val="24"/>
        </w:rPr>
        <w:t>10</w:t>
      </w:r>
      <w:r>
        <w:rPr>
          <w:rFonts w:ascii="宋体" w:hAnsi="宋体" w:eastAsia="宋体" w:cs="宋体"/>
          <w:spacing w:val="-8"/>
          <w:sz w:val="24"/>
          <w:szCs w:val="24"/>
        </w:rPr>
        <w:t>℃)</w:t>
      </w:r>
      <w:r>
        <w:rPr>
          <w:rFonts w:ascii="宋体" w:hAnsi="宋体" w:eastAsia="宋体" w:cs="宋体"/>
          <w:spacing w:val="25"/>
          <w:sz w:val="24"/>
          <w:szCs w:val="24"/>
        </w:rPr>
        <w:t xml:space="preserve"> </w:t>
      </w:r>
      <w:r>
        <w:rPr>
          <w:rFonts w:ascii="宋体" w:hAnsi="宋体" w:eastAsia="宋体" w:cs="宋体"/>
          <w:spacing w:val="-8"/>
          <w:sz w:val="24"/>
          <w:szCs w:val="24"/>
        </w:rPr>
        <w:t>,</w:t>
      </w:r>
      <w:r>
        <w:rPr>
          <w:rFonts w:ascii="宋体" w:hAnsi="宋体" w:eastAsia="宋体" w:cs="宋体"/>
          <w:spacing w:val="45"/>
          <w:sz w:val="24"/>
          <w:szCs w:val="24"/>
        </w:rPr>
        <w:t xml:space="preserve"> </w:t>
      </w:r>
      <w:r>
        <w:rPr>
          <w:rFonts w:ascii="宋体" w:hAnsi="宋体" w:eastAsia="宋体" w:cs="宋体"/>
          <w:spacing w:val="-8"/>
          <w:sz w:val="24"/>
          <w:szCs w:val="24"/>
        </w:rPr>
        <w:t>近</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 xml:space="preserve">20 </w:t>
      </w:r>
      <w:r>
        <w:rPr>
          <w:rFonts w:ascii="宋体" w:hAnsi="宋体" w:eastAsia="宋体" w:cs="宋体"/>
          <w:spacing w:val="-8"/>
          <w:sz w:val="24"/>
          <w:szCs w:val="24"/>
        </w:rPr>
        <w:t>年极</w:t>
      </w:r>
      <w:r>
        <w:rPr>
          <w:rFonts w:ascii="宋体" w:hAnsi="宋体" w:eastAsia="宋体" w:cs="宋体"/>
          <w:sz w:val="24"/>
          <w:szCs w:val="24"/>
        </w:rPr>
        <w:t xml:space="preserve"> </w:t>
      </w:r>
      <w:r>
        <w:rPr>
          <w:rFonts w:ascii="宋体" w:hAnsi="宋体" w:eastAsia="宋体" w:cs="宋体"/>
          <w:spacing w:val="-1"/>
          <w:sz w:val="24"/>
          <w:szCs w:val="24"/>
        </w:rPr>
        <w:t>端最高气温出现在</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2005-07-18</w:t>
      </w:r>
      <w:r>
        <w:rPr>
          <w:rFonts w:ascii="宋体" w:hAnsi="宋体" w:eastAsia="宋体" w:cs="宋体"/>
          <w:spacing w:val="-1"/>
          <w:sz w:val="24"/>
          <w:szCs w:val="24"/>
        </w:rPr>
        <w:t>（</w:t>
      </w:r>
      <w:r>
        <w:rPr>
          <w:rFonts w:ascii="Times New Roman" w:hAnsi="Times New Roman" w:eastAsia="Times New Roman" w:cs="Times New Roman"/>
          <w:spacing w:val="-1"/>
          <w:sz w:val="24"/>
          <w:szCs w:val="24"/>
        </w:rPr>
        <w:t>38.0</w:t>
      </w:r>
      <w:r>
        <w:rPr>
          <w:rFonts w:ascii="宋体" w:hAnsi="宋体" w:eastAsia="宋体" w:cs="宋体"/>
          <w:spacing w:val="4"/>
          <w:sz w:val="24"/>
          <w:szCs w:val="24"/>
        </w:rPr>
        <w:t>），</w:t>
      </w:r>
      <w:r>
        <w:rPr>
          <w:rFonts w:ascii="宋体" w:hAnsi="宋体" w:eastAsia="宋体" w:cs="宋体"/>
          <w:spacing w:val="-1"/>
          <w:sz w:val="24"/>
          <w:szCs w:val="24"/>
        </w:rPr>
        <w:t>近</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 </w:t>
      </w:r>
      <w:r>
        <w:rPr>
          <w:rFonts w:ascii="宋体" w:hAnsi="宋体" w:eastAsia="宋体" w:cs="宋体"/>
          <w:spacing w:val="-1"/>
          <w:sz w:val="24"/>
          <w:szCs w:val="24"/>
        </w:rPr>
        <w:t>年极端最低气温出</w:t>
      </w:r>
      <w:r>
        <w:rPr>
          <w:rFonts w:ascii="宋体" w:hAnsi="宋体" w:eastAsia="宋体" w:cs="宋体"/>
          <w:spacing w:val="-2"/>
          <w:sz w:val="24"/>
          <w:szCs w:val="24"/>
        </w:rPr>
        <w:t>现在</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1999-12-23</w:t>
      </w:r>
      <w:r>
        <w:rPr>
          <w:rFonts w:ascii="宋体" w:hAnsi="宋体" w:eastAsia="宋体" w:cs="宋体"/>
          <w:spacing w:val="-2"/>
          <w:sz w:val="24"/>
          <w:szCs w:val="24"/>
        </w:rPr>
        <w:t>。</w:t>
      </w:r>
    </w:p>
    <w:p w14:paraId="5C035D32">
      <w:pPr>
        <w:spacing w:line="374" w:lineRule="auto"/>
        <w:rPr>
          <w:rFonts w:ascii="宋体" w:hAnsi="宋体" w:eastAsia="宋体" w:cs="宋体"/>
          <w:sz w:val="24"/>
          <w:szCs w:val="24"/>
        </w:rPr>
        <w:sectPr>
          <w:footerReference r:id="rId131" w:type="default"/>
          <w:pgSz w:w="11906" w:h="16839"/>
          <w:pgMar w:top="400" w:right="1501" w:bottom="1485" w:left="1596" w:header="0" w:footer="1249" w:gutter="0"/>
          <w:cols w:space="720" w:num="1"/>
        </w:sectPr>
      </w:pPr>
    </w:p>
    <w:p w14:paraId="7CD0995F">
      <w:pPr>
        <w:pStyle w:val="2"/>
        <w:spacing w:line="275" w:lineRule="auto"/>
      </w:pPr>
    </w:p>
    <w:p w14:paraId="3C9700D0">
      <w:pPr>
        <w:pStyle w:val="2"/>
        <w:spacing w:line="275" w:lineRule="auto"/>
      </w:pPr>
    </w:p>
    <w:p w14:paraId="7BC141A4">
      <w:pPr>
        <w:pStyle w:val="2"/>
        <w:spacing w:line="275" w:lineRule="auto"/>
      </w:pPr>
    </w:p>
    <w:p w14:paraId="1F1C233C">
      <w:pPr>
        <w:pStyle w:val="2"/>
        <w:spacing w:line="275" w:lineRule="auto"/>
      </w:pPr>
    </w:p>
    <w:p w14:paraId="6DCC2017">
      <w:pPr>
        <w:spacing w:line="5040" w:lineRule="exact"/>
        <w:ind w:firstLine="1346"/>
      </w:pPr>
      <w:r>
        <w:rPr>
          <w:position w:val="-100"/>
        </w:rPr>
        <w:drawing>
          <wp:inline distT="0" distB="0" distL="0" distR="0">
            <wp:extent cx="4159885" cy="32004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28"/>
                    <a:stretch>
                      <a:fillRect/>
                    </a:stretch>
                  </pic:blipFill>
                  <pic:spPr>
                    <a:xfrm>
                      <a:off x="0" y="0"/>
                      <a:ext cx="4160519" cy="3200400"/>
                    </a:xfrm>
                    <a:prstGeom prst="rect">
                      <a:avLst/>
                    </a:prstGeom>
                  </pic:spPr>
                </pic:pic>
              </a:graphicData>
            </a:graphic>
          </wp:inline>
        </w:drawing>
      </w:r>
    </w:p>
    <w:p w14:paraId="4FDEB909">
      <w:pPr>
        <w:spacing w:before="145" w:line="228" w:lineRule="auto"/>
        <w:ind w:left="2628"/>
        <w:rPr>
          <w:rFonts w:ascii="宋体" w:hAnsi="宋体" w:eastAsia="宋体" w:cs="宋体"/>
          <w:sz w:val="20"/>
          <w:szCs w:val="20"/>
        </w:rPr>
      </w:pPr>
      <w:r>
        <w:rPr>
          <w:rFonts w:ascii="宋体" w:hAnsi="宋体" w:eastAsia="宋体" w:cs="宋体"/>
          <w:b/>
          <w:bCs/>
          <w:spacing w:val="3"/>
          <w:sz w:val="20"/>
          <w:szCs w:val="20"/>
        </w:rPr>
        <w:t>图</w:t>
      </w:r>
      <w:r>
        <w:rPr>
          <w:rFonts w:ascii="宋体" w:hAnsi="宋体" w:eastAsia="宋体" w:cs="宋体"/>
          <w:spacing w:val="-38"/>
          <w:sz w:val="20"/>
          <w:szCs w:val="20"/>
        </w:rPr>
        <w:t xml:space="preserve"> </w:t>
      </w:r>
      <w:r>
        <w:rPr>
          <w:rFonts w:ascii="Times New Roman" w:hAnsi="Times New Roman" w:eastAsia="Times New Roman" w:cs="Times New Roman"/>
          <w:b/>
          <w:bCs/>
          <w:spacing w:val="3"/>
          <w:sz w:val="20"/>
          <w:szCs w:val="20"/>
        </w:rPr>
        <w:t xml:space="preserve">5.2-1  </w:t>
      </w:r>
      <w:r>
        <w:rPr>
          <w:rFonts w:ascii="宋体" w:hAnsi="宋体" w:eastAsia="宋体" w:cs="宋体"/>
          <w:b/>
          <w:bCs/>
          <w:spacing w:val="3"/>
          <w:sz w:val="20"/>
          <w:szCs w:val="20"/>
        </w:rPr>
        <w:t>汕尾月平均气温（单位：</w:t>
      </w:r>
      <w:r>
        <w:rPr>
          <w:rFonts w:ascii="宋体" w:hAnsi="宋体" w:eastAsia="宋体" w:cs="宋体"/>
          <w:spacing w:val="-65"/>
          <w:sz w:val="20"/>
          <w:szCs w:val="20"/>
        </w:rPr>
        <w:t xml:space="preserve"> </w:t>
      </w:r>
      <w:r>
        <w:rPr>
          <w:rFonts w:ascii="宋体" w:hAnsi="宋体" w:eastAsia="宋体" w:cs="宋体"/>
          <w:b/>
          <w:bCs/>
          <w:spacing w:val="2"/>
          <w:sz w:val="20"/>
          <w:szCs w:val="20"/>
        </w:rPr>
        <w:t>℃)</w:t>
      </w:r>
    </w:p>
    <w:p w14:paraId="5F0E9C33">
      <w:pPr>
        <w:pStyle w:val="2"/>
        <w:spacing w:line="258" w:lineRule="auto"/>
      </w:pPr>
    </w:p>
    <w:p w14:paraId="7AB8D95F">
      <w:pPr>
        <w:pStyle w:val="2"/>
        <w:spacing w:line="258" w:lineRule="auto"/>
      </w:pPr>
    </w:p>
    <w:p w14:paraId="5FA2EAE2">
      <w:pPr>
        <w:spacing w:before="78" w:line="360" w:lineRule="exact"/>
        <w:ind w:left="482"/>
        <w:rPr>
          <w:rFonts w:ascii="宋体" w:hAnsi="宋体" w:eastAsia="宋体" w:cs="宋体"/>
          <w:sz w:val="24"/>
          <w:szCs w:val="24"/>
        </w:rPr>
      </w:pPr>
      <w:r>
        <w:rPr>
          <w:rFonts w:ascii="Times New Roman" w:hAnsi="Times New Roman" w:eastAsia="Times New Roman" w:cs="Times New Roman"/>
          <w:spacing w:val="-4"/>
          <w:position w:val="2"/>
          <w:sz w:val="24"/>
          <w:szCs w:val="24"/>
        </w:rPr>
        <w:t>b</w:t>
      </w:r>
      <w:r>
        <w:rPr>
          <w:rFonts w:ascii="Times New Roman" w:hAnsi="Times New Roman" w:eastAsia="Times New Roman" w:cs="Times New Roman"/>
          <w:spacing w:val="-33"/>
          <w:position w:val="2"/>
          <w:sz w:val="24"/>
          <w:szCs w:val="24"/>
        </w:rPr>
        <w:t xml:space="preserve"> </w:t>
      </w:r>
      <w:r>
        <w:rPr>
          <w:rFonts w:ascii="宋体" w:hAnsi="宋体" w:eastAsia="宋体" w:cs="宋体"/>
          <w:spacing w:val="-4"/>
          <w:position w:val="2"/>
          <w:sz w:val="24"/>
          <w:szCs w:val="24"/>
        </w:rPr>
        <w:t>、月平均风速</w:t>
      </w:r>
    </w:p>
    <w:p w14:paraId="061344AC">
      <w:pPr>
        <w:spacing w:before="130" w:line="364" w:lineRule="auto"/>
        <w:ind w:left="12" w:firstLine="482"/>
        <w:rPr>
          <w:rFonts w:ascii="宋体" w:hAnsi="宋体" w:eastAsia="宋体" w:cs="宋体"/>
          <w:sz w:val="24"/>
          <w:szCs w:val="24"/>
        </w:rPr>
      </w:pPr>
      <w:r>
        <w:rPr>
          <w:rFonts w:ascii="宋体" w:hAnsi="宋体" w:eastAsia="宋体" w:cs="宋体"/>
          <w:spacing w:val="-7"/>
          <w:sz w:val="24"/>
          <w:szCs w:val="24"/>
        </w:rPr>
        <w:t>汕尾气象站月平均风速如表，</w:t>
      </w:r>
      <w:r>
        <w:rPr>
          <w:rFonts w:ascii="Times New Roman" w:hAnsi="Times New Roman" w:eastAsia="Times New Roman" w:cs="Times New Roman"/>
          <w:spacing w:val="-7"/>
          <w:sz w:val="24"/>
          <w:szCs w:val="24"/>
        </w:rPr>
        <w:t>6</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月平均风速最大（</w:t>
      </w:r>
      <w:r>
        <w:rPr>
          <w:rFonts w:ascii="Times New Roman" w:hAnsi="Times New Roman" w:eastAsia="Times New Roman" w:cs="Times New Roman"/>
          <w:spacing w:val="-7"/>
          <w:sz w:val="24"/>
          <w:szCs w:val="24"/>
        </w:rPr>
        <w:t xml:space="preserve">2.76  </w:t>
      </w:r>
      <w:r>
        <w:rPr>
          <w:rFonts w:ascii="宋体" w:hAnsi="宋体" w:eastAsia="宋体" w:cs="宋体"/>
          <w:spacing w:val="-7"/>
          <w:sz w:val="24"/>
          <w:szCs w:val="24"/>
        </w:rPr>
        <w:t>米</w:t>
      </w:r>
      <w:r>
        <w:rPr>
          <w:rFonts w:ascii="Times New Roman" w:hAnsi="Times New Roman" w:eastAsia="Times New Roman" w:cs="Times New Roman"/>
          <w:spacing w:val="-7"/>
          <w:sz w:val="24"/>
          <w:szCs w:val="24"/>
        </w:rPr>
        <w:t>/</w:t>
      </w:r>
      <w:r>
        <w:rPr>
          <w:rFonts w:ascii="宋体" w:hAnsi="宋体" w:eastAsia="宋体" w:cs="宋体"/>
          <w:spacing w:val="-7"/>
          <w:sz w:val="24"/>
          <w:szCs w:val="24"/>
        </w:rPr>
        <w:t>秒</w:t>
      </w:r>
      <w:r>
        <w:rPr>
          <w:rFonts w:ascii="宋体" w:hAnsi="宋体" w:eastAsia="宋体" w:cs="宋体"/>
          <w:spacing w:val="-46"/>
          <w:sz w:val="24"/>
          <w:szCs w:val="24"/>
        </w:rPr>
        <w:t>），</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月风最小（</w:t>
      </w:r>
      <w:r>
        <w:rPr>
          <w:rFonts w:ascii="Times New Roman" w:hAnsi="Times New Roman" w:eastAsia="Times New Roman" w:cs="Times New Roman"/>
          <w:spacing w:val="-7"/>
          <w:sz w:val="24"/>
          <w:szCs w:val="24"/>
        </w:rPr>
        <w:t>2.33</w:t>
      </w:r>
      <w:r>
        <w:rPr>
          <w:rFonts w:ascii="Times New Roman" w:hAnsi="Times New Roman" w:eastAsia="Times New Roman" w:cs="Times New Roman"/>
          <w:sz w:val="24"/>
          <w:szCs w:val="24"/>
        </w:rPr>
        <w:t xml:space="preserve"> </w:t>
      </w:r>
      <w:r>
        <w:rPr>
          <w:rFonts w:ascii="宋体" w:hAnsi="宋体" w:eastAsia="宋体" w:cs="宋体"/>
          <w:spacing w:val="-3"/>
          <w:sz w:val="24"/>
          <w:szCs w:val="24"/>
        </w:rPr>
        <w:t>米</w:t>
      </w:r>
      <w:r>
        <w:rPr>
          <w:rFonts w:ascii="Times New Roman" w:hAnsi="Times New Roman" w:eastAsia="Times New Roman" w:cs="Times New Roman"/>
          <w:spacing w:val="-3"/>
          <w:sz w:val="24"/>
          <w:szCs w:val="24"/>
        </w:rPr>
        <w:t>/</w:t>
      </w:r>
      <w:r>
        <w:rPr>
          <w:rFonts w:ascii="宋体" w:hAnsi="宋体" w:eastAsia="宋体" w:cs="宋体"/>
          <w:spacing w:val="-3"/>
          <w:sz w:val="24"/>
          <w:szCs w:val="24"/>
        </w:rPr>
        <w:t>秒）。</w:t>
      </w:r>
    </w:p>
    <w:p w14:paraId="1E6BE50C">
      <w:pPr>
        <w:spacing w:before="1" w:line="228" w:lineRule="auto"/>
        <w:ind w:left="2110"/>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b/>
          <w:bCs/>
          <w:spacing w:val="5"/>
          <w:sz w:val="20"/>
          <w:szCs w:val="20"/>
        </w:rPr>
        <w:t xml:space="preserve">5.2-8  </w:t>
      </w:r>
      <w:r>
        <w:rPr>
          <w:rFonts w:ascii="宋体" w:hAnsi="宋体" w:eastAsia="宋体" w:cs="宋体"/>
          <w:b/>
          <w:bCs/>
          <w:spacing w:val="5"/>
          <w:sz w:val="20"/>
          <w:szCs w:val="20"/>
        </w:rPr>
        <w:t>汕尾气象站月平均风速统计（单位</w:t>
      </w:r>
      <w:r>
        <w:rPr>
          <w:rFonts w:ascii="宋体" w:hAnsi="宋体" w:eastAsia="宋体" w:cs="宋体"/>
          <w:spacing w:val="-37"/>
          <w:sz w:val="20"/>
          <w:szCs w:val="20"/>
        </w:rPr>
        <w:t xml:space="preserve"> </w:t>
      </w:r>
      <w:r>
        <w:rPr>
          <w:rFonts w:ascii="Times New Roman" w:hAnsi="Times New Roman" w:eastAsia="Times New Roman" w:cs="Times New Roman"/>
          <w:b/>
          <w:bCs/>
          <w:spacing w:val="5"/>
          <w:sz w:val="20"/>
          <w:szCs w:val="20"/>
        </w:rPr>
        <w:t>m/s</w:t>
      </w:r>
      <w:r>
        <w:rPr>
          <w:rFonts w:ascii="宋体" w:hAnsi="宋体" w:eastAsia="宋体" w:cs="宋体"/>
          <w:b/>
          <w:bCs/>
          <w:spacing w:val="5"/>
          <w:sz w:val="20"/>
          <w:szCs w:val="20"/>
        </w:rPr>
        <w:t>）</w:t>
      </w:r>
    </w:p>
    <w:p w14:paraId="20A717B5">
      <w:pPr>
        <w:spacing w:before="20" w:line="672" w:lineRule="exact"/>
        <w:ind w:firstLine="31"/>
      </w:pPr>
      <w:r>
        <w:rPr>
          <w:position w:val="-13"/>
        </w:rPr>
        <w:drawing>
          <wp:inline distT="0" distB="0" distL="0" distR="0">
            <wp:extent cx="5273040" cy="42672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29"/>
                    <a:stretch>
                      <a:fillRect/>
                    </a:stretch>
                  </pic:blipFill>
                  <pic:spPr>
                    <a:xfrm>
                      <a:off x="0" y="0"/>
                      <a:ext cx="5273040" cy="426720"/>
                    </a:xfrm>
                    <a:prstGeom prst="rect">
                      <a:avLst/>
                    </a:prstGeom>
                  </pic:spPr>
                </pic:pic>
              </a:graphicData>
            </a:graphic>
          </wp:inline>
        </w:drawing>
      </w:r>
    </w:p>
    <w:p w14:paraId="6B7002FD">
      <w:pPr>
        <w:spacing w:before="123" w:line="220" w:lineRule="auto"/>
        <w:ind w:left="491"/>
        <w:rPr>
          <w:rFonts w:ascii="宋体" w:hAnsi="宋体" w:eastAsia="宋体" w:cs="宋体"/>
          <w:sz w:val="24"/>
          <w:szCs w:val="24"/>
        </w:rPr>
      </w:pPr>
      <w:r>
        <w:rPr>
          <w:rFonts w:ascii="Times New Roman" w:hAnsi="Times New Roman" w:eastAsia="Times New Roman" w:cs="Times New Roman"/>
          <w:spacing w:val="-6"/>
          <w:sz w:val="24"/>
          <w:szCs w:val="24"/>
        </w:rPr>
        <w:t>c</w:t>
      </w:r>
      <w:r>
        <w:rPr>
          <w:rFonts w:ascii="Times New Roman" w:hAnsi="Times New Roman" w:eastAsia="Times New Roman" w:cs="Times New Roman"/>
          <w:spacing w:val="-35"/>
          <w:sz w:val="24"/>
          <w:szCs w:val="24"/>
        </w:rPr>
        <w:t xml:space="preserve"> </w:t>
      </w:r>
      <w:r>
        <w:rPr>
          <w:rFonts w:ascii="宋体" w:hAnsi="宋体" w:eastAsia="宋体" w:cs="宋体"/>
          <w:spacing w:val="-6"/>
          <w:sz w:val="24"/>
          <w:szCs w:val="24"/>
        </w:rPr>
        <w:t>、风向特征</w:t>
      </w:r>
    </w:p>
    <w:p w14:paraId="526DB100">
      <w:pPr>
        <w:spacing w:before="169" w:line="372" w:lineRule="auto"/>
        <w:ind w:right="39" w:firstLine="491"/>
        <w:rPr>
          <w:rFonts w:ascii="宋体" w:hAnsi="宋体" w:eastAsia="宋体" w:cs="宋体"/>
          <w:sz w:val="24"/>
          <w:szCs w:val="24"/>
        </w:rPr>
      </w:pPr>
      <w:r>
        <w:rPr>
          <w:rFonts w:ascii="宋体" w:hAnsi="宋体" w:eastAsia="宋体" w:cs="宋体"/>
          <w:spacing w:val="2"/>
          <w:sz w:val="24"/>
          <w:szCs w:val="24"/>
        </w:rPr>
        <w:t>近</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20 </w:t>
      </w:r>
      <w:r>
        <w:rPr>
          <w:rFonts w:ascii="宋体" w:hAnsi="宋体" w:eastAsia="宋体" w:cs="宋体"/>
          <w:spacing w:val="2"/>
          <w:sz w:val="24"/>
          <w:szCs w:val="24"/>
        </w:rPr>
        <w:t>年资料分析的风向玫瑰图如图所示，汕尾气象站主要</w:t>
      </w:r>
      <w:r>
        <w:rPr>
          <w:rFonts w:ascii="宋体" w:hAnsi="宋体" w:eastAsia="宋体" w:cs="宋体"/>
          <w:spacing w:val="1"/>
          <w:sz w:val="24"/>
          <w:szCs w:val="24"/>
        </w:rPr>
        <w:t>风向为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E </w:t>
      </w:r>
      <w:r>
        <w:rPr>
          <w:rFonts w:ascii="宋体" w:hAnsi="宋体" w:eastAsia="宋体" w:cs="宋体"/>
          <w:spacing w:val="1"/>
          <w:sz w:val="24"/>
          <w:szCs w:val="24"/>
        </w:rPr>
        <w:t>和</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ENE</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3"/>
          <w:sz w:val="24"/>
          <w:szCs w:val="24"/>
        </w:rPr>
        <w:t>NE</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ESE</w:t>
      </w:r>
      <w:r>
        <w:rPr>
          <w:rFonts w:ascii="宋体" w:hAnsi="宋体" w:eastAsia="宋体" w:cs="宋体"/>
          <w:spacing w:val="-3"/>
          <w:sz w:val="24"/>
          <w:szCs w:val="24"/>
        </w:rPr>
        <w:t>，占</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51.4</w:t>
      </w:r>
      <w:r>
        <w:rPr>
          <w:rFonts w:ascii="宋体" w:hAnsi="宋体" w:eastAsia="宋体" w:cs="宋体"/>
          <w:spacing w:val="7"/>
          <w:sz w:val="24"/>
          <w:szCs w:val="24"/>
        </w:rPr>
        <w:t>％，</w:t>
      </w:r>
      <w:r>
        <w:rPr>
          <w:rFonts w:ascii="宋体" w:hAnsi="宋体" w:eastAsia="宋体" w:cs="宋体"/>
          <w:spacing w:val="-3"/>
          <w:sz w:val="24"/>
          <w:szCs w:val="24"/>
        </w:rPr>
        <w:t>其中以</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E</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为主风向，占到全年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15.2</w:t>
      </w:r>
      <w:r>
        <w:rPr>
          <w:rFonts w:ascii="宋体" w:hAnsi="宋体" w:eastAsia="宋体" w:cs="宋体"/>
          <w:spacing w:val="-3"/>
          <w:sz w:val="24"/>
          <w:szCs w:val="24"/>
        </w:rPr>
        <w:t>％左右。</w:t>
      </w:r>
    </w:p>
    <w:p w14:paraId="4ECFD172">
      <w:pPr>
        <w:spacing w:line="372" w:lineRule="auto"/>
        <w:rPr>
          <w:rFonts w:ascii="宋体" w:hAnsi="宋体" w:eastAsia="宋体" w:cs="宋体"/>
          <w:sz w:val="24"/>
          <w:szCs w:val="24"/>
        </w:rPr>
        <w:sectPr>
          <w:footerReference r:id="rId132" w:type="default"/>
          <w:pgSz w:w="11906" w:h="16839"/>
          <w:pgMar w:top="400" w:right="1585" w:bottom="1485" w:left="1585" w:header="0" w:footer="1249" w:gutter="0"/>
          <w:cols w:space="720" w:num="1"/>
        </w:sectPr>
      </w:pPr>
    </w:p>
    <w:p w14:paraId="47693BFD">
      <w:pPr>
        <w:pStyle w:val="2"/>
        <w:spacing w:line="259" w:lineRule="auto"/>
      </w:pPr>
    </w:p>
    <w:p w14:paraId="1DE81242">
      <w:pPr>
        <w:pStyle w:val="2"/>
        <w:spacing w:line="259" w:lineRule="auto"/>
      </w:pPr>
    </w:p>
    <w:p w14:paraId="33D75AA3">
      <w:pPr>
        <w:pStyle w:val="2"/>
        <w:spacing w:line="260" w:lineRule="auto"/>
      </w:pPr>
    </w:p>
    <w:p w14:paraId="35AE88C2">
      <w:pPr>
        <w:pStyle w:val="2"/>
        <w:spacing w:line="260" w:lineRule="auto"/>
      </w:pPr>
    </w:p>
    <w:p w14:paraId="658A808B">
      <w:pPr>
        <w:spacing w:line="4186" w:lineRule="exact"/>
        <w:ind w:firstLine="1931"/>
      </w:pPr>
      <w:r>
        <w:rPr>
          <w:position w:val="-83"/>
        </w:rPr>
        <w:drawing>
          <wp:inline distT="0" distB="0" distL="0" distR="0">
            <wp:extent cx="2857500" cy="265747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30"/>
                    <a:stretch>
                      <a:fillRect/>
                    </a:stretch>
                  </pic:blipFill>
                  <pic:spPr>
                    <a:xfrm>
                      <a:off x="0" y="0"/>
                      <a:ext cx="2857500" cy="2657856"/>
                    </a:xfrm>
                    <a:prstGeom prst="rect">
                      <a:avLst/>
                    </a:prstGeom>
                  </pic:spPr>
                </pic:pic>
              </a:graphicData>
            </a:graphic>
          </wp:inline>
        </w:drawing>
      </w:r>
    </w:p>
    <w:p w14:paraId="6A3CA071">
      <w:pPr>
        <w:spacing w:before="83" w:line="228" w:lineRule="auto"/>
        <w:ind w:left="1662"/>
        <w:rPr>
          <w:rFonts w:ascii="宋体" w:hAnsi="宋体" w:eastAsia="宋体" w:cs="宋体"/>
          <w:sz w:val="20"/>
          <w:szCs w:val="20"/>
        </w:rPr>
      </w:pPr>
      <w:r>
        <w:rPr>
          <w:rFonts w:ascii="宋体" w:hAnsi="宋体" w:eastAsia="宋体" w:cs="宋体"/>
          <w:b/>
          <w:bCs/>
          <w:spacing w:val="5"/>
          <w:sz w:val="20"/>
          <w:szCs w:val="20"/>
        </w:rPr>
        <w:t>图</w:t>
      </w:r>
      <w:r>
        <w:rPr>
          <w:rFonts w:ascii="宋体" w:hAnsi="宋体" w:eastAsia="宋体" w:cs="宋体"/>
          <w:spacing w:val="-33"/>
          <w:sz w:val="20"/>
          <w:szCs w:val="20"/>
        </w:rPr>
        <w:t xml:space="preserve"> </w:t>
      </w:r>
      <w:r>
        <w:rPr>
          <w:rFonts w:ascii="Times New Roman" w:hAnsi="Times New Roman" w:eastAsia="Times New Roman" w:cs="Times New Roman"/>
          <w:b/>
          <w:bCs/>
          <w:spacing w:val="5"/>
          <w:sz w:val="20"/>
          <w:szCs w:val="20"/>
        </w:rPr>
        <w:t xml:space="preserve">5.2-2  </w:t>
      </w:r>
      <w:r>
        <w:rPr>
          <w:rFonts w:ascii="宋体" w:hAnsi="宋体" w:eastAsia="宋体" w:cs="宋体"/>
          <w:b/>
          <w:bCs/>
          <w:spacing w:val="5"/>
          <w:sz w:val="20"/>
          <w:szCs w:val="20"/>
        </w:rPr>
        <w:t>汕尾气象站风向玫瑰图（统计年限：</w:t>
      </w:r>
      <w:r>
        <w:rPr>
          <w:rFonts w:ascii="Times New Roman" w:hAnsi="Times New Roman" w:eastAsia="Times New Roman" w:cs="Times New Roman"/>
          <w:b/>
          <w:bCs/>
          <w:spacing w:val="5"/>
          <w:sz w:val="20"/>
          <w:szCs w:val="20"/>
        </w:rPr>
        <w:t xml:space="preserve">1997-2016 </w:t>
      </w:r>
      <w:r>
        <w:rPr>
          <w:rFonts w:ascii="宋体" w:hAnsi="宋体" w:eastAsia="宋体" w:cs="宋体"/>
          <w:b/>
          <w:bCs/>
          <w:spacing w:val="5"/>
          <w:sz w:val="20"/>
          <w:szCs w:val="20"/>
        </w:rPr>
        <w:t>年）</w:t>
      </w:r>
    </w:p>
    <w:p w14:paraId="214E6A1B">
      <w:pPr>
        <w:spacing w:before="146" w:line="220" w:lineRule="auto"/>
        <w:ind w:left="295"/>
        <w:rPr>
          <w:rFonts w:ascii="宋体" w:hAnsi="宋体" w:eastAsia="宋体" w:cs="宋体"/>
          <w:sz w:val="24"/>
          <w:szCs w:val="24"/>
        </w:rPr>
      </w:pPr>
      <w:r>
        <w:rPr>
          <w:rFonts w:ascii="宋体" w:hAnsi="宋体" w:eastAsia="宋体" w:cs="宋体"/>
          <w:spacing w:val="-2"/>
          <w:sz w:val="24"/>
          <w:szCs w:val="24"/>
        </w:rPr>
        <w:t>各月风向频率如下：</w:t>
      </w:r>
    </w:p>
    <w:p w14:paraId="2D0D389C">
      <w:pPr>
        <w:spacing w:before="115" w:line="6444" w:lineRule="exact"/>
        <w:ind w:firstLine="926"/>
      </w:pPr>
      <w:r>
        <w:rPr>
          <w:position w:val="-128"/>
        </w:rPr>
        <w:drawing>
          <wp:inline distT="0" distB="0" distL="0" distR="0">
            <wp:extent cx="4434840" cy="409194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31"/>
                    <a:stretch>
                      <a:fillRect/>
                    </a:stretch>
                  </pic:blipFill>
                  <pic:spPr>
                    <a:xfrm>
                      <a:off x="0" y="0"/>
                      <a:ext cx="4434840" cy="4091940"/>
                    </a:xfrm>
                    <a:prstGeom prst="rect">
                      <a:avLst/>
                    </a:prstGeom>
                  </pic:spPr>
                </pic:pic>
              </a:graphicData>
            </a:graphic>
          </wp:inline>
        </w:drawing>
      </w:r>
    </w:p>
    <w:p w14:paraId="47370876">
      <w:pPr>
        <w:spacing w:line="6444" w:lineRule="exact"/>
        <w:sectPr>
          <w:footerReference r:id="rId133" w:type="default"/>
          <w:pgSz w:w="11906" w:h="16839"/>
          <w:pgMar w:top="400" w:right="1785" w:bottom="1485" w:left="1785" w:header="0" w:footer="1249" w:gutter="0"/>
          <w:cols w:space="720" w:num="1"/>
        </w:sectPr>
      </w:pPr>
    </w:p>
    <w:p w14:paraId="3837DC6D">
      <w:pPr>
        <w:pStyle w:val="2"/>
        <w:spacing w:line="267" w:lineRule="auto"/>
      </w:pPr>
    </w:p>
    <w:p w14:paraId="3FC06116">
      <w:pPr>
        <w:pStyle w:val="2"/>
        <w:spacing w:line="267" w:lineRule="auto"/>
      </w:pPr>
    </w:p>
    <w:p w14:paraId="4EA6243A">
      <w:pPr>
        <w:pStyle w:val="2"/>
        <w:spacing w:line="267" w:lineRule="auto"/>
      </w:pPr>
    </w:p>
    <w:p w14:paraId="20E5B572">
      <w:pPr>
        <w:pStyle w:val="2"/>
        <w:spacing w:line="268" w:lineRule="auto"/>
      </w:pPr>
    </w:p>
    <w:p w14:paraId="360E43AA">
      <w:pPr>
        <w:spacing w:line="6732" w:lineRule="exact"/>
        <w:ind w:firstLine="942"/>
      </w:pPr>
      <w:r>
        <w:rPr>
          <w:position w:val="-134"/>
        </w:rPr>
        <w:drawing>
          <wp:inline distT="0" distB="0" distL="0" distR="0">
            <wp:extent cx="4419600" cy="427482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32"/>
                    <a:stretch>
                      <a:fillRect/>
                    </a:stretch>
                  </pic:blipFill>
                  <pic:spPr>
                    <a:xfrm>
                      <a:off x="0" y="0"/>
                      <a:ext cx="4419600" cy="4274820"/>
                    </a:xfrm>
                    <a:prstGeom prst="rect">
                      <a:avLst/>
                    </a:prstGeom>
                  </pic:spPr>
                </pic:pic>
              </a:graphicData>
            </a:graphic>
          </wp:inline>
        </w:drawing>
      </w:r>
    </w:p>
    <w:p w14:paraId="660A44A6">
      <w:pPr>
        <w:spacing w:before="136" w:line="6360" w:lineRule="exact"/>
        <w:ind w:firstLine="777"/>
      </w:pPr>
      <w:r>
        <w:rPr>
          <w:position w:val="-127"/>
        </w:rPr>
        <w:drawing>
          <wp:inline distT="0" distB="0" distL="0" distR="0">
            <wp:extent cx="4625340" cy="403860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33"/>
                    <a:stretch>
                      <a:fillRect/>
                    </a:stretch>
                  </pic:blipFill>
                  <pic:spPr>
                    <a:xfrm>
                      <a:off x="0" y="0"/>
                      <a:ext cx="4625340" cy="4038600"/>
                    </a:xfrm>
                    <a:prstGeom prst="rect">
                      <a:avLst/>
                    </a:prstGeom>
                  </pic:spPr>
                </pic:pic>
              </a:graphicData>
            </a:graphic>
          </wp:inline>
        </w:drawing>
      </w:r>
    </w:p>
    <w:p w14:paraId="76889335">
      <w:pPr>
        <w:spacing w:before="138" w:line="228" w:lineRule="auto"/>
        <w:ind w:left="2953"/>
        <w:rPr>
          <w:rFonts w:ascii="宋体" w:hAnsi="宋体" w:eastAsia="宋体" w:cs="宋体"/>
          <w:sz w:val="20"/>
          <w:szCs w:val="20"/>
        </w:rPr>
      </w:pPr>
      <w:r>
        <w:rPr>
          <w:rFonts w:ascii="宋体" w:hAnsi="宋体" w:eastAsia="宋体" w:cs="宋体"/>
          <w:b/>
          <w:bCs/>
          <w:spacing w:val="4"/>
          <w:sz w:val="20"/>
          <w:szCs w:val="20"/>
        </w:rPr>
        <w:t>图</w:t>
      </w:r>
      <w:r>
        <w:rPr>
          <w:rFonts w:ascii="宋体" w:hAnsi="宋体" w:eastAsia="宋体" w:cs="宋体"/>
          <w:spacing w:val="-41"/>
          <w:sz w:val="20"/>
          <w:szCs w:val="20"/>
        </w:rPr>
        <w:t xml:space="preserve"> </w:t>
      </w:r>
      <w:r>
        <w:rPr>
          <w:rFonts w:ascii="Times New Roman" w:hAnsi="Times New Roman" w:eastAsia="Times New Roman" w:cs="Times New Roman"/>
          <w:b/>
          <w:bCs/>
          <w:spacing w:val="4"/>
          <w:sz w:val="20"/>
          <w:szCs w:val="20"/>
        </w:rPr>
        <w:t xml:space="preserve">5.2-3  </w:t>
      </w:r>
      <w:r>
        <w:rPr>
          <w:rFonts w:ascii="宋体" w:hAnsi="宋体" w:eastAsia="宋体" w:cs="宋体"/>
          <w:b/>
          <w:bCs/>
          <w:spacing w:val="4"/>
          <w:sz w:val="20"/>
          <w:szCs w:val="20"/>
        </w:rPr>
        <w:t>汕尾月风向玫瑰图</w:t>
      </w:r>
    </w:p>
    <w:p w14:paraId="7653174D">
      <w:pPr>
        <w:spacing w:line="228" w:lineRule="auto"/>
        <w:rPr>
          <w:rFonts w:ascii="宋体" w:hAnsi="宋体" w:eastAsia="宋体" w:cs="宋体"/>
          <w:sz w:val="20"/>
          <w:szCs w:val="20"/>
        </w:rPr>
        <w:sectPr>
          <w:footerReference r:id="rId134" w:type="default"/>
          <w:pgSz w:w="11906" w:h="16839"/>
          <w:pgMar w:top="400" w:right="1785" w:bottom="1485" w:left="1785" w:header="0" w:footer="1249" w:gutter="0"/>
          <w:cols w:space="720" w:num="1"/>
        </w:sectPr>
      </w:pPr>
    </w:p>
    <w:p w14:paraId="4494222D">
      <w:pPr>
        <w:pStyle w:val="2"/>
        <w:spacing w:line="264" w:lineRule="auto"/>
      </w:pPr>
    </w:p>
    <w:p w14:paraId="518A10C3">
      <w:pPr>
        <w:pStyle w:val="2"/>
        <w:spacing w:line="264" w:lineRule="auto"/>
      </w:pPr>
    </w:p>
    <w:p w14:paraId="039FDECE">
      <w:pPr>
        <w:pStyle w:val="2"/>
        <w:spacing w:line="264" w:lineRule="auto"/>
      </w:pPr>
    </w:p>
    <w:p w14:paraId="095F04F4">
      <w:pPr>
        <w:pStyle w:val="2"/>
        <w:spacing w:line="265" w:lineRule="auto"/>
      </w:pPr>
    </w:p>
    <w:p w14:paraId="56B035BE">
      <w:pPr>
        <w:spacing w:before="78" w:line="221" w:lineRule="auto"/>
        <w:ind w:left="476"/>
        <w:rPr>
          <w:rFonts w:ascii="宋体" w:hAnsi="宋体" w:eastAsia="宋体" w:cs="宋体"/>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33"/>
          <w:sz w:val="24"/>
          <w:szCs w:val="24"/>
        </w:rPr>
        <w:t xml:space="preserve"> </w:t>
      </w:r>
      <w:r>
        <w:rPr>
          <w:rFonts w:ascii="宋体" w:hAnsi="宋体" w:eastAsia="宋体" w:cs="宋体"/>
          <w:b/>
          <w:bCs/>
          <w:spacing w:val="-5"/>
          <w:sz w:val="24"/>
          <w:szCs w:val="24"/>
        </w:rPr>
        <w:t>、大气环境影响预测</w:t>
      </w:r>
    </w:p>
    <w:p w14:paraId="165397E4">
      <w:pPr>
        <w:spacing w:before="202" w:line="376" w:lineRule="auto"/>
        <w:ind w:firstLine="480"/>
        <w:jc w:val="both"/>
        <w:rPr>
          <w:rFonts w:ascii="宋体" w:hAnsi="宋体" w:eastAsia="宋体" w:cs="宋体"/>
          <w:sz w:val="24"/>
          <w:szCs w:val="24"/>
        </w:rPr>
      </w:pPr>
      <w:r>
        <w:rPr>
          <w:rFonts w:ascii="宋体" w:hAnsi="宋体" w:eastAsia="宋体" w:cs="宋体"/>
          <w:spacing w:val="2"/>
          <w:sz w:val="24"/>
          <w:szCs w:val="24"/>
        </w:rPr>
        <w:t>本项目建设有猪舍、有机肥发酵车间，运营过程中会产生臭气，均为无组织排</w:t>
      </w:r>
      <w:r>
        <w:rPr>
          <w:rFonts w:ascii="宋体" w:hAnsi="宋体" w:eastAsia="宋体" w:cs="宋体"/>
          <w:spacing w:val="9"/>
          <w:sz w:val="24"/>
          <w:szCs w:val="24"/>
        </w:rPr>
        <w:t xml:space="preserve"> </w:t>
      </w:r>
      <w:r>
        <w:rPr>
          <w:rFonts w:ascii="宋体" w:hAnsi="宋体" w:eastAsia="宋体" w:cs="宋体"/>
          <w:spacing w:val="-7"/>
          <w:sz w:val="24"/>
          <w:szCs w:val="24"/>
        </w:rPr>
        <w:t xml:space="preserve">放，其特征污染物为 </w:t>
      </w:r>
      <w:r>
        <w:rPr>
          <w:rFonts w:ascii="Times New Roman" w:hAnsi="Times New Roman" w:eastAsia="Times New Roman" w:cs="Times New Roman"/>
          <w:spacing w:val="-7"/>
          <w:sz w:val="24"/>
          <w:szCs w:val="24"/>
        </w:rPr>
        <w:t>NH</w:t>
      </w:r>
      <w:r>
        <w:rPr>
          <w:rFonts w:ascii="Times New Roman" w:hAnsi="Times New Roman" w:eastAsia="Times New Roman" w:cs="Times New Roman"/>
          <w:spacing w:val="-7"/>
          <w:position w:val="-1"/>
          <w:sz w:val="15"/>
          <w:szCs w:val="15"/>
        </w:rPr>
        <w:t>3</w:t>
      </w:r>
      <w:r>
        <w:rPr>
          <w:rFonts w:ascii="宋体" w:hAnsi="宋体" w:eastAsia="宋体" w:cs="宋体"/>
          <w:spacing w:val="-7"/>
          <w:sz w:val="24"/>
          <w:szCs w:val="24"/>
        </w:rPr>
        <w:t>、</w:t>
      </w:r>
      <w:r>
        <w:rPr>
          <w:rFonts w:ascii="Times New Roman" w:hAnsi="Times New Roman" w:eastAsia="Times New Roman" w:cs="Times New Roman"/>
          <w:spacing w:val="-7"/>
          <w:sz w:val="24"/>
          <w:szCs w:val="24"/>
        </w:rPr>
        <w:t>H</w:t>
      </w:r>
      <w:r>
        <w:rPr>
          <w:rFonts w:ascii="Times New Roman" w:hAnsi="Times New Roman" w:eastAsia="Times New Roman" w:cs="Times New Roman"/>
          <w:spacing w:val="-7"/>
          <w:position w:val="-1"/>
          <w:sz w:val="15"/>
          <w:szCs w:val="15"/>
        </w:rPr>
        <w:t>2</w:t>
      </w:r>
      <w:r>
        <w:rPr>
          <w:rFonts w:ascii="Times New Roman" w:hAnsi="Times New Roman" w:eastAsia="Times New Roman" w:cs="Times New Roman"/>
          <w:spacing w:val="-7"/>
          <w:sz w:val="24"/>
          <w:szCs w:val="24"/>
        </w:rPr>
        <w:t>S</w:t>
      </w:r>
      <w:r>
        <w:rPr>
          <w:rFonts w:ascii="宋体" w:hAnsi="宋体" w:eastAsia="宋体" w:cs="宋体"/>
          <w:spacing w:val="-7"/>
          <w:sz w:val="24"/>
          <w:szCs w:val="24"/>
        </w:rPr>
        <w:t>；饲料加工过程会产生颗粒物，</w:t>
      </w:r>
      <w:r>
        <w:rPr>
          <w:rFonts w:ascii="宋体" w:hAnsi="宋体" w:eastAsia="宋体" w:cs="宋体"/>
          <w:spacing w:val="-8"/>
          <w:sz w:val="24"/>
          <w:szCs w:val="24"/>
        </w:rPr>
        <w:t>为无组织排放。综上，</w:t>
      </w:r>
      <w:r>
        <w:rPr>
          <w:rFonts w:ascii="宋体" w:hAnsi="宋体" w:eastAsia="宋体" w:cs="宋体"/>
          <w:sz w:val="24"/>
          <w:szCs w:val="24"/>
        </w:rPr>
        <w:t xml:space="preserve"> </w:t>
      </w:r>
      <w:r>
        <w:rPr>
          <w:rFonts w:ascii="宋体" w:hAnsi="宋体" w:eastAsia="宋体" w:cs="宋体"/>
          <w:spacing w:val="-4"/>
          <w:sz w:val="24"/>
          <w:szCs w:val="24"/>
        </w:rPr>
        <w:t xml:space="preserve">本报告选取 </w:t>
      </w:r>
      <w:r>
        <w:rPr>
          <w:rFonts w:ascii="Times New Roman" w:hAnsi="Times New Roman" w:eastAsia="Times New Roman" w:cs="Times New Roman"/>
          <w:spacing w:val="-4"/>
          <w:sz w:val="24"/>
          <w:szCs w:val="24"/>
        </w:rPr>
        <w:t>NH</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position w:val="-1"/>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H</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4"/>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TSP</w:t>
      </w:r>
      <w:r>
        <w:rPr>
          <w:rFonts w:ascii="宋体" w:hAnsi="宋体" w:eastAsia="宋体" w:cs="宋体"/>
          <w:spacing w:val="-4"/>
          <w:sz w:val="24"/>
          <w:szCs w:val="24"/>
        </w:rPr>
        <w:t>。</w:t>
      </w:r>
    </w:p>
    <w:p w14:paraId="1768D8B6">
      <w:pPr>
        <w:spacing w:line="218" w:lineRule="auto"/>
        <w:ind w:left="480"/>
        <w:rPr>
          <w:rFonts w:ascii="宋体" w:hAnsi="宋体" w:eastAsia="宋体" w:cs="宋体"/>
          <w:sz w:val="24"/>
          <w:szCs w:val="24"/>
        </w:rPr>
      </w:pPr>
      <w:r>
        <w:rPr>
          <w:rFonts w:ascii="宋体" w:hAnsi="宋体" w:eastAsia="宋体" w:cs="宋体"/>
          <w:spacing w:val="-1"/>
          <w:sz w:val="24"/>
          <w:szCs w:val="24"/>
        </w:rPr>
        <w:t>作于预测因子进行预测评价。预测内容包括：</w:t>
      </w:r>
    </w:p>
    <w:p w14:paraId="033529BF">
      <w:pPr>
        <w:spacing w:before="205" w:line="220" w:lineRule="auto"/>
        <w:ind w:left="491"/>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）预测模型</w:t>
      </w:r>
    </w:p>
    <w:p w14:paraId="4B79222D">
      <w:pPr>
        <w:spacing w:before="164" w:line="368" w:lineRule="auto"/>
        <w:ind w:left="1" w:right="65" w:firstLine="479"/>
        <w:rPr>
          <w:rFonts w:ascii="宋体" w:hAnsi="宋体" w:eastAsia="宋体" w:cs="宋体"/>
          <w:sz w:val="24"/>
          <w:szCs w:val="24"/>
        </w:rPr>
      </w:pPr>
      <w:r>
        <w:rPr>
          <w:rFonts w:ascii="宋体" w:hAnsi="宋体" w:eastAsia="宋体" w:cs="宋体"/>
          <w:spacing w:val="3"/>
          <w:sz w:val="24"/>
          <w:szCs w:val="24"/>
        </w:rPr>
        <w:t>本报告选用《环境影响评价技术导则大气环</w:t>
      </w:r>
      <w:r>
        <w:rPr>
          <w:rFonts w:ascii="宋体" w:hAnsi="宋体" w:eastAsia="宋体" w:cs="宋体"/>
          <w:spacing w:val="2"/>
          <w:sz w:val="24"/>
          <w:szCs w:val="24"/>
        </w:rPr>
        <w:t>境》（</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2.2-2018</w:t>
      </w:r>
      <w:r>
        <w:rPr>
          <w:rFonts w:ascii="宋体" w:hAnsi="宋体" w:eastAsia="宋体" w:cs="宋体"/>
          <w:spacing w:val="2"/>
          <w:sz w:val="24"/>
          <w:szCs w:val="24"/>
        </w:rPr>
        <w:t>）附录</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A </w:t>
      </w:r>
      <w:r>
        <w:rPr>
          <w:rFonts w:ascii="宋体" w:hAnsi="宋体" w:eastAsia="宋体" w:cs="宋体"/>
          <w:spacing w:val="2"/>
          <w:sz w:val="24"/>
          <w:szCs w:val="24"/>
        </w:rPr>
        <w:t>推荐估</w:t>
      </w:r>
      <w:r>
        <w:rPr>
          <w:rFonts w:ascii="宋体" w:hAnsi="宋体" w:eastAsia="宋体" w:cs="宋体"/>
          <w:sz w:val="24"/>
          <w:szCs w:val="24"/>
        </w:rPr>
        <w:t xml:space="preserve"> </w:t>
      </w:r>
      <w:r>
        <w:rPr>
          <w:rFonts w:ascii="宋体" w:hAnsi="宋体" w:eastAsia="宋体" w:cs="宋体"/>
          <w:spacing w:val="-1"/>
          <w:sz w:val="24"/>
          <w:szCs w:val="24"/>
        </w:rPr>
        <w:t>算模型</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AERSCREEN </w:t>
      </w:r>
      <w:r>
        <w:rPr>
          <w:rFonts w:ascii="宋体" w:hAnsi="宋体" w:eastAsia="宋体" w:cs="宋体"/>
          <w:spacing w:val="-1"/>
          <w:sz w:val="24"/>
          <w:szCs w:val="24"/>
        </w:rPr>
        <w:t>进行大气环境影响估算。</w:t>
      </w:r>
    </w:p>
    <w:p w14:paraId="1248556C">
      <w:pPr>
        <w:spacing w:before="59" w:line="220" w:lineRule="auto"/>
        <w:ind w:left="491"/>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）预测参数</w:t>
      </w:r>
    </w:p>
    <w:p w14:paraId="23B6A842">
      <w:pPr>
        <w:spacing w:before="204" w:line="218" w:lineRule="auto"/>
        <w:ind w:left="479"/>
        <w:rPr>
          <w:rFonts w:ascii="宋体" w:hAnsi="宋体" w:eastAsia="宋体" w:cs="宋体"/>
          <w:sz w:val="24"/>
          <w:szCs w:val="24"/>
        </w:rPr>
      </w:pPr>
      <w:r>
        <w:rPr>
          <w:rFonts w:ascii="宋体" w:hAnsi="宋体" w:eastAsia="宋体" w:cs="宋体"/>
          <w:spacing w:val="-2"/>
          <w:sz w:val="24"/>
          <w:szCs w:val="24"/>
        </w:rPr>
        <w:t>①污染源强</w:t>
      </w:r>
    </w:p>
    <w:p w14:paraId="18600329">
      <w:pPr>
        <w:spacing w:before="168" w:line="361" w:lineRule="exact"/>
        <w:ind w:left="483"/>
        <w:rPr>
          <w:rFonts w:ascii="宋体" w:hAnsi="宋体" w:eastAsia="宋体" w:cs="宋体"/>
          <w:sz w:val="24"/>
          <w:szCs w:val="24"/>
        </w:rPr>
      </w:pPr>
      <w:r>
        <w:rPr>
          <w:rFonts w:ascii="宋体" w:hAnsi="宋体" w:eastAsia="宋体" w:cs="宋体"/>
          <w:spacing w:val="-2"/>
          <w:position w:val="2"/>
          <w:sz w:val="24"/>
          <w:szCs w:val="24"/>
        </w:rPr>
        <w:t>项目排放污染源参数见表</w:t>
      </w:r>
      <w:r>
        <w:rPr>
          <w:rFonts w:ascii="宋体" w:hAnsi="宋体" w:eastAsia="宋体" w:cs="宋体"/>
          <w:spacing w:val="-41"/>
          <w:position w:val="2"/>
          <w:sz w:val="24"/>
          <w:szCs w:val="24"/>
        </w:rPr>
        <w:t xml:space="preserve"> </w:t>
      </w:r>
      <w:r>
        <w:rPr>
          <w:rFonts w:ascii="Times New Roman" w:hAnsi="Times New Roman" w:eastAsia="Times New Roman" w:cs="Times New Roman"/>
          <w:spacing w:val="-2"/>
          <w:position w:val="2"/>
          <w:sz w:val="24"/>
          <w:szCs w:val="24"/>
        </w:rPr>
        <w:t>5.2-9</w:t>
      </w:r>
      <w:r>
        <w:rPr>
          <w:rFonts w:ascii="宋体" w:hAnsi="宋体" w:eastAsia="宋体" w:cs="宋体"/>
          <w:spacing w:val="-2"/>
          <w:position w:val="2"/>
          <w:sz w:val="24"/>
          <w:szCs w:val="24"/>
        </w:rPr>
        <w:t>。</w:t>
      </w:r>
    </w:p>
    <w:p w14:paraId="5E001304">
      <w:pPr>
        <w:spacing w:line="361" w:lineRule="exact"/>
        <w:rPr>
          <w:rFonts w:ascii="宋体" w:hAnsi="宋体" w:eastAsia="宋体" w:cs="宋体"/>
          <w:sz w:val="24"/>
          <w:szCs w:val="24"/>
        </w:rPr>
        <w:sectPr>
          <w:footerReference r:id="rId135" w:type="default"/>
          <w:pgSz w:w="11906" w:h="16839"/>
          <w:pgMar w:top="400" w:right="1520" w:bottom="1485" w:left="1598" w:header="0" w:footer="1249" w:gutter="0"/>
          <w:cols w:space="720" w:num="1"/>
        </w:sectPr>
      </w:pPr>
    </w:p>
    <w:p w14:paraId="479D27F2">
      <w:pPr>
        <w:pStyle w:val="2"/>
        <w:spacing w:line="250" w:lineRule="auto"/>
      </w:pPr>
    </w:p>
    <w:p w14:paraId="29FD9A94">
      <w:pPr>
        <w:pStyle w:val="2"/>
        <w:spacing w:line="251" w:lineRule="auto"/>
      </w:pPr>
    </w:p>
    <w:p w14:paraId="1EADC612">
      <w:pPr>
        <w:pStyle w:val="2"/>
        <w:spacing w:line="251" w:lineRule="auto"/>
      </w:pPr>
    </w:p>
    <w:p w14:paraId="6525409D">
      <w:pPr>
        <w:pStyle w:val="2"/>
        <w:spacing w:line="251" w:lineRule="auto"/>
      </w:pPr>
    </w:p>
    <w:p w14:paraId="4B60C82B">
      <w:pPr>
        <w:pStyle w:val="2"/>
        <w:spacing w:line="251" w:lineRule="auto"/>
      </w:pPr>
    </w:p>
    <w:p w14:paraId="79FF3A90">
      <w:pPr>
        <w:spacing w:before="65" w:line="228" w:lineRule="auto"/>
        <w:ind w:left="6300"/>
        <w:rPr>
          <w:rFonts w:ascii="宋体" w:hAnsi="宋体" w:eastAsia="宋体" w:cs="宋体"/>
          <w:sz w:val="20"/>
          <w:szCs w:val="20"/>
        </w:rPr>
      </w:pPr>
      <w:r>
        <w:rPr>
          <w:rFonts w:ascii="宋体" w:hAnsi="宋体" w:eastAsia="宋体" w:cs="宋体"/>
          <w:b/>
          <w:bCs/>
          <w:spacing w:val="4"/>
          <w:sz w:val="20"/>
          <w:szCs w:val="20"/>
        </w:rPr>
        <w:t>表</w:t>
      </w:r>
      <w:r>
        <w:rPr>
          <w:rFonts w:ascii="宋体" w:hAnsi="宋体" w:eastAsia="宋体" w:cs="宋体"/>
          <w:spacing w:val="-31"/>
          <w:sz w:val="20"/>
          <w:szCs w:val="20"/>
        </w:rPr>
        <w:t xml:space="preserve"> </w:t>
      </w:r>
      <w:r>
        <w:rPr>
          <w:rFonts w:ascii="Times New Roman" w:hAnsi="Times New Roman" w:eastAsia="Times New Roman" w:cs="Times New Roman"/>
          <w:b/>
          <w:bCs/>
          <w:spacing w:val="4"/>
          <w:sz w:val="20"/>
          <w:szCs w:val="20"/>
        </w:rPr>
        <w:t xml:space="preserve">5.2-9 </w:t>
      </w:r>
      <w:r>
        <w:rPr>
          <w:rFonts w:ascii="宋体" w:hAnsi="宋体" w:eastAsia="宋体" w:cs="宋体"/>
          <w:b/>
          <w:bCs/>
          <w:spacing w:val="4"/>
          <w:sz w:val="20"/>
          <w:szCs w:val="20"/>
        </w:rPr>
        <w:t>面源参数表</w:t>
      </w:r>
    </w:p>
    <w:p w14:paraId="21FBEFC0">
      <w:pPr>
        <w:spacing w:line="102" w:lineRule="exact"/>
      </w:pPr>
    </w:p>
    <w:tbl>
      <w:tblPr>
        <w:tblStyle w:val="5"/>
        <w:tblW w:w="14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3"/>
        <w:gridCol w:w="1623"/>
        <w:gridCol w:w="993"/>
        <w:gridCol w:w="1132"/>
        <w:gridCol w:w="1135"/>
        <w:gridCol w:w="1134"/>
        <w:gridCol w:w="1135"/>
        <w:gridCol w:w="1134"/>
        <w:gridCol w:w="1134"/>
        <w:gridCol w:w="1134"/>
        <w:gridCol w:w="1132"/>
        <w:gridCol w:w="1135"/>
        <w:gridCol w:w="928"/>
      </w:tblGrid>
      <w:tr w14:paraId="77F0E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473" w:type="dxa"/>
            <w:vMerge w:val="restart"/>
            <w:tcBorders>
              <w:bottom w:val="nil"/>
            </w:tcBorders>
            <w:textDirection w:val="tbRlV"/>
            <w:vAlign w:val="top"/>
          </w:tcPr>
          <w:p w14:paraId="7D7281C3">
            <w:pPr>
              <w:pStyle w:val="6"/>
              <w:spacing w:before="144" w:line="206" w:lineRule="auto"/>
              <w:ind w:left="260"/>
              <w:rPr>
                <w:sz w:val="18"/>
                <w:szCs w:val="18"/>
              </w:rPr>
            </w:pPr>
            <w:r>
              <w:rPr>
                <w:b/>
                <w:bCs/>
                <w:spacing w:val="-2"/>
                <w:sz w:val="18"/>
                <w:szCs w:val="18"/>
              </w:rPr>
              <w:t>编</w:t>
            </w:r>
            <w:r>
              <w:rPr>
                <w:spacing w:val="53"/>
                <w:sz w:val="18"/>
                <w:szCs w:val="18"/>
              </w:rPr>
              <w:t xml:space="preserve"> </w:t>
            </w:r>
            <w:r>
              <w:rPr>
                <w:b/>
                <w:bCs/>
                <w:spacing w:val="-2"/>
                <w:sz w:val="18"/>
                <w:szCs w:val="18"/>
              </w:rPr>
              <w:t>号</w:t>
            </w:r>
          </w:p>
        </w:tc>
        <w:tc>
          <w:tcPr>
            <w:tcW w:w="1623" w:type="dxa"/>
            <w:vMerge w:val="restart"/>
            <w:tcBorders>
              <w:bottom w:val="nil"/>
            </w:tcBorders>
            <w:vAlign w:val="top"/>
          </w:tcPr>
          <w:p w14:paraId="3BF9F1A3">
            <w:pPr>
              <w:spacing w:line="360" w:lineRule="auto"/>
              <w:rPr>
                <w:rFonts w:ascii="Arial"/>
                <w:sz w:val="21"/>
              </w:rPr>
            </w:pPr>
          </w:p>
          <w:p w14:paraId="54BFD146">
            <w:pPr>
              <w:pStyle w:val="6"/>
              <w:spacing w:before="59" w:line="222" w:lineRule="auto"/>
              <w:ind w:left="635"/>
              <w:rPr>
                <w:sz w:val="18"/>
                <w:szCs w:val="18"/>
              </w:rPr>
            </w:pPr>
            <w:r>
              <w:rPr>
                <w:b/>
                <w:bCs/>
                <w:spacing w:val="-7"/>
                <w:sz w:val="18"/>
                <w:szCs w:val="18"/>
              </w:rPr>
              <w:t>名称</w:t>
            </w:r>
          </w:p>
        </w:tc>
        <w:tc>
          <w:tcPr>
            <w:tcW w:w="2125" w:type="dxa"/>
            <w:gridSpan w:val="2"/>
            <w:vAlign w:val="top"/>
          </w:tcPr>
          <w:p w14:paraId="424B53E4">
            <w:pPr>
              <w:pStyle w:val="6"/>
              <w:spacing w:before="207" w:line="221" w:lineRule="auto"/>
              <w:ind w:left="427"/>
              <w:rPr>
                <w:rFonts w:ascii="Times New Roman" w:hAnsi="Times New Roman" w:eastAsia="Times New Roman" w:cs="Times New Roman"/>
                <w:sz w:val="18"/>
                <w:szCs w:val="18"/>
              </w:rPr>
            </w:pPr>
            <w:r>
              <w:rPr>
                <w:b/>
                <w:bCs/>
                <w:spacing w:val="-3"/>
                <w:sz w:val="18"/>
                <w:szCs w:val="18"/>
              </w:rPr>
              <w:t>面源起点坐标</w:t>
            </w:r>
            <w:r>
              <w:rPr>
                <w:rFonts w:ascii="Times New Roman" w:hAnsi="Times New Roman" w:eastAsia="Times New Roman" w:cs="Times New Roman"/>
                <w:b/>
                <w:bCs/>
                <w:spacing w:val="-3"/>
                <w:sz w:val="18"/>
                <w:szCs w:val="18"/>
              </w:rPr>
              <w:t>/m</w:t>
            </w:r>
          </w:p>
        </w:tc>
        <w:tc>
          <w:tcPr>
            <w:tcW w:w="1135" w:type="dxa"/>
            <w:vMerge w:val="restart"/>
            <w:tcBorders>
              <w:bottom w:val="nil"/>
            </w:tcBorders>
            <w:vAlign w:val="top"/>
          </w:tcPr>
          <w:p w14:paraId="7B5B5B7C">
            <w:pPr>
              <w:pStyle w:val="6"/>
              <w:spacing w:before="260" w:line="221" w:lineRule="auto"/>
              <w:ind w:left="210"/>
              <w:rPr>
                <w:sz w:val="18"/>
                <w:szCs w:val="18"/>
              </w:rPr>
            </w:pPr>
            <w:r>
              <w:rPr>
                <w:b/>
                <w:bCs/>
                <w:spacing w:val="-4"/>
                <w:sz w:val="18"/>
                <w:szCs w:val="18"/>
              </w:rPr>
              <w:t>面源长度</w:t>
            </w:r>
          </w:p>
          <w:p w14:paraId="605E8DC9">
            <w:pPr>
              <w:spacing w:before="139" w:line="188" w:lineRule="auto"/>
              <w:ind w:left="464"/>
              <w:rPr>
                <w:rFonts w:ascii="Times New Roman" w:hAnsi="Times New Roman" w:eastAsia="Times New Roman" w:cs="Times New Roman"/>
                <w:sz w:val="18"/>
                <w:szCs w:val="18"/>
              </w:rPr>
            </w:pPr>
            <w:r>
              <w:rPr>
                <w:rFonts w:ascii="Times New Roman" w:hAnsi="Times New Roman" w:eastAsia="Times New Roman" w:cs="Times New Roman"/>
                <w:b/>
                <w:bCs/>
                <w:sz w:val="18"/>
                <w:szCs w:val="18"/>
              </w:rPr>
              <w:t>/m</w:t>
            </w:r>
          </w:p>
        </w:tc>
        <w:tc>
          <w:tcPr>
            <w:tcW w:w="1134" w:type="dxa"/>
            <w:vMerge w:val="restart"/>
            <w:tcBorders>
              <w:bottom w:val="nil"/>
            </w:tcBorders>
            <w:vAlign w:val="top"/>
          </w:tcPr>
          <w:p w14:paraId="19803697">
            <w:pPr>
              <w:pStyle w:val="6"/>
              <w:spacing w:before="260" w:line="221" w:lineRule="auto"/>
              <w:ind w:left="210"/>
              <w:rPr>
                <w:sz w:val="18"/>
                <w:szCs w:val="18"/>
              </w:rPr>
            </w:pPr>
            <w:r>
              <w:rPr>
                <w:b/>
                <w:bCs/>
                <w:spacing w:val="-4"/>
                <w:sz w:val="18"/>
                <w:szCs w:val="18"/>
              </w:rPr>
              <w:t>面源宽度</w:t>
            </w:r>
          </w:p>
          <w:p w14:paraId="3571B8A4">
            <w:pPr>
              <w:spacing w:before="139" w:line="188" w:lineRule="auto"/>
              <w:ind w:left="464"/>
              <w:rPr>
                <w:rFonts w:ascii="Times New Roman" w:hAnsi="Times New Roman" w:eastAsia="Times New Roman" w:cs="Times New Roman"/>
                <w:sz w:val="18"/>
                <w:szCs w:val="18"/>
              </w:rPr>
            </w:pPr>
            <w:r>
              <w:rPr>
                <w:rFonts w:ascii="Times New Roman" w:hAnsi="Times New Roman" w:eastAsia="Times New Roman" w:cs="Times New Roman"/>
                <w:b/>
                <w:bCs/>
                <w:sz w:val="18"/>
                <w:szCs w:val="18"/>
              </w:rPr>
              <w:t>/m</w:t>
            </w:r>
          </w:p>
        </w:tc>
        <w:tc>
          <w:tcPr>
            <w:tcW w:w="1135" w:type="dxa"/>
            <w:vMerge w:val="restart"/>
            <w:tcBorders>
              <w:bottom w:val="nil"/>
            </w:tcBorders>
            <w:vAlign w:val="top"/>
          </w:tcPr>
          <w:p w14:paraId="614C619D">
            <w:pPr>
              <w:pStyle w:val="6"/>
              <w:spacing w:before="260" w:line="221" w:lineRule="auto"/>
              <w:ind w:left="123"/>
              <w:rPr>
                <w:sz w:val="18"/>
                <w:szCs w:val="18"/>
              </w:rPr>
            </w:pPr>
            <w:r>
              <w:rPr>
                <w:b/>
                <w:bCs/>
                <w:spacing w:val="-4"/>
                <w:sz w:val="18"/>
                <w:szCs w:val="18"/>
              </w:rPr>
              <w:t>与正北向夹</w:t>
            </w:r>
          </w:p>
          <w:p w14:paraId="365E7466">
            <w:pPr>
              <w:pStyle w:val="6"/>
              <w:spacing w:before="109" w:line="219" w:lineRule="auto"/>
              <w:ind w:left="422"/>
              <w:rPr>
                <w:rFonts w:ascii="Times New Roman" w:hAnsi="Times New Roman" w:eastAsia="Times New Roman" w:cs="Times New Roman"/>
                <w:sz w:val="18"/>
                <w:szCs w:val="18"/>
              </w:rPr>
            </w:pPr>
            <w:r>
              <w:rPr>
                <w:b/>
                <w:bCs/>
                <w:spacing w:val="-4"/>
                <w:sz w:val="18"/>
                <w:szCs w:val="18"/>
              </w:rPr>
              <w:t>角</w:t>
            </w:r>
            <w:r>
              <w:rPr>
                <w:rFonts w:ascii="Times New Roman" w:hAnsi="Times New Roman" w:eastAsia="Times New Roman" w:cs="Times New Roman"/>
                <w:b/>
                <w:bCs/>
                <w:spacing w:val="-4"/>
                <w:sz w:val="18"/>
                <w:szCs w:val="18"/>
              </w:rPr>
              <w:t>/°</w:t>
            </w:r>
          </w:p>
        </w:tc>
        <w:tc>
          <w:tcPr>
            <w:tcW w:w="1134" w:type="dxa"/>
            <w:vMerge w:val="restart"/>
            <w:tcBorders>
              <w:bottom w:val="nil"/>
            </w:tcBorders>
            <w:vAlign w:val="top"/>
          </w:tcPr>
          <w:p w14:paraId="47450033">
            <w:pPr>
              <w:pStyle w:val="6"/>
              <w:spacing w:before="260" w:line="221" w:lineRule="auto"/>
              <w:ind w:left="120"/>
              <w:rPr>
                <w:sz w:val="18"/>
                <w:szCs w:val="18"/>
              </w:rPr>
            </w:pPr>
            <w:r>
              <w:rPr>
                <w:b/>
                <w:bCs/>
                <w:spacing w:val="-3"/>
                <w:sz w:val="18"/>
                <w:szCs w:val="18"/>
              </w:rPr>
              <w:t>面源有效排</w:t>
            </w:r>
          </w:p>
          <w:p w14:paraId="249C85F5">
            <w:pPr>
              <w:pStyle w:val="6"/>
              <w:spacing w:before="108" w:line="220" w:lineRule="auto"/>
              <w:ind w:left="201"/>
              <w:rPr>
                <w:rFonts w:ascii="Times New Roman" w:hAnsi="Times New Roman" w:eastAsia="Times New Roman" w:cs="Times New Roman"/>
                <w:sz w:val="18"/>
                <w:szCs w:val="18"/>
              </w:rPr>
            </w:pPr>
            <w:r>
              <w:rPr>
                <w:b/>
                <w:bCs/>
                <w:spacing w:val="-2"/>
                <w:sz w:val="18"/>
                <w:szCs w:val="18"/>
              </w:rPr>
              <w:t>放高度</w:t>
            </w:r>
            <w:r>
              <w:rPr>
                <w:rFonts w:ascii="Times New Roman" w:hAnsi="Times New Roman" w:eastAsia="Times New Roman" w:cs="Times New Roman"/>
                <w:b/>
                <w:bCs/>
                <w:spacing w:val="-2"/>
                <w:sz w:val="18"/>
                <w:szCs w:val="18"/>
              </w:rPr>
              <w:t>/m</w:t>
            </w:r>
          </w:p>
        </w:tc>
        <w:tc>
          <w:tcPr>
            <w:tcW w:w="1134" w:type="dxa"/>
            <w:vMerge w:val="restart"/>
            <w:tcBorders>
              <w:bottom w:val="nil"/>
            </w:tcBorders>
            <w:vAlign w:val="top"/>
          </w:tcPr>
          <w:p w14:paraId="381E29BA">
            <w:pPr>
              <w:pStyle w:val="6"/>
              <w:spacing w:before="260" w:line="220" w:lineRule="auto"/>
              <w:ind w:left="121"/>
              <w:rPr>
                <w:sz w:val="18"/>
                <w:szCs w:val="18"/>
              </w:rPr>
            </w:pPr>
            <w:r>
              <w:rPr>
                <w:b/>
                <w:bCs/>
                <w:spacing w:val="-3"/>
                <w:sz w:val="18"/>
                <w:szCs w:val="18"/>
              </w:rPr>
              <w:t>年排放小时</w:t>
            </w:r>
          </w:p>
          <w:p w14:paraId="2709B892">
            <w:pPr>
              <w:pStyle w:val="6"/>
              <w:spacing w:before="109" w:line="220" w:lineRule="auto"/>
              <w:ind w:left="408"/>
              <w:rPr>
                <w:rFonts w:ascii="Times New Roman" w:hAnsi="Times New Roman" w:eastAsia="Times New Roman" w:cs="Times New Roman"/>
                <w:sz w:val="18"/>
                <w:szCs w:val="18"/>
              </w:rPr>
            </w:pPr>
            <w:r>
              <w:rPr>
                <w:b/>
                <w:bCs/>
                <w:spacing w:val="-4"/>
                <w:sz w:val="18"/>
                <w:szCs w:val="18"/>
              </w:rPr>
              <w:t>数</w:t>
            </w:r>
            <w:r>
              <w:rPr>
                <w:rFonts w:ascii="Times New Roman" w:hAnsi="Times New Roman" w:eastAsia="Times New Roman" w:cs="Times New Roman"/>
                <w:b/>
                <w:bCs/>
                <w:spacing w:val="-4"/>
                <w:sz w:val="18"/>
                <w:szCs w:val="18"/>
              </w:rPr>
              <w:t>/h</w:t>
            </w:r>
          </w:p>
        </w:tc>
        <w:tc>
          <w:tcPr>
            <w:tcW w:w="1134" w:type="dxa"/>
            <w:vMerge w:val="restart"/>
            <w:tcBorders>
              <w:bottom w:val="nil"/>
            </w:tcBorders>
            <w:vAlign w:val="top"/>
          </w:tcPr>
          <w:p w14:paraId="142CC32D">
            <w:pPr>
              <w:spacing w:line="360" w:lineRule="auto"/>
              <w:rPr>
                <w:rFonts w:ascii="Arial"/>
                <w:sz w:val="21"/>
              </w:rPr>
            </w:pPr>
          </w:p>
          <w:p w14:paraId="69199F4B">
            <w:pPr>
              <w:pStyle w:val="6"/>
              <w:spacing w:before="58" w:line="221" w:lineRule="auto"/>
              <w:ind w:left="213"/>
              <w:rPr>
                <w:sz w:val="18"/>
                <w:szCs w:val="18"/>
              </w:rPr>
            </w:pPr>
            <w:r>
              <w:rPr>
                <w:b/>
                <w:bCs/>
                <w:spacing w:val="-4"/>
                <w:sz w:val="18"/>
                <w:szCs w:val="18"/>
              </w:rPr>
              <w:t>排放工况</w:t>
            </w:r>
          </w:p>
        </w:tc>
        <w:tc>
          <w:tcPr>
            <w:tcW w:w="3195" w:type="dxa"/>
            <w:gridSpan w:val="3"/>
            <w:vAlign w:val="top"/>
          </w:tcPr>
          <w:p w14:paraId="14E96936">
            <w:pPr>
              <w:pStyle w:val="6"/>
              <w:spacing w:before="207" w:line="212" w:lineRule="auto"/>
              <w:ind w:left="777"/>
              <w:rPr>
                <w:rFonts w:ascii="Times New Roman" w:hAnsi="Times New Roman" w:eastAsia="Times New Roman" w:cs="Times New Roman"/>
                <w:sz w:val="18"/>
                <w:szCs w:val="18"/>
              </w:rPr>
            </w:pPr>
            <w:r>
              <w:rPr>
                <w:b/>
                <w:bCs/>
                <w:spacing w:val="-2"/>
                <w:sz w:val="18"/>
                <w:szCs w:val="18"/>
              </w:rPr>
              <w:t>污染物排放速率</w:t>
            </w:r>
            <w:r>
              <w:rPr>
                <w:rFonts w:ascii="Times New Roman" w:hAnsi="Times New Roman" w:eastAsia="Times New Roman" w:cs="Times New Roman"/>
                <w:b/>
                <w:bCs/>
                <w:spacing w:val="-2"/>
                <w:sz w:val="18"/>
                <w:szCs w:val="18"/>
              </w:rPr>
              <w:t>/kg/h</w:t>
            </w:r>
          </w:p>
        </w:tc>
      </w:tr>
      <w:tr w14:paraId="7CFE7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473" w:type="dxa"/>
            <w:vMerge w:val="continue"/>
            <w:tcBorders>
              <w:top w:val="nil"/>
            </w:tcBorders>
            <w:textDirection w:val="tbRlV"/>
            <w:vAlign w:val="top"/>
          </w:tcPr>
          <w:p w14:paraId="3110ABFB">
            <w:pPr>
              <w:rPr>
                <w:rFonts w:ascii="Arial"/>
                <w:sz w:val="21"/>
              </w:rPr>
            </w:pPr>
          </w:p>
        </w:tc>
        <w:tc>
          <w:tcPr>
            <w:tcW w:w="1623" w:type="dxa"/>
            <w:vMerge w:val="continue"/>
            <w:tcBorders>
              <w:top w:val="nil"/>
            </w:tcBorders>
            <w:vAlign w:val="top"/>
          </w:tcPr>
          <w:p w14:paraId="7A8D4FA5">
            <w:pPr>
              <w:rPr>
                <w:rFonts w:ascii="Arial"/>
                <w:sz w:val="21"/>
              </w:rPr>
            </w:pPr>
          </w:p>
        </w:tc>
        <w:tc>
          <w:tcPr>
            <w:tcW w:w="993" w:type="dxa"/>
            <w:vAlign w:val="top"/>
          </w:tcPr>
          <w:p w14:paraId="0F70D6E6">
            <w:pPr>
              <w:spacing w:before="153" w:line="185" w:lineRule="auto"/>
              <w:ind w:left="427"/>
              <w:rPr>
                <w:rFonts w:ascii="Times New Roman" w:hAnsi="Times New Roman" w:eastAsia="Times New Roman" w:cs="Times New Roman"/>
                <w:sz w:val="18"/>
                <w:szCs w:val="18"/>
              </w:rPr>
            </w:pPr>
            <w:r>
              <w:rPr>
                <w:rFonts w:ascii="Times New Roman" w:hAnsi="Times New Roman" w:eastAsia="Times New Roman" w:cs="Times New Roman"/>
                <w:b/>
                <w:bCs/>
                <w:sz w:val="18"/>
                <w:szCs w:val="18"/>
              </w:rPr>
              <w:t>X</w:t>
            </w:r>
          </w:p>
        </w:tc>
        <w:tc>
          <w:tcPr>
            <w:tcW w:w="1132" w:type="dxa"/>
            <w:vAlign w:val="top"/>
          </w:tcPr>
          <w:p w14:paraId="356BA901">
            <w:pPr>
              <w:spacing w:before="153" w:line="185" w:lineRule="auto"/>
              <w:ind w:left="498"/>
              <w:rPr>
                <w:rFonts w:ascii="Times New Roman" w:hAnsi="Times New Roman" w:eastAsia="Times New Roman" w:cs="Times New Roman"/>
                <w:sz w:val="18"/>
                <w:szCs w:val="18"/>
              </w:rPr>
            </w:pPr>
            <w:r>
              <w:rPr>
                <w:rFonts w:ascii="Times New Roman" w:hAnsi="Times New Roman" w:eastAsia="Times New Roman" w:cs="Times New Roman"/>
                <w:b/>
                <w:bCs/>
                <w:sz w:val="18"/>
                <w:szCs w:val="18"/>
              </w:rPr>
              <w:t>Y</w:t>
            </w:r>
          </w:p>
        </w:tc>
        <w:tc>
          <w:tcPr>
            <w:tcW w:w="1135" w:type="dxa"/>
            <w:vMerge w:val="continue"/>
            <w:tcBorders>
              <w:top w:val="nil"/>
            </w:tcBorders>
            <w:vAlign w:val="top"/>
          </w:tcPr>
          <w:p w14:paraId="7ACA120F">
            <w:pPr>
              <w:rPr>
                <w:rFonts w:ascii="Arial"/>
                <w:sz w:val="21"/>
              </w:rPr>
            </w:pPr>
          </w:p>
        </w:tc>
        <w:tc>
          <w:tcPr>
            <w:tcW w:w="1134" w:type="dxa"/>
            <w:vMerge w:val="continue"/>
            <w:tcBorders>
              <w:top w:val="nil"/>
            </w:tcBorders>
            <w:vAlign w:val="top"/>
          </w:tcPr>
          <w:p w14:paraId="2F0C5555">
            <w:pPr>
              <w:rPr>
                <w:rFonts w:ascii="Arial"/>
                <w:sz w:val="21"/>
              </w:rPr>
            </w:pPr>
          </w:p>
        </w:tc>
        <w:tc>
          <w:tcPr>
            <w:tcW w:w="1135" w:type="dxa"/>
            <w:vMerge w:val="continue"/>
            <w:tcBorders>
              <w:top w:val="nil"/>
            </w:tcBorders>
            <w:vAlign w:val="top"/>
          </w:tcPr>
          <w:p w14:paraId="388FA688">
            <w:pPr>
              <w:rPr>
                <w:rFonts w:ascii="Arial"/>
                <w:sz w:val="21"/>
              </w:rPr>
            </w:pPr>
          </w:p>
        </w:tc>
        <w:tc>
          <w:tcPr>
            <w:tcW w:w="1134" w:type="dxa"/>
            <w:vMerge w:val="continue"/>
            <w:tcBorders>
              <w:top w:val="nil"/>
            </w:tcBorders>
            <w:vAlign w:val="top"/>
          </w:tcPr>
          <w:p w14:paraId="02A2F0D8">
            <w:pPr>
              <w:rPr>
                <w:rFonts w:ascii="Arial"/>
                <w:sz w:val="21"/>
              </w:rPr>
            </w:pPr>
          </w:p>
        </w:tc>
        <w:tc>
          <w:tcPr>
            <w:tcW w:w="1134" w:type="dxa"/>
            <w:vMerge w:val="continue"/>
            <w:tcBorders>
              <w:top w:val="nil"/>
            </w:tcBorders>
            <w:vAlign w:val="top"/>
          </w:tcPr>
          <w:p w14:paraId="3756B85D">
            <w:pPr>
              <w:rPr>
                <w:rFonts w:ascii="Arial"/>
                <w:sz w:val="21"/>
              </w:rPr>
            </w:pPr>
          </w:p>
        </w:tc>
        <w:tc>
          <w:tcPr>
            <w:tcW w:w="1134" w:type="dxa"/>
            <w:vMerge w:val="continue"/>
            <w:tcBorders>
              <w:top w:val="nil"/>
            </w:tcBorders>
            <w:vAlign w:val="top"/>
          </w:tcPr>
          <w:p w14:paraId="3DDBD8C0">
            <w:pPr>
              <w:rPr>
                <w:rFonts w:ascii="Arial"/>
                <w:sz w:val="21"/>
              </w:rPr>
            </w:pPr>
          </w:p>
        </w:tc>
        <w:tc>
          <w:tcPr>
            <w:tcW w:w="1132" w:type="dxa"/>
            <w:vAlign w:val="top"/>
          </w:tcPr>
          <w:p w14:paraId="60F4AFA6">
            <w:pPr>
              <w:spacing w:before="145" w:line="241" w:lineRule="exact"/>
              <w:ind w:left="377"/>
              <w:rPr>
                <w:rFonts w:ascii="Times New Roman" w:hAnsi="Times New Roman" w:eastAsia="Times New Roman" w:cs="Times New Roman"/>
                <w:sz w:val="13"/>
                <w:szCs w:val="13"/>
              </w:rPr>
            </w:pPr>
            <w:r>
              <w:rPr>
                <w:rFonts w:ascii="Times New Roman" w:hAnsi="Times New Roman" w:eastAsia="Times New Roman" w:cs="Times New Roman"/>
                <w:spacing w:val="6"/>
                <w:position w:val="1"/>
                <w:sz w:val="20"/>
                <w:szCs w:val="20"/>
              </w:rPr>
              <w:t>NH</w:t>
            </w:r>
            <w:r>
              <w:rPr>
                <w:rFonts w:ascii="Times New Roman" w:hAnsi="Times New Roman" w:eastAsia="Times New Roman" w:cs="Times New Roman"/>
                <w:spacing w:val="6"/>
                <w:position w:val="1"/>
                <w:sz w:val="13"/>
                <w:szCs w:val="13"/>
              </w:rPr>
              <w:t>3</w:t>
            </w:r>
          </w:p>
        </w:tc>
        <w:tc>
          <w:tcPr>
            <w:tcW w:w="1135" w:type="dxa"/>
            <w:vAlign w:val="top"/>
          </w:tcPr>
          <w:p w14:paraId="160088F9">
            <w:pPr>
              <w:spacing w:before="142" w:line="243"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928" w:type="dxa"/>
            <w:vAlign w:val="top"/>
          </w:tcPr>
          <w:p w14:paraId="2A4A2115">
            <w:pPr>
              <w:spacing w:before="97"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r>
      <w:tr w14:paraId="3733B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73" w:type="dxa"/>
            <w:vAlign w:val="top"/>
          </w:tcPr>
          <w:p w14:paraId="3E8D4B8A">
            <w:pPr>
              <w:spacing w:before="56" w:line="236"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M1</w:t>
            </w:r>
          </w:p>
        </w:tc>
        <w:tc>
          <w:tcPr>
            <w:tcW w:w="1623" w:type="dxa"/>
            <w:vAlign w:val="top"/>
          </w:tcPr>
          <w:p w14:paraId="3EE4488A">
            <w:pPr>
              <w:pStyle w:val="6"/>
              <w:spacing w:before="82" w:line="221" w:lineRule="auto"/>
              <w:ind w:left="633"/>
              <w:rPr>
                <w:sz w:val="18"/>
                <w:szCs w:val="18"/>
              </w:rPr>
            </w:pPr>
            <w:r>
              <w:rPr>
                <w:spacing w:val="-4"/>
                <w:sz w:val="18"/>
                <w:szCs w:val="18"/>
              </w:rPr>
              <w:t>猪舍</w:t>
            </w:r>
          </w:p>
        </w:tc>
        <w:tc>
          <w:tcPr>
            <w:tcW w:w="993" w:type="dxa"/>
            <w:vAlign w:val="top"/>
          </w:tcPr>
          <w:p w14:paraId="35D242DB">
            <w:pPr>
              <w:spacing w:before="56" w:line="236" w:lineRule="exact"/>
              <w:ind w:left="44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2</w:t>
            </w:r>
          </w:p>
        </w:tc>
        <w:tc>
          <w:tcPr>
            <w:tcW w:w="1132" w:type="dxa"/>
            <w:vAlign w:val="top"/>
          </w:tcPr>
          <w:p w14:paraId="4D40DFD9">
            <w:pPr>
              <w:spacing w:before="56" w:line="236" w:lineRule="exact"/>
              <w:ind w:left="448"/>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-61</w:t>
            </w:r>
          </w:p>
        </w:tc>
        <w:tc>
          <w:tcPr>
            <w:tcW w:w="1135" w:type="dxa"/>
            <w:vAlign w:val="top"/>
          </w:tcPr>
          <w:p w14:paraId="7B01211D">
            <w:pPr>
              <w:spacing w:before="56" w:line="236" w:lineRule="exact"/>
              <w:ind w:left="453"/>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110</w:t>
            </w:r>
          </w:p>
        </w:tc>
        <w:tc>
          <w:tcPr>
            <w:tcW w:w="1134" w:type="dxa"/>
            <w:vAlign w:val="top"/>
          </w:tcPr>
          <w:p w14:paraId="21D9A600">
            <w:pPr>
              <w:spacing w:before="56" w:line="236" w:lineRule="exact"/>
              <w:ind w:left="4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65</w:t>
            </w:r>
          </w:p>
        </w:tc>
        <w:tc>
          <w:tcPr>
            <w:tcW w:w="1135" w:type="dxa"/>
            <w:vAlign w:val="top"/>
          </w:tcPr>
          <w:p w14:paraId="45B4F3FC">
            <w:pPr>
              <w:spacing w:before="56" w:line="236" w:lineRule="exact"/>
              <w:ind w:left="451"/>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-45</w:t>
            </w:r>
          </w:p>
        </w:tc>
        <w:tc>
          <w:tcPr>
            <w:tcW w:w="1134" w:type="dxa"/>
            <w:vAlign w:val="top"/>
          </w:tcPr>
          <w:p w14:paraId="4B268B55">
            <w:pPr>
              <w:spacing w:before="56" w:line="236" w:lineRule="exact"/>
              <w:ind w:left="5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3</w:t>
            </w:r>
          </w:p>
        </w:tc>
        <w:tc>
          <w:tcPr>
            <w:tcW w:w="1134" w:type="dxa"/>
            <w:vAlign w:val="top"/>
          </w:tcPr>
          <w:p w14:paraId="63E9C944">
            <w:pPr>
              <w:spacing w:before="56" w:line="236" w:lineRule="exact"/>
              <w:ind w:left="39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8760</w:t>
            </w:r>
          </w:p>
        </w:tc>
        <w:tc>
          <w:tcPr>
            <w:tcW w:w="1134" w:type="dxa"/>
            <w:vAlign w:val="top"/>
          </w:tcPr>
          <w:p w14:paraId="525B12C5">
            <w:pPr>
              <w:pStyle w:val="6"/>
              <w:spacing w:before="82" w:line="221" w:lineRule="auto"/>
              <w:ind w:left="397"/>
              <w:rPr>
                <w:sz w:val="18"/>
                <w:szCs w:val="18"/>
              </w:rPr>
            </w:pPr>
            <w:r>
              <w:rPr>
                <w:spacing w:val="-6"/>
                <w:sz w:val="18"/>
                <w:szCs w:val="18"/>
              </w:rPr>
              <w:t>正常</w:t>
            </w:r>
          </w:p>
        </w:tc>
        <w:tc>
          <w:tcPr>
            <w:tcW w:w="1132" w:type="dxa"/>
            <w:vAlign w:val="top"/>
          </w:tcPr>
          <w:p w14:paraId="3D138B6A">
            <w:pPr>
              <w:spacing w:before="56" w:line="236" w:lineRule="exact"/>
              <w:ind w:left="37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0.002</w:t>
            </w:r>
          </w:p>
        </w:tc>
        <w:tc>
          <w:tcPr>
            <w:tcW w:w="1135" w:type="dxa"/>
            <w:vAlign w:val="top"/>
          </w:tcPr>
          <w:p w14:paraId="0578C529">
            <w:pPr>
              <w:spacing w:before="56" w:line="236" w:lineRule="exact"/>
              <w:ind w:left="32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0.0002</w:t>
            </w:r>
          </w:p>
        </w:tc>
        <w:tc>
          <w:tcPr>
            <w:tcW w:w="928" w:type="dxa"/>
            <w:vAlign w:val="top"/>
          </w:tcPr>
          <w:p w14:paraId="7BAA35C4">
            <w:pPr>
              <w:spacing w:before="49" w:line="236" w:lineRule="exact"/>
              <w:ind w:left="4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1EED7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73" w:type="dxa"/>
            <w:vAlign w:val="top"/>
          </w:tcPr>
          <w:p w14:paraId="5A628280">
            <w:pPr>
              <w:spacing w:before="57" w:line="237"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M2</w:t>
            </w:r>
          </w:p>
        </w:tc>
        <w:tc>
          <w:tcPr>
            <w:tcW w:w="1623" w:type="dxa"/>
            <w:vAlign w:val="top"/>
          </w:tcPr>
          <w:p w14:paraId="165B9A6C">
            <w:pPr>
              <w:pStyle w:val="6"/>
              <w:spacing w:before="84" w:line="219" w:lineRule="auto"/>
              <w:ind w:left="185"/>
              <w:rPr>
                <w:sz w:val="18"/>
                <w:szCs w:val="18"/>
              </w:rPr>
            </w:pPr>
            <w:r>
              <w:rPr>
                <w:spacing w:val="-2"/>
                <w:sz w:val="18"/>
                <w:szCs w:val="18"/>
              </w:rPr>
              <w:t>有机肥发酵车间</w:t>
            </w:r>
          </w:p>
        </w:tc>
        <w:tc>
          <w:tcPr>
            <w:tcW w:w="993" w:type="dxa"/>
            <w:vAlign w:val="top"/>
          </w:tcPr>
          <w:p w14:paraId="672FFA53">
            <w:pPr>
              <w:spacing w:before="118" w:line="185" w:lineRule="auto"/>
              <w:ind w:left="41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tc>
        <w:tc>
          <w:tcPr>
            <w:tcW w:w="1132" w:type="dxa"/>
            <w:vAlign w:val="top"/>
          </w:tcPr>
          <w:p w14:paraId="35283A92">
            <w:pPr>
              <w:spacing w:before="57" w:line="237" w:lineRule="exact"/>
              <w:ind w:left="493"/>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13</w:t>
            </w:r>
          </w:p>
        </w:tc>
        <w:tc>
          <w:tcPr>
            <w:tcW w:w="1135" w:type="dxa"/>
            <w:vAlign w:val="top"/>
          </w:tcPr>
          <w:p w14:paraId="7B8D7CD8">
            <w:pPr>
              <w:spacing w:before="57" w:line="237" w:lineRule="exact"/>
              <w:ind w:left="4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60</w:t>
            </w:r>
          </w:p>
        </w:tc>
        <w:tc>
          <w:tcPr>
            <w:tcW w:w="1134" w:type="dxa"/>
            <w:vAlign w:val="top"/>
          </w:tcPr>
          <w:p w14:paraId="38947F16">
            <w:pPr>
              <w:spacing w:before="57" w:line="237" w:lineRule="exact"/>
              <w:ind w:left="4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30</w:t>
            </w:r>
          </w:p>
        </w:tc>
        <w:tc>
          <w:tcPr>
            <w:tcW w:w="1135" w:type="dxa"/>
            <w:vAlign w:val="top"/>
          </w:tcPr>
          <w:p w14:paraId="360DD1C6">
            <w:pPr>
              <w:spacing w:before="57" w:line="237" w:lineRule="exact"/>
              <w:ind w:left="451"/>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-45</w:t>
            </w:r>
          </w:p>
        </w:tc>
        <w:tc>
          <w:tcPr>
            <w:tcW w:w="1134" w:type="dxa"/>
            <w:vAlign w:val="top"/>
          </w:tcPr>
          <w:p w14:paraId="4743C1AB">
            <w:pPr>
              <w:spacing w:before="57" w:line="237" w:lineRule="exact"/>
              <w:ind w:left="52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6</w:t>
            </w:r>
          </w:p>
        </w:tc>
        <w:tc>
          <w:tcPr>
            <w:tcW w:w="1134" w:type="dxa"/>
            <w:vAlign w:val="top"/>
          </w:tcPr>
          <w:p w14:paraId="4CD4AB6D">
            <w:pPr>
              <w:spacing w:before="57" w:line="237" w:lineRule="exact"/>
              <w:ind w:left="39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8760</w:t>
            </w:r>
          </w:p>
        </w:tc>
        <w:tc>
          <w:tcPr>
            <w:tcW w:w="1134" w:type="dxa"/>
            <w:vAlign w:val="top"/>
          </w:tcPr>
          <w:p w14:paraId="772A3BAF">
            <w:pPr>
              <w:pStyle w:val="6"/>
              <w:spacing w:before="84" w:line="221" w:lineRule="auto"/>
              <w:ind w:left="397"/>
              <w:rPr>
                <w:sz w:val="18"/>
                <w:szCs w:val="18"/>
              </w:rPr>
            </w:pPr>
            <w:r>
              <w:rPr>
                <w:spacing w:val="-6"/>
                <w:sz w:val="18"/>
                <w:szCs w:val="18"/>
              </w:rPr>
              <w:t>正常</w:t>
            </w:r>
          </w:p>
        </w:tc>
        <w:tc>
          <w:tcPr>
            <w:tcW w:w="1132" w:type="dxa"/>
            <w:vAlign w:val="top"/>
          </w:tcPr>
          <w:p w14:paraId="39569442">
            <w:pPr>
              <w:spacing w:before="57" w:line="237" w:lineRule="exact"/>
              <w:ind w:left="32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0.0014</w:t>
            </w:r>
          </w:p>
        </w:tc>
        <w:tc>
          <w:tcPr>
            <w:tcW w:w="1135" w:type="dxa"/>
            <w:vAlign w:val="top"/>
          </w:tcPr>
          <w:p w14:paraId="3586EC49">
            <w:pPr>
              <w:spacing w:before="57" w:line="237" w:lineRule="exact"/>
              <w:ind w:left="32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0.0006</w:t>
            </w:r>
          </w:p>
        </w:tc>
        <w:tc>
          <w:tcPr>
            <w:tcW w:w="928" w:type="dxa"/>
            <w:vAlign w:val="top"/>
          </w:tcPr>
          <w:p w14:paraId="18A9D014">
            <w:pPr>
              <w:spacing w:before="50" w:line="236" w:lineRule="exact"/>
              <w:ind w:left="43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45511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73" w:type="dxa"/>
            <w:vAlign w:val="top"/>
          </w:tcPr>
          <w:p w14:paraId="5D2114C3">
            <w:pPr>
              <w:spacing w:before="56" w:line="237"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M3</w:t>
            </w:r>
          </w:p>
        </w:tc>
        <w:tc>
          <w:tcPr>
            <w:tcW w:w="1623" w:type="dxa"/>
            <w:vAlign w:val="top"/>
          </w:tcPr>
          <w:p w14:paraId="156B797F">
            <w:pPr>
              <w:pStyle w:val="6"/>
              <w:spacing w:before="85" w:line="221" w:lineRule="auto"/>
              <w:ind w:left="363"/>
              <w:rPr>
                <w:sz w:val="18"/>
                <w:szCs w:val="18"/>
              </w:rPr>
            </w:pPr>
            <w:r>
              <w:rPr>
                <w:spacing w:val="-2"/>
                <w:sz w:val="18"/>
                <w:szCs w:val="18"/>
              </w:rPr>
              <w:t>饲料加工房</w:t>
            </w:r>
          </w:p>
        </w:tc>
        <w:tc>
          <w:tcPr>
            <w:tcW w:w="993" w:type="dxa"/>
            <w:vAlign w:val="top"/>
          </w:tcPr>
          <w:p w14:paraId="7565928A">
            <w:pPr>
              <w:spacing w:before="56" w:line="237" w:lineRule="exact"/>
              <w:ind w:left="381"/>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-26</w:t>
            </w:r>
          </w:p>
        </w:tc>
        <w:tc>
          <w:tcPr>
            <w:tcW w:w="1132" w:type="dxa"/>
            <w:vAlign w:val="top"/>
          </w:tcPr>
          <w:p w14:paraId="53E9FC61">
            <w:pPr>
              <w:spacing w:before="56" w:line="237" w:lineRule="exact"/>
              <w:ind w:left="448"/>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-64</w:t>
            </w:r>
          </w:p>
        </w:tc>
        <w:tc>
          <w:tcPr>
            <w:tcW w:w="1135" w:type="dxa"/>
            <w:vAlign w:val="top"/>
          </w:tcPr>
          <w:p w14:paraId="673FC7E8">
            <w:pPr>
              <w:spacing w:before="56" w:line="237" w:lineRule="exact"/>
              <w:ind w:left="47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tc>
        <w:tc>
          <w:tcPr>
            <w:tcW w:w="1134" w:type="dxa"/>
            <w:vAlign w:val="top"/>
          </w:tcPr>
          <w:p w14:paraId="76C87355">
            <w:pPr>
              <w:spacing w:before="56" w:line="237" w:lineRule="exact"/>
              <w:ind w:left="494"/>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15</w:t>
            </w:r>
          </w:p>
        </w:tc>
        <w:tc>
          <w:tcPr>
            <w:tcW w:w="1135" w:type="dxa"/>
            <w:vAlign w:val="top"/>
          </w:tcPr>
          <w:p w14:paraId="562080A8">
            <w:pPr>
              <w:spacing w:before="56" w:line="237" w:lineRule="exact"/>
              <w:ind w:left="451"/>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-45</w:t>
            </w:r>
          </w:p>
        </w:tc>
        <w:tc>
          <w:tcPr>
            <w:tcW w:w="1134" w:type="dxa"/>
            <w:vAlign w:val="top"/>
          </w:tcPr>
          <w:p w14:paraId="7908E206">
            <w:pPr>
              <w:spacing w:before="56" w:line="237" w:lineRule="exact"/>
              <w:ind w:left="5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3</w:t>
            </w:r>
          </w:p>
        </w:tc>
        <w:tc>
          <w:tcPr>
            <w:tcW w:w="1134" w:type="dxa"/>
            <w:vAlign w:val="top"/>
          </w:tcPr>
          <w:p w14:paraId="32557A33">
            <w:pPr>
              <w:spacing w:before="56" w:line="237" w:lineRule="exact"/>
              <w:ind w:left="406"/>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1460</w:t>
            </w:r>
          </w:p>
        </w:tc>
        <w:tc>
          <w:tcPr>
            <w:tcW w:w="1134" w:type="dxa"/>
            <w:vAlign w:val="top"/>
          </w:tcPr>
          <w:p w14:paraId="09810FF9">
            <w:pPr>
              <w:pStyle w:val="6"/>
              <w:spacing w:before="85" w:line="221" w:lineRule="auto"/>
              <w:ind w:left="397"/>
              <w:rPr>
                <w:sz w:val="18"/>
                <w:szCs w:val="18"/>
              </w:rPr>
            </w:pPr>
            <w:r>
              <w:rPr>
                <w:spacing w:val="-6"/>
                <w:sz w:val="18"/>
                <w:szCs w:val="18"/>
              </w:rPr>
              <w:t>正常</w:t>
            </w:r>
          </w:p>
        </w:tc>
        <w:tc>
          <w:tcPr>
            <w:tcW w:w="1132" w:type="dxa"/>
            <w:vAlign w:val="top"/>
          </w:tcPr>
          <w:p w14:paraId="1EEFEFAC">
            <w:pPr>
              <w:spacing w:before="56" w:line="237" w:lineRule="exact"/>
              <w:ind w:left="5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135" w:type="dxa"/>
            <w:vAlign w:val="top"/>
          </w:tcPr>
          <w:p w14:paraId="3D10C539">
            <w:pPr>
              <w:spacing w:before="56" w:line="237" w:lineRule="exact"/>
              <w:ind w:left="54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928" w:type="dxa"/>
            <w:vAlign w:val="top"/>
          </w:tcPr>
          <w:p w14:paraId="31F59A19">
            <w:pPr>
              <w:spacing w:before="49" w:line="236" w:lineRule="exact"/>
              <w:ind w:left="26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0.005</w:t>
            </w:r>
          </w:p>
        </w:tc>
      </w:tr>
    </w:tbl>
    <w:p w14:paraId="72DBBF66">
      <w:pPr>
        <w:spacing w:before="74" w:line="220" w:lineRule="auto"/>
        <w:ind w:left="480"/>
        <w:rPr>
          <w:rFonts w:ascii="宋体" w:hAnsi="宋体" w:eastAsia="宋体" w:cs="宋体"/>
          <w:sz w:val="18"/>
          <w:szCs w:val="18"/>
        </w:rPr>
      </w:pPr>
      <w:r>
        <w:rPr>
          <w:rFonts w:ascii="宋体" w:hAnsi="宋体" w:eastAsia="宋体" w:cs="宋体"/>
          <w:b/>
          <w:bCs/>
          <w:spacing w:val="-1"/>
          <w:sz w:val="18"/>
          <w:szCs w:val="18"/>
        </w:rPr>
        <w:t>注：原点坐标位置为项目中心位置。项目无组织排</w:t>
      </w:r>
      <w:r>
        <w:rPr>
          <w:rFonts w:ascii="宋体" w:hAnsi="宋体" w:eastAsia="宋体" w:cs="宋体"/>
          <w:b/>
          <w:bCs/>
          <w:spacing w:val="-2"/>
          <w:sz w:val="18"/>
          <w:szCs w:val="18"/>
        </w:rPr>
        <w:t>放主要为门窗逸散，排放高度取门窗高度。</w:t>
      </w:r>
    </w:p>
    <w:p w14:paraId="1B37B0E2">
      <w:pPr>
        <w:spacing w:line="220" w:lineRule="auto"/>
        <w:rPr>
          <w:rFonts w:ascii="宋体" w:hAnsi="宋体" w:eastAsia="宋体" w:cs="宋体"/>
          <w:sz w:val="18"/>
          <w:szCs w:val="18"/>
        </w:rPr>
        <w:sectPr>
          <w:footerReference r:id="rId136" w:type="default"/>
          <w:pgSz w:w="16839" w:h="11906"/>
          <w:pgMar w:top="400" w:right="1305" w:bottom="1485" w:left="1305" w:header="0" w:footer="1249" w:gutter="0"/>
          <w:cols w:space="720" w:num="1"/>
        </w:sectPr>
      </w:pPr>
    </w:p>
    <w:p w14:paraId="2CD5A148">
      <w:pPr>
        <w:pStyle w:val="2"/>
        <w:spacing w:line="264" w:lineRule="auto"/>
      </w:pPr>
    </w:p>
    <w:p w14:paraId="6126D319">
      <w:pPr>
        <w:pStyle w:val="2"/>
        <w:spacing w:line="264" w:lineRule="auto"/>
      </w:pPr>
    </w:p>
    <w:p w14:paraId="0DD50E32">
      <w:pPr>
        <w:pStyle w:val="2"/>
        <w:spacing w:line="264" w:lineRule="auto"/>
      </w:pPr>
    </w:p>
    <w:p w14:paraId="4E0A9569">
      <w:pPr>
        <w:pStyle w:val="2"/>
        <w:spacing w:line="265" w:lineRule="auto"/>
      </w:pPr>
    </w:p>
    <w:p w14:paraId="301625EC">
      <w:pPr>
        <w:spacing w:before="78" w:line="218" w:lineRule="auto"/>
        <w:ind w:left="601"/>
        <w:rPr>
          <w:rFonts w:ascii="宋体" w:hAnsi="宋体" w:eastAsia="宋体" w:cs="宋体"/>
          <w:sz w:val="24"/>
          <w:szCs w:val="24"/>
        </w:rPr>
      </w:pPr>
      <w:r>
        <w:rPr>
          <w:rFonts w:ascii="宋体" w:hAnsi="宋体" w:eastAsia="宋体" w:cs="宋体"/>
          <w:spacing w:val="-1"/>
          <w:sz w:val="24"/>
          <w:szCs w:val="24"/>
        </w:rPr>
        <w:t>②估算模式参数表</w:t>
      </w:r>
    </w:p>
    <w:p w14:paraId="5D1547AC">
      <w:pPr>
        <w:spacing w:before="112" w:line="227" w:lineRule="auto"/>
        <w:ind w:left="3531"/>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4"/>
          <w:sz w:val="20"/>
          <w:szCs w:val="20"/>
        </w:rPr>
        <w:t xml:space="preserve"> </w:t>
      </w:r>
      <w:r>
        <w:rPr>
          <w:rFonts w:ascii="Times New Roman" w:hAnsi="Times New Roman" w:eastAsia="Times New Roman" w:cs="Times New Roman"/>
          <w:b/>
          <w:bCs/>
          <w:spacing w:val="5"/>
          <w:sz w:val="20"/>
          <w:szCs w:val="20"/>
        </w:rPr>
        <w:t xml:space="preserve">5.2-10 </w:t>
      </w:r>
      <w:r>
        <w:rPr>
          <w:rFonts w:ascii="宋体" w:hAnsi="宋体" w:eastAsia="宋体" w:cs="宋体"/>
          <w:b/>
          <w:bCs/>
          <w:spacing w:val="5"/>
          <w:sz w:val="20"/>
          <w:szCs w:val="20"/>
        </w:rPr>
        <w:t>估算模式参数表</w:t>
      </w:r>
    </w:p>
    <w:p w14:paraId="5D56E0FB">
      <w:pPr>
        <w:spacing w:line="131"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9"/>
        <w:gridCol w:w="3313"/>
        <w:gridCol w:w="3158"/>
      </w:tblGrid>
      <w:tr w14:paraId="3F1E5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5792" w:type="dxa"/>
            <w:gridSpan w:val="2"/>
            <w:vAlign w:val="top"/>
          </w:tcPr>
          <w:p w14:paraId="38E29674">
            <w:pPr>
              <w:pStyle w:val="6"/>
              <w:spacing w:before="97" w:line="228" w:lineRule="auto"/>
              <w:ind w:left="2693"/>
            </w:pPr>
            <w:r>
              <w:rPr>
                <w:spacing w:val="3"/>
              </w:rPr>
              <w:t>参数</w:t>
            </w:r>
          </w:p>
        </w:tc>
        <w:tc>
          <w:tcPr>
            <w:tcW w:w="3158" w:type="dxa"/>
            <w:vAlign w:val="top"/>
          </w:tcPr>
          <w:p w14:paraId="57E3F3CC">
            <w:pPr>
              <w:pStyle w:val="6"/>
              <w:spacing w:before="97" w:line="228" w:lineRule="auto"/>
              <w:ind w:left="1376"/>
            </w:pPr>
            <w:r>
              <w:rPr>
                <w:spacing w:val="3"/>
              </w:rPr>
              <w:t>取值</w:t>
            </w:r>
          </w:p>
        </w:tc>
      </w:tr>
      <w:tr w14:paraId="798A4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479" w:type="dxa"/>
            <w:vMerge w:val="restart"/>
            <w:tcBorders>
              <w:bottom w:val="nil"/>
            </w:tcBorders>
            <w:vAlign w:val="top"/>
          </w:tcPr>
          <w:p w14:paraId="0E7C978E">
            <w:pPr>
              <w:pStyle w:val="6"/>
              <w:spacing w:before="210" w:line="274" w:lineRule="exact"/>
              <w:ind w:left="587"/>
            </w:pPr>
            <w:r>
              <w:rPr>
                <w:spacing w:val="7"/>
                <w:position w:val="1"/>
              </w:rPr>
              <w:t>城市</w:t>
            </w:r>
            <w:r>
              <w:rPr>
                <w:rFonts w:ascii="Times New Roman" w:hAnsi="Times New Roman" w:eastAsia="Times New Roman" w:cs="Times New Roman"/>
                <w:spacing w:val="7"/>
                <w:position w:val="1"/>
              </w:rPr>
              <w:t>/</w:t>
            </w:r>
            <w:r>
              <w:rPr>
                <w:spacing w:val="7"/>
                <w:position w:val="1"/>
              </w:rPr>
              <w:t>农村选项</w:t>
            </w:r>
          </w:p>
        </w:tc>
        <w:tc>
          <w:tcPr>
            <w:tcW w:w="3313" w:type="dxa"/>
            <w:vAlign w:val="top"/>
          </w:tcPr>
          <w:p w14:paraId="12E5ED01">
            <w:pPr>
              <w:pStyle w:val="6"/>
              <w:spacing w:before="35" w:line="274" w:lineRule="exact"/>
              <w:ind w:left="1213"/>
            </w:pPr>
            <w:r>
              <w:rPr>
                <w:spacing w:val="6"/>
                <w:position w:val="1"/>
              </w:rPr>
              <w:t>城市</w:t>
            </w:r>
            <w:r>
              <w:rPr>
                <w:rFonts w:ascii="Times New Roman" w:hAnsi="Times New Roman" w:eastAsia="Times New Roman" w:cs="Times New Roman"/>
                <w:spacing w:val="6"/>
                <w:position w:val="1"/>
              </w:rPr>
              <w:t>/</w:t>
            </w:r>
            <w:r>
              <w:rPr>
                <w:spacing w:val="6"/>
                <w:position w:val="1"/>
              </w:rPr>
              <w:t>农村</w:t>
            </w:r>
          </w:p>
        </w:tc>
        <w:tc>
          <w:tcPr>
            <w:tcW w:w="3158" w:type="dxa"/>
            <w:vAlign w:val="top"/>
          </w:tcPr>
          <w:p w14:paraId="188A5B6B">
            <w:pPr>
              <w:pStyle w:val="6"/>
              <w:spacing w:before="66" w:line="228" w:lineRule="auto"/>
              <w:ind w:left="1373"/>
            </w:pPr>
            <w:r>
              <w:rPr>
                <w:spacing w:val="4"/>
              </w:rPr>
              <w:t>城市</w:t>
            </w:r>
          </w:p>
        </w:tc>
      </w:tr>
      <w:tr w14:paraId="44180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479" w:type="dxa"/>
            <w:vMerge w:val="continue"/>
            <w:tcBorders>
              <w:top w:val="nil"/>
            </w:tcBorders>
            <w:vAlign w:val="top"/>
          </w:tcPr>
          <w:p w14:paraId="6B59E0AE">
            <w:pPr>
              <w:rPr>
                <w:rFonts w:ascii="Arial"/>
                <w:sz w:val="21"/>
              </w:rPr>
            </w:pPr>
          </w:p>
        </w:tc>
        <w:tc>
          <w:tcPr>
            <w:tcW w:w="3313" w:type="dxa"/>
            <w:vAlign w:val="top"/>
          </w:tcPr>
          <w:p w14:paraId="3FE04C0C">
            <w:pPr>
              <w:pStyle w:val="6"/>
              <w:spacing w:before="67" w:line="228" w:lineRule="auto"/>
              <w:ind w:left="613"/>
            </w:pPr>
            <w:r>
              <w:rPr>
                <w:spacing w:val="7"/>
              </w:rPr>
              <w:t>人口数（城市选项时）</w:t>
            </w:r>
          </w:p>
        </w:tc>
        <w:tc>
          <w:tcPr>
            <w:tcW w:w="3158" w:type="dxa"/>
            <w:vAlign w:val="top"/>
          </w:tcPr>
          <w:p w14:paraId="1B2B171F">
            <w:pPr>
              <w:pStyle w:val="6"/>
              <w:spacing w:before="36" w:line="274" w:lineRule="exact"/>
              <w:ind w:left="1181"/>
            </w:pPr>
            <w:r>
              <w:rPr>
                <w:rFonts w:ascii="Times New Roman" w:hAnsi="Times New Roman" w:eastAsia="Times New Roman" w:cs="Times New Roman"/>
                <w:position w:val="2"/>
              </w:rPr>
              <w:t>119.83</w:t>
            </w:r>
            <w:r>
              <w:rPr>
                <w:rFonts w:ascii="Times New Roman" w:hAnsi="Times New Roman" w:eastAsia="Times New Roman" w:cs="Times New Roman"/>
                <w:spacing w:val="18"/>
                <w:w w:val="101"/>
                <w:position w:val="2"/>
              </w:rPr>
              <w:t xml:space="preserve"> </w:t>
            </w:r>
            <w:r>
              <w:rPr>
                <w:position w:val="2"/>
              </w:rPr>
              <w:t>万</w:t>
            </w:r>
          </w:p>
        </w:tc>
      </w:tr>
      <w:tr w14:paraId="35B6D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92" w:type="dxa"/>
            <w:gridSpan w:val="2"/>
            <w:vAlign w:val="top"/>
          </w:tcPr>
          <w:p w14:paraId="211AFF2F">
            <w:pPr>
              <w:pStyle w:val="6"/>
              <w:spacing w:before="35" w:line="274" w:lineRule="exact"/>
              <w:ind w:left="2142"/>
            </w:pPr>
            <w:r>
              <w:rPr>
                <w:spacing w:val="7"/>
                <w:position w:val="1"/>
              </w:rPr>
              <w:t>最高环境温度</w:t>
            </w:r>
            <w:r>
              <w:rPr>
                <w:rFonts w:ascii="Times New Roman" w:hAnsi="Times New Roman" w:eastAsia="Times New Roman" w:cs="Times New Roman"/>
                <w:spacing w:val="7"/>
                <w:position w:val="1"/>
              </w:rPr>
              <w:t>/</w:t>
            </w:r>
            <w:r>
              <w:rPr>
                <w:spacing w:val="7"/>
                <w:position w:val="1"/>
              </w:rPr>
              <w:t>℃</w:t>
            </w:r>
          </w:p>
        </w:tc>
        <w:tc>
          <w:tcPr>
            <w:tcW w:w="3158" w:type="dxa"/>
            <w:vAlign w:val="top"/>
          </w:tcPr>
          <w:p w14:paraId="5563F134">
            <w:pPr>
              <w:spacing w:before="35" w:line="274" w:lineRule="exact"/>
              <w:ind w:left="147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38</w:t>
            </w:r>
          </w:p>
        </w:tc>
      </w:tr>
      <w:tr w14:paraId="3C60E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92" w:type="dxa"/>
            <w:gridSpan w:val="2"/>
            <w:vAlign w:val="top"/>
          </w:tcPr>
          <w:p w14:paraId="4AC58C7B">
            <w:pPr>
              <w:pStyle w:val="6"/>
              <w:spacing w:before="37" w:line="274" w:lineRule="exact"/>
              <w:ind w:left="2142"/>
            </w:pPr>
            <w:r>
              <w:rPr>
                <w:spacing w:val="7"/>
                <w:position w:val="1"/>
              </w:rPr>
              <w:t>最低环境温度</w:t>
            </w:r>
            <w:r>
              <w:rPr>
                <w:rFonts w:ascii="Times New Roman" w:hAnsi="Times New Roman" w:eastAsia="Times New Roman" w:cs="Times New Roman"/>
                <w:spacing w:val="7"/>
                <w:position w:val="1"/>
              </w:rPr>
              <w:t>/</w:t>
            </w:r>
            <w:r>
              <w:rPr>
                <w:spacing w:val="7"/>
                <w:position w:val="1"/>
              </w:rPr>
              <w:t>℃</w:t>
            </w:r>
          </w:p>
        </w:tc>
        <w:tc>
          <w:tcPr>
            <w:tcW w:w="3158" w:type="dxa"/>
            <w:vAlign w:val="top"/>
          </w:tcPr>
          <w:p w14:paraId="0983BD76">
            <w:pPr>
              <w:spacing w:before="37" w:line="274" w:lineRule="exact"/>
              <w:ind w:left="14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2.9</w:t>
            </w:r>
          </w:p>
        </w:tc>
      </w:tr>
      <w:tr w14:paraId="4B173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92" w:type="dxa"/>
            <w:gridSpan w:val="2"/>
            <w:vAlign w:val="top"/>
          </w:tcPr>
          <w:p w14:paraId="4708B6D6">
            <w:pPr>
              <w:pStyle w:val="6"/>
              <w:spacing w:before="69" w:line="228" w:lineRule="auto"/>
              <w:ind w:left="2272"/>
            </w:pPr>
            <w:r>
              <w:rPr>
                <w:spacing w:val="8"/>
              </w:rPr>
              <w:t>土地利用类型</w:t>
            </w:r>
          </w:p>
        </w:tc>
        <w:tc>
          <w:tcPr>
            <w:tcW w:w="3158" w:type="dxa"/>
            <w:vAlign w:val="top"/>
          </w:tcPr>
          <w:p w14:paraId="0D4CFF66">
            <w:pPr>
              <w:pStyle w:val="6"/>
              <w:spacing w:before="69" w:line="228" w:lineRule="auto"/>
              <w:ind w:left="1269"/>
            </w:pPr>
            <w:r>
              <w:rPr>
                <w:spacing w:val="6"/>
              </w:rPr>
              <w:t>落叶林</w:t>
            </w:r>
          </w:p>
        </w:tc>
      </w:tr>
      <w:tr w14:paraId="6A623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92" w:type="dxa"/>
            <w:gridSpan w:val="2"/>
            <w:vAlign w:val="top"/>
          </w:tcPr>
          <w:p w14:paraId="538C88E1">
            <w:pPr>
              <w:pStyle w:val="6"/>
              <w:spacing w:before="70" w:line="228" w:lineRule="auto"/>
              <w:ind w:left="2287"/>
            </w:pPr>
            <w:r>
              <w:rPr>
                <w:spacing w:val="5"/>
              </w:rPr>
              <w:t>区域湿度条件</w:t>
            </w:r>
          </w:p>
        </w:tc>
        <w:tc>
          <w:tcPr>
            <w:tcW w:w="3158" w:type="dxa"/>
            <w:vAlign w:val="top"/>
          </w:tcPr>
          <w:p w14:paraId="6F3205D9">
            <w:pPr>
              <w:pStyle w:val="6"/>
              <w:spacing w:before="70" w:line="228" w:lineRule="auto"/>
              <w:ind w:left="1372"/>
            </w:pPr>
            <w:r>
              <w:rPr>
                <w:spacing w:val="5"/>
              </w:rPr>
              <w:t>潮湿</w:t>
            </w:r>
          </w:p>
        </w:tc>
      </w:tr>
      <w:tr w14:paraId="4BC9E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79" w:type="dxa"/>
            <w:vMerge w:val="restart"/>
            <w:tcBorders>
              <w:bottom w:val="nil"/>
            </w:tcBorders>
            <w:vAlign w:val="top"/>
          </w:tcPr>
          <w:p w14:paraId="74D984BF">
            <w:pPr>
              <w:pStyle w:val="6"/>
              <w:spacing w:before="244" w:line="228" w:lineRule="auto"/>
              <w:ind w:left="619"/>
            </w:pPr>
            <w:r>
              <w:rPr>
                <w:spacing w:val="7"/>
              </w:rPr>
              <w:t>是否考虑地形</w:t>
            </w:r>
          </w:p>
        </w:tc>
        <w:tc>
          <w:tcPr>
            <w:tcW w:w="3313" w:type="dxa"/>
            <w:vAlign w:val="top"/>
          </w:tcPr>
          <w:p w14:paraId="3413266D">
            <w:pPr>
              <w:pStyle w:val="6"/>
              <w:spacing w:before="69" w:line="228" w:lineRule="auto"/>
              <w:ind w:left="1242"/>
            </w:pPr>
            <w:r>
              <w:rPr>
                <w:spacing w:val="7"/>
              </w:rPr>
              <w:t>考虑地形</w:t>
            </w:r>
          </w:p>
        </w:tc>
        <w:tc>
          <w:tcPr>
            <w:tcW w:w="3158" w:type="dxa"/>
            <w:vAlign w:val="top"/>
          </w:tcPr>
          <w:p w14:paraId="507022E5">
            <w:pPr>
              <w:pStyle w:val="6"/>
              <w:spacing w:before="70" w:line="232" w:lineRule="auto"/>
              <w:ind w:left="1482"/>
            </w:pPr>
            <w:r>
              <w:t>是</w:t>
            </w:r>
          </w:p>
        </w:tc>
      </w:tr>
      <w:tr w14:paraId="33A32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79" w:type="dxa"/>
            <w:vMerge w:val="continue"/>
            <w:tcBorders>
              <w:top w:val="nil"/>
            </w:tcBorders>
            <w:vAlign w:val="top"/>
          </w:tcPr>
          <w:p w14:paraId="4A8E4D33">
            <w:pPr>
              <w:rPr>
                <w:rFonts w:ascii="Arial"/>
                <w:sz w:val="21"/>
              </w:rPr>
            </w:pPr>
          </w:p>
        </w:tc>
        <w:tc>
          <w:tcPr>
            <w:tcW w:w="3313" w:type="dxa"/>
            <w:vAlign w:val="top"/>
          </w:tcPr>
          <w:p w14:paraId="54F99C2F">
            <w:pPr>
              <w:pStyle w:val="6"/>
              <w:spacing w:before="70" w:line="228" w:lineRule="auto"/>
              <w:ind w:left="925"/>
            </w:pPr>
            <w:r>
              <w:rPr>
                <w:spacing w:val="8"/>
              </w:rPr>
              <w:t>地形数据分辨率</w:t>
            </w:r>
          </w:p>
        </w:tc>
        <w:tc>
          <w:tcPr>
            <w:tcW w:w="3158" w:type="dxa"/>
            <w:vAlign w:val="top"/>
          </w:tcPr>
          <w:p w14:paraId="7B37C908">
            <w:pPr>
              <w:spacing w:before="39" w:line="274" w:lineRule="exact"/>
              <w:ind w:left="1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90m</w:t>
            </w:r>
          </w:p>
        </w:tc>
      </w:tr>
      <w:tr w14:paraId="0A541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79" w:type="dxa"/>
            <w:vMerge w:val="restart"/>
            <w:tcBorders>
              <w:bottom w:val="nil"/>
            </w:tcBorders>
            <w:vAlign w:val="top"/>
          </w:tcPr>
          <w:p w14:paraId="5B605AB4">
            <w:pPr>
              <w:spacing w:line="351" w:lineRule="auto"/>
              <w:rPr>
                <w:rFonts w:ascii="Arial"/>
                <w:sz w:val="21"/>
              </w:rPr>
            </w:pPr>
          </w:p>
          <w:p w14:paraId="56F253C4">
            <w:pPr>
              <w:pStyle w:val="6"/>
              <w:spacing w:before="65" w:line="228" w:lineRule="auto"/>
              <w:ind w:left="304"/>
            </w:pPr>
            <w:r>
              <w:rPr>
                <w:spacing w:val="8"/>
              </w:rPr>
              <w:t>是否考虑海岸线熏烟</w:t>
            </w:r>
          </w:p>
        </w:tc>
        <w:tc>
          <w:tcPr>
            <w:tcW w:w="3313" w:type="dxa"/>
            <w:vAlign w:val="top"/>
          </w:tcPr>
          <w:p w14:paraId="227AF6DC">
            <w:pPr>
              <w:pStyle w:val="6"/>
              <w:spacing w:before="68" w:line="228" w:lineRule="auto"/>
              <w:ind w:left="1031"/>
            </w:pPr>
            <w:r>
              <w:rPr>
                <w:spacing w:val="8"/>
              </w:rPr>
              <w:t>考虑岸线熏烟</w:t>
            </w:r>
          </w:p>
        </w:tc>
        <w:tc>
          <w:tcPr>
            <w:tcW w:w="3158" w:type="dxa"/>
            <w:vAlign w:val="top"/>
          </w:tcPr>
          <w:p w14:paraId="3E440C7B">
            <w:pPr>
              <w:pStyle w:val="6"/>
              <w:spacing w:before="68" w:line="229" w:lineRule="auto"/>
              <w:ind w:left="1485"/>
            </w:pPr>
            <w:r>
              <w:t>否</w:t>
            </w:r>
          </w:p>
        </w:tc>
      </w:tr>
      <w:tr w14:paraId="58D9B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479" w:type="dxa"/>
            <w:vMerge w:val="continue"/>
            <w:tcBorders>
              <w:top w:val="nil"/>
              <w:bottom w:val="nil"/>
            </w:tcBorders>
            <w:vAlign w:val="top"/>
          </w:tcPr>
          <w:p w14:paraId="0EBCA803">
            <w:pPr>
              <w:rPr>
                <w:rFonts w:ascii="Arial"/>
                <w:sz w:val="21"/>
              </w:rPr>
            </w:pPr>
          </w:p>
        </w:tc>
        <w:tc>
          <w:tcPr>
            <w:tcW w:w="3313" w:type="dxa"/>
            <w:vAlign w:val="top"/>
          </w:tcPr>
          <w:p w14:paraId="39A5C6C8">
            <w:pPr>
              <w:pStyle w:val="6"/>
              <w:spacing w:before="38" w:line="274" w:lineRule="exact"/>
              <w:ind w:left="1025"/>
              <w:rPr>
                <w:rFonts w:ascii="Times New Roman" w:hAnsi="Times New Roman" w:eastAsia="Times New Roman" w:cs="Times New Roman"/>
              </w:rPr>
            </w:pPr>
            <w:r>
              <w:rPr>
                <w:spacing w:val="7"/>
                <w:position w:val="1"/>
              </w:rPr>
              <w:t>海岸线距离</w:t>
            </w:r>
            <w:r>
              <w:rPr>
                <w:rFonts w:ascii="Times New Roman" w:hAnsi="Times New Roman" w:eastAsia="Times New Roman" w:cs="Times New Roman"/>
                <w:spacing w:val="7"/>
                <w:position w:val="1"/>
              </w:rPr>
              <w:t>/m</w:t>
            </w:r>
          </w:p>
        </w:tc>
        <w:tc>
          <w:tcPr>
            <w:tcW w:w="3158" w:type="dxa"/>
            <w:vAlign w:val="top"/>
          </w:tcPr>
          <w:p w14:paraId="467660E1">
            <w:pPr>
              <w:spacing w:before="38" w:line="274" w:lineRule="exact"/>
              <w:ind w:left="154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553D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479" w:type="dxa"/>
            <w:vMerge w:val="continue"/>
            <w:tcBorders>
              <w:top w:val="nil"/>
            </w:tcBorders>
            <w:vAlign w:val="top"/>
          </w:tcPr>
          <w:p w14:paraId="34BB390F">
            <w:pPr>
              <w:rPr>
                <w:rFonts w:ascii="Arial"/>
                <w:sz w:val="21"/>
              </w:rPr>
            </w:pPr>
          </w:p>
        </w:tc>
        <w:tc>
          <w:tcPr>
            <w:tcW w:w="3313" w:type="dxa"/>
            <w:vAlign w:val="top"/>
          </w:tcPr>
          <w:p w14:paraId="06A4FF6E">
            <w:pPr>
              <w:pStyle w:val="6"/>
              <w:spacing w:before="38" w:line="274" w:lineRule="exact"/>
              <w:ind w:left="1066"/>
              <w:rPr>
                <w:rFonts w:ascii="Times New Roman" w:hAnsi="Times New Roman" w:eastAsia="Times New Roman" w:cs="Times New Roman"/>
              </w:rPr>
            </w:pPr>
            <w:r>
              <w:rPr>
                <w:spacing w:val="6"/>
                <w:position w:val="1"/>
              </w:rPr>
              <w:t>海岸线方向</w:t>
            </w:r>
            <w:r>
              <w:rPr>
                <w:rFonts w:ascii="Times New Roman" w:hAnsi="Times New Roman" w:eastAsia="Times New Roman" w:cs="Times New Roman"/>
                <w:spacing w:val="6"/>
                <w:position w:val="1"/>
              </w:rPr>
              <w:t>/°</w:t>
            </w:r>
          </w:p>
        </w:tc>
        <w:tc>
          <w:tcPr>
            <w:tcW w:w="3158" w:type="dxa"/>
            <w:vAlign w:val="top"/>
          </w:tcPr>
          <w:p w14:paraId="28D97CE3">
            <w:pPr>
              <w:spacing w:before="38" w:line="274" w:lineRule="exact"/>
              <w:ind w:left="154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5C529494">
      <w:pPr>
        <w:pStyle w:val="2"/>
        <w:spacing w:line="265" w:lineRule="auto"/>
      </w:pPr>
    </w:p>
    <w:p w14:paraId="3B509CE1">
      <w:pPr>
        <w:pStyle w:val="2"/>
        <w:spacing w:line="265" w:lineRule="auto"/>
      </w:pPr>
    </w:p>
    <w:p w14:paraId="5CA6B734">
      <w:pPr>
        <w:spacing w:before="78" w:line="218" w:lineRule="auto"/>
        <w:ind w:left="601"/>
        <w:rPr>
          <w:rFonts w:ascii="宋体" w:hAnsi="宋体" w:eastAsia="宋体" w:cs="宋体"/>
          <w:sz w:val="24"/>
          <w:szCs w:val="24"/>
        </w:rPr>
      </w:pPr>
      <w:r>
        <w:rPr>
          <w:rFonts w:ascii="宋体" w:hAnsi="宋体" w:eastAsia="宋体" w:cs="宋体"/>
          <w:spacing w:val="-1"/>
          <w:sz w:val="24"/>
          <w:szCs w:val="24"/>
        </w:rPr>
        <w:t>③评价因子及评价标准</w:t>
      </w:r>
    </w:p>
    <w:p w14:paraId="2D6617A9">
      <w:pPr>
        <w:spacing w:before="221" w:line="227" w:lineRule="auto"/>
        <w:ind w:left="3353"/>
        <w:rPr>
          <w:rFonts w:ascii="宋体" w:hAnsi="宋体" w:eastAsia="宋体" w:cs="宋体"/>
          <w:sz w:val="20"/>
          <w:szCs w:val="20"/>
        </w:rPr>
      </w:pPr>
      <w:r>
        <w:rPr>
          <w:rFonts w:ascii="Times New Roman" w:hAnsi="Times New Roman" w:eastAsia="Times New Roman" w:cs="Times New Roman"/>
          <w:b/>
          <w:bCs/>
          <w:spacing w:val="5"/>
          <w:sz w:val="20"/>
          <w:szCs w:val="20"/>
        </w:rPr>
        <w:t xml:space="preserve">5.2-11 </w:t>
      </w:r>
      <w:r>
        <w:rPr>
          <w:rFonts w:ascii="宋体" w:hAnsi="宋体" w:eastAsia="宋体" w:cs="宋体"/>
          <w:b/>
          <w:bCs/>
          <w:spacing w:val="5"/>
          <w:sz w:val="20"/>
          <w:szCs w:val="20"/>
        </w:rPr>
        <w:t>评价因子和评价标准表</w:t>
      </w:r>
    </w:p>
    <w:p w14:paraId="25E56A1D">
      <w:pPr>
        <w:spacing w:line="105"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3"/>
        <w:gridCol w:w="1552"/>
        <w:gridCol w:w="1972"/>
        <w:gridCol w:w="3193"/>
      </w:tblGrid>
      <w:tr w14:paraId="2751E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233" w:type="dxa"/>
            <w:vAlign w:val="top"/>
          </w:tcPr>
          <w:p w14:paraId="5BB5A39F">
            <w:pPr>
              <w:pStyle w:val="6"/>
              <w:spacing w:before="61" w:line="227" w:lineRule="auto"/>
              <w:ind w:left="701"/>
            </w:pPr>
            <w:r>
              <w:rPr>
                <w:b/>
                <w:bCs/>
                <w:spacing w:val="6"/>
              </w:rPr>
              <w:t>评价因子</w:t>
            </w:r>
          </w:p>
        </w:tc>
        <w:tc>
          <w:tcPr>
            <w:tcW w:w="1552" w:type="dxa"/>
            <w:vAlign w:val="top"/>
          </w:tcPr>
          <w:p w14:paraId="062B3765">
            <w:pPr>
              <w:pStyle w:val="6"/>
              <w:spacing w:before="61" w:line="229" w:lineRule="auto"/>
              <w:ind w:left="359"/>
            </w:pPr>
            <w:r>
              <w:rPr>
                <w:b/>
                <w:bCs/>
                <w:spacing w:val="6"/>
              </w:rPr>
              <w:t>平均时段</w:t>
            </w:r>
          </w:p>
        </w:tc>
        <w:tc>
          <w:tcPr>
            <w:tcW w:w="1972" w:type="dxa"/>
            <w:vAlign w:val="top"/>
          </w:tcPr>
          <w:p w14:paraId="6D9500B7">
            <w:pPr>
              <w:pStyle w:val="6"/>
              <w:spacing w:before="61" w:line="221" w:lineRule="auto"/>
              <w:ind w:left="179"/>
            </w:pPr>
            <w:r>
              <w:rPr>
                <w:b/>
                <w:bCs/>
                <w:spacing w:val="6"/>
              </w:rPr>
              <w:t>标准值（</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6"/>
                <w:sz w:val="13"/>
                <w:szCs w:val="13"/>
              </w:rPr>
              <w:t>3</w:t>
            </w:r>
            <w:r>
              <w:rPr>
                <w:b/>
                <w:bCs/>
                <w:spacing w:val="6"/>
              </w:rPr>
              <w:t>）</w:t>
            </w:r>
          </w:p>
        </w:tc>
        <w:tc>
          <w:tcPr>
            <w:tcW w:w="3193" w:type="dxa"/>
            <w:vAlign w:val="top"/>
          </w:tcPr>
          <w:p w14:paraId="05E42C0A">
            <w:pPr>
              <w:pStyle w:val="6"/>
              <w:spacing w:before="61" w:line="228" w:lineRule="auto"/>
              <w:ind w:left="1183"/>
            </w:pPr>
            <w:r>
              <w:rPr>
                <w:b/>
                <w:bCs/>
                <w:spacing w:val="6"/>
              </w:rPr>
              <w:t>标准来源</w:t>
            </w:r>
          </w:p>
        </w:tc>
      </w:tr>
      <w:tr w14:paraId="56850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233" w:type="dxa"/>
            <w:vAlign w:val="top"/>
          </w:tcPr>
          <w:p w14:paraId="044F04D0">
            <w:pPr>
              <w:spacing w:before="96" w:line="233" w:lineRule="auto"/>
              <w:ind w:left="926"/>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552" w:type="dxa"/>
            <w:vAlign w:val="top"/>
          </w:tcPr>
          <w:p w14:paraId="480C58DF">
            <w:pPr>
              <w:pStyle w:val="6"/>
              <w:spacing w:before="26" w:line="274" w:lineRule="exact"/>
              <w:ind w:left="508"/>
            </w:pPr>
            <w:r>
              <w:rPr>
                <w:rFonts w:ascii="Times New Roman" w:hAnsi="Times New Roman" w:eastAsia="Times New Roman" w:cs="Times New Roman"/>
                <w:spacing w:val="-6"/>
                <w:position w:val="1"/>
              </w:rPr>
              <w:t>1</w:t>
            </w:r>
            <w:r>
              <w:rPr>
                <w:rFonts w:ascii="Times New Roman" w:hAnsi="Times New Roman" w:eastAsia="Times New Roman" w:cs="Times New Roman"/>
                <w:spacing w:val="18"/>
                <w:w w:val="101"/>
                <w:position w:val="1"/>
              </w:rPr>
              <w:t xml:space="preserve"> </w:t>
            </w:r>
            <w:r>
              <w:rPr>
                <w:spacing w:val="-6"/>
                <w:position w:val="1"/>
              </w:rPr>
              <w:t>小时</w:t>
            </w:r>
          </w:p>
        </w:tc>
        <w:tc>
          <w:tcPr>
            <w:tcW w:w="1972" w:type="dxa"/>
            <w:vAlign w:val="top"/>
          </w:tcPr>
          <w:p w14:paraId="73A9776C">
            <w:pPr>
              <w:spacing w:before="26" w:line="274"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3193" w:type="dxa"/>
            <w:vMerge w:val="restart"/>
            <w:tcBorders>
              <w:bottom w:val="nil"/>
            </w:tcBorders>
            <w:vAlign w:val="top"/>
          </w:tcPr>
          <w:p w14:paraId="68B60CD3">
            <w:pPr>
              <w:pStyle w:val="6"/>
              <w:spacing w:before="61" w:line="274" w:lineRule="auto"/>
              <w:ind w:left="326" w:right="126" w:hanging="189"/>
              <w:rPr>
                <w:rFonts w:ascii="Times New Roman" w:hAnsi="Times New Roman" w:eastAsia="Times New Roman" w:cs="Times New Roman"/>
              </w:rPr>
            </w:pPr>
            <w:r>
              <w:rPr>
                <w:spacing w:val="8"/>
              </w:rPr>
              <w:t>《环境影响评价技术导则大气环</w:t>
            </w:r>
            <w:r>
              <w:rPr>
                <w:spacing w:val="11"/>
              </w:rPr>
              <w:t xml:space="preserve"> </w:t>
            </w:r>
            <w:r>
              <w:rPr>
                <w:spacing w:val="4"/>
              </w:rPr>
              <w:t>境》（</w:t>
            </w:r>
            <w:r>
              <w:rPr>
                <w:rFonts w:ascii="Times New Roman" w:hAnsi="Times New Roman" w:eastAsia="Times New Roman" w:cs="Times New Roman"/>
              </w:rPr>
              <w:t>HJ</w:t>
            </w:r>
            <w:r>
              <w:rPr>
                <w:rFonts w:ascii="Times New Roman" w:hAnsi="Times New Roman" w:eastAsia="Times New Roman" w:cs="Times New Roman"/>
                <w:spacing w:val="4"/>
              </w:rPr>
              <w:t>2.2-2018</w:t>
            </w:r>
            <w:r>
              <w:rPr>
                <w:rFonts w:ascii="Times New Roman" w:hAnsi="Times New Roman" w:eastAsia="Times New Roman" w:cs="Times New Roman"/>
                <w:spacing w:val="21"/>
                <w:w w:val="101"/>
              </w:rPr>
              <w:t xml:space="preserve">  </w:t>
            </w:r>
            <w:r>
              <w:rPr>
                <w:spacing w:val="4"/>
              </w:rPr>
              <w:t>）附录</w:t>
            </w:r>
            <w:r>
              <w:rPr>
                <w:spacing w:val="-43"/>
              </w:rPr>
              <w:t xml:space="preserve"> </w:t>
            </w:r>
            <w:r>
              <w:rPr>
                <w:rFonts w:ascii="Times New Roman" w:hAnsi="Times New Roman" w:eastAsia="Times New Roman" w:cs="Times New Roman"/>
                <w:spacing w:val="4"/>
              </w:rPr>
              <w:t>D</w:t>
            </w:r>
          </w:p>
        </w:tc>
      </w:tr>
      <w:tr w14:paraId="65218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233" w:type="dxa"/>
            <w:vAlign w:val="top"/>
          </w:tcPr>
          <w:p w14:paraId="528DE847">
            <w:pPr>
              <w:spacing w:before="94" w:line="235" w:lineRule="auto"/>
              <w:ind w:left="9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p>
        </w:tc>
        <w:tc>
          <w:tcPr>
            <w:tcW w:w="1552" w:type="dxa"/>
            <w:vAlign w:val="top"/>
          </w:tcPr>
          <w:p w14:paraId="447289D5">
            <w:pPr>
              <w:pStyle w:val="6"/>
              <w:spacing w:before="27" w:line="274" w:lineRule="exact"/>
              <w:ind w:left="508"/>
            </w:pPr>
            <w:r>
              <w:rPr>
                <w:rFonts w:ascii="Times New Roman" w:hAnsi="Times New Roman" w:eastAsia="Times New Roman" w:cs="Times New Roman"/>
                <w:spacing w:val="-6"/>
                <w:position w:val="1"/>
              </w:rPr>
              <w:t>1</w:t>
            </w:r>
            <w:r>
              <w:rPr>
                <w:rFonts w:ascii="Times New Roman" w:hAnsi="Times New Roman" w:eastAsia="Times New Roman" w:cs="Times New Roman"/>
                <w:spacing w:val="18"/>
                <w:w w:val="101"/>
                <w:position w:val="1"/>
              </w:rPr>
              <w:t xml:space="preserve"> </w:t>
            </w:r>
            <w:r>
              <w:rPr>
                <w:spacing w:val="-6"/>
                <w:position w:val="1"/>
              </w:rPr>
              <w:t>小时</w:t>
            </w:r>
          </w:p>
        </w:tc>
        <w:tc>
          <w:tcPr>
            <w:tcW w:w="1972" w:type="dxa"/>
            <w:vAlign w:val="top"/>
          </w:tcPr>
          <w:p w14:paraId="345EB040">
            <w:pPr>
              <w:spacing w:before="27" w:line="274" w:lineRule="exact"/>
              <w:ind w:left="8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3193" w:type="dxa"/>
            <w:vMerge w:val="continue"/>
            <w:tcBorders>
              <w:top w:val="nil"/>
            </w:tcBorders>
            <w:vAlign w:val="top"/>
          </w:tcPr>
          <w:p w14:paraId="31A3F9F2">
            <w:pPr>
              <w:rPr>
                <w:rFonts w:ascii="Arial"/>
                <w:sz w:val="21"/>
              </w:rPr>
            </w:pPr>
          </w:p>
        </w:tc>
      </w:tr>
      <w:tr w14:paraId="272F1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233" w:type="dxa"/>
            <w:vAlign w:val="top"/>
          </w:tcPr>
          <w:p w14:paraId="3020A183">
            <w:pPr>
              <w:spacing w:line="361" w:lineRule="auto"/>
              <w:rPr>
                <w:rFonts w:ascii="Arial"/>
                <w:sz w:val="21"/>
              </w:rPr>
            </w:pPr>
          </w:p>
          <w:p w14:paraId="6B4861DB">
            <w:pPr>
              <w:spacing w:before="58" w:line="195" w:lineRule="auto"/>
              <w:ind w:left="9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552" w:type="dxa"/>
            <w:vAlign w:val="top"/>
          </w:tcPr>
          <w:p w14:paraId="7A1C3124">
            <w:pPr>
              <w:spacing w:line="288" w:lineRule="auto"/>
              <w:rPr>
                <w:rFonts w:ascii="Arial"/>
                <w:sz w:val="21"/>
              </w:rPr>
            </w:pPr>
          </w:p>
          <w:p w14:paraId="3EE8B875">
            <w:pPr>
              <w:pStyle w:val="6"/>
              <w:spacing w:before="65" w:line="274" w:lineRule="exact"/>
              <w:ind w:left="435"/>
            </w:pPr>
            <w:r>
              <w:rPr>
                <w:rFonts w:ascii="Times New Roman" w:hAnsi="Times New Roman" w:eastAsia="Times New Roman" w:cs="Times New Roman"/>
                <w:spacing w:val="2"/>
                <w:position w:val="1"/>
              </w:rPr>
              <w:t>24</w:t>
            </w:r>
            <w:r>
              <w:rPr>
                <w:rFonts w:ascii="Times New Roman" w:hAnsi="Times New Roman" w:eastAsia="Times New Roman" w:cs="Times New Roman"/>
                <w:spacing w:val="16"/>
                <w:position w:val="1"/>
              </w:rPr>
              <w:t xml:space="preserve"> </w:t>
            </w:r>
            <w:r>
              <w:rPr>
                <w:spacing w:val="2"/>
                <w:position w:val="1"/>
              </w:rPr>
              <w:t>小时</w:t>
            </w:r>
          </w:p>
        </w:tc>
        <w:tc>
          <w:tcPr>
            <w:tcW w:w="1972" w:type="dxa"/>
            <w:vAlign w:val="top"/>
          </w:tcPr>
          <w:p w14:paraId="20FB9275">
            <w:pPr>
              <w:spacing w:line="295" w:lineRule="auto"/>
              <w:rPr>
                <w:rFonts w:ascii="Arial"/>
                <w:sz w:val="21"/>
              </w:rPr>
            </w:pPr>
          </w:p>
          <w:p w14:paraId="1B05DAFD">
            <w:pPr>
              <w:spacing w:before="58" w:line="274" w:lineRule="exact"/>
              <w:ind w:left="85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0.3</w:t>
            </w:r>
          </w:p>
        </w:tc>
        <w:tc>
          <w:tcPr>
            <w:tcW w:w="3193" w:type="dxa"/>
            <w:vAlign w:val="top"/>
          </w:tcPr>
          <w:p w14:paraId="5530ECAD">
            <w:pPr>
              <w:pStyle w:val="6"/>
              <w:spacing w:before="59" w:line="229" w:lineRule="auto"/>
              <w:ind w:left="557"/>
            </w:pPr>
            <w:r>
              <w:rPr>
                <w:spacing w:val="7"/>
              </w:rPr>
              <w:t>《环境空气质量标准》</w:t>
            </w:r>
          </w:p>
          <w:p w14:paraId="2A3EB227">
            <w:pPr>
              <w:pStyle w:val="6"/>
              <w:spacing w:before="47" w:line="274" w:lineRule="exact"/>
              <w:ind w:left="125"/>
            </w:pPr>
            <w:r>
              <w:rPr>
                <w:spacing w:val="5"/>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5"/>
                <w:position w:val="1"/>
              </w:rPr>
              <w:t>3095-2012</w:t>
            </w:r>
            <w:r>
              <w:rPr>
                <w:spacing w:val="5"/>
                <w:position w:val="1"/>
              </w:rPr>
              <w:t>）及其</w:t>
            </w:r>
            <w:r>
              <w:rPr>
                <w:spacing w:val="-40"/>
                <w:position w:val="1"/>
              </w:rPr>
              <w:t xml:space="preserve"> </w:t>
            </w:r>
            <w:r>
              <w:rPr>
                <w:rFonts w:ascii="Times New Roman" w:hAnsi="Times New Roman" w:eastAsia="Times New Roman" w:cs="Times New Roman"/>
                <w:spacing w:val="5"/>
                <w:position w:val="1"/>
              </w:rPr>
              <w:t xml:space="preserve">2018 </w:t>
            </w:r>
            <w:r>
              <w:rPr>
                <w:spacing w:val="5"/>
                <w:position w:val="1"/>
              </w:rPr>
              <w:t>年修</w:t>
            </w:r>
          </w:p>
          <w:p w14:paraId="23B63242">
            <w:pPr>
              <w:pStyle w:val="6"/>
              <w:spacing w:before="83" w:line="228" w:lineRule="auto"/>
              <w:ind w:left="979"/>
            </w:pPr>
            <w:r>
              <w:rPr>
                <w:spacing w:val="7"/>
              </w:rPr>
              <w:t>改单二级标准</w:t>
            </w:r>
          </w:p>
        </w:tc>
      </w:tr>
    </w:tbl>
    <w:p w14:paraId="5DFBFEE4">
      <w:pPr>
        <w:spacing w:before="190" w:line="299" w:lineRule="auto"/>
        <w:ind w:left="121" w:right="110" w:firstLine="420"/>
        <w:jc w:val="both"/>
        <w:rPr>
          <w:rFonts w:ascii="宋体" w:hAnsi="宋体" w:eastAsia="宋体" w:cs="宋体"/>
          <w:sz w:val="20"/>
          <w:szCs w:val="20"/>
        </w:rPr>
      </w:pPr>
      <w:r>
        <w:rPr>
          <w:rFonts w:ascii="宋体" w:hAnsi="宋体" w:eastAsia="宋体" w:cs="宋体"/>
          <w:spacing w:val="9"/>
          <w:sz w:val="20"/>
          <w:szCs w:val="20"/>
        </w:rPr>
        <w:t>注：根据《环境影响评价技术导则—— 大气环境》</w:t>
      </w:r>
      <w:r>
        <w:rPr>
          <w:rFonts w:ascii="宋体" w:hAnsi="宋体" w:eastAsia="宋体" w:cs="宋体"/>
          <w:spacing w:val="-80"/>
          <w:sz w:val="20"/>
          <w:szCs w:val="20"/>
        </w:rPr>
        <w:t xml:space="preserve"> </w:t>
      </w:r>
      <w:r>
        <w:rPr>
          <w:rFonts w:ascii="宋体" w:hAnsi="宋体" w:eastAsia="宋体" w:cs="宋体"/>
          <w:spacing w:val="9"/>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9"/>
          <w:sz w:val="20"/>
          <w:szCs w:val="20"/>
        </w:rPr>
        <w:t>2.2-2018</w:t>
      </w:r>
      <w:r>
        <w:rPr>
          <w:rFonts w:ascii="Times New Roman" w:hAnsi="Times New Roman" w:eastAsia="Times New Roman" w:cs="Times New Roman"/>
          <w:spacing w:val="20"/>
          <w:sz w:val="20"/>
          <w:szCs w:val="20"/>
        </w:rPr>
        <w:t xml:space="preserve">  </w:t>
      </w:r>
      <w:r>
        <w:rPr>
          <w:rFonts w:ascii="宋体" w:hAnsi="宋体" w:eastAsia="宋体" w:cs="宋体"/>
          <w:spacing w:val="1"/>
          <w:sz w:val="20"/>
          <w:szCs w:val="20"/>
        </w:rPr>
        <w:t>），</w:t>
      </w:r>
      <w:r>
        <w:rPr>
          <w:rFonts w:ascii="宋体" w:hAnsi="宋体" w:eastAsia="宋体" w:cs="宋体"/>
          <w:spacing w:val="9"/>
          <w:sz w:val="20"/>
          <w:szCs w:val="20"/>
        </w:rPr>
        <w:t xml:space="preserve">对仅有 </w:t>
      </w:r>
      <w:r>
        <w:rPr>
          <w:rFonts w:ascii="Times New Roman" w:hAnsi="Times New Roman" w:eastAsia="Times New Roman" w:cs="Times New Roman"/>
          <w:spacing w:val="9"/>
          <w:sz w:val="20"/>
          <w:szCs w:val="20"/>
        </w:rPr>
        <w:t xml:space="preserve">8h   </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平均质</w:t>
      </w:r>
      <w:r>
        <w:rPr>
          <w:rFonts w:ascii="宋体" w:hAnsi="宋体" w:eastAsia="宋体" w:cs="宋体"/>
          <w:sz w:val="20"/>
          <w:szCs w:val="20"/>
        </w:rPr>
        <w:t xml:space="preserve"> </w:t>
      </w:r>
      <w:r>
        <w:rPr>
          <w:rFonts w:ascii="宋体" w:hAnsi="宋体" w:eastAsia="宋体" w:cs="宋体"/>
          <w:spacing w:val="6"/>
          <w:sz w:val="20"/>
          <w:szCs w:val="20"/>
        </w:rPr>
        <w:t xml:space="preserve">量浓度限值、日平均质量浓度限值或年平均质量浓度限值的，可分别按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倍、</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倍、</w:t>
      </w:r>
      <w:r>
        <w:rPr>
          <w:rFonts w:ascii="Times New Roman" w:hAnsi="Times New Roman" w:eastAsia="Times New Roman" w:cs="Times New Roman"/>
          <w:spacing w:val="6"/>
          <w:sz w:val="20"/>
          <w:szCs w:val="20"/>
        </w:rPr>
        <w:t xml:space="preserve">6    </w:t>
      </w:r>
      <w:r>
        <w:rPr>
          <w:rFonts w:ascii="宋体" w:hAnsi="宋体" w:eastAsia="宋体" w:cs="宋体"/>
          <w:spacing w:val="6"/>
          <w:sz w:val="20"/>
          <w:szCs w:val="20"/>
        </w:rPr>
        <w:t>倍折</w:t>
      </w:r>
      <w:r>
        <w:rPr>
          <w:rFonts w:ascii="宋体" w:hAnsi="宋体" w:eastAsia="宋体" w:cs="宋体"/>
          <w:spacing w:val="4"/>
          <w:sz w:val="20"/>
          <w:szCs w:val="20"/>
        </w:rPr>
        <w:t xml:space="preserve"> </w:t>
      </w:r>
      <w:r>
        <w:rPr>
          <w:rFonts w:ascii="宋体" w:hAnsi="宋体" w:eastAsia="宋体" w:cs="宋体"/>
          <w:spacing w:val="-1"/>
          <w:sz w:val="20"/>
          <w:szCs w:val="20"/>
        </w:rPr>
        <w:t>算为</w:t>
      </w:r>
      <w:r>
        <w:rPr>
          <w:rFonts w:ascii="宋体" w:hAnsi="宋体" w:eastAsia="宋体" w:cs="宋体"/>
          <w:spacing w:val="29"/>
          <w:sz w:val="20"/>
          <w:szCs w:val="20"/>
        </w:rPr>
        <w:t xml:space="preserve"> </w:t>
      </w:r>
      <w:r>
        <w:rPr>
          <w:rFonts w:ascii="Times New Roman" w:hAnsi="Times New Roman" w:eastAsia="Times New Roman" w:cs="Times New Roman"/>
          <w:spacing w:val="-1"/>
          <w:sz w:val="20"/>
          <w:szCs w:val="20"/>
        </w:rPr>
        <w:t>1h</w:t>
      </w:r>
      <w:r>
        <w:rPr>
          <w:rFonts w:ascii="Times New Roman" w:hAnsi="Times New Roman" w:eastAsia="Times New Roman" w:cs="Times New Roman"/>
          <w:spacing w:val="4"/>
          <w:sz w:val="20"/>
          <w:szCs w:val="20"/>
        </w:rPr>
        <w:t xml:space="preserve">  </w:t>
      </w:r>
      <w:r>
        <w:rPr>
          <w:rFonts w:ascii="宋体" w:hAnsi="宋体" w:eastAsia="宋体" w:cs="宋体"/>
          <w:spacing w:val="-1"/>
          <w:sz w:val="20"/>
          <w:szCs w:val="20"/>
        </w:rPr>
        <w:t>。</w:t>
      </w:r>
    </w:p>
    <w:p w14:paraId="3C146830">
      <w:pPr>
        <w:spacing w:line="299" w:lineRule="auto"/>
        <w:rPr>
          <w:rFonts w:ascii="宋体" w:hAnsi="宋体" w:eastAsia="宋体" w:cs="宋体"/>
          <w:sz w:val="20"/>
          <w:szCs w:val="20"/>
        </w:rPr>
        <w:sectPr>
          <w:footerReference r:id="rId137" w:type="default"/>
          <w:pgSz w:w="11906" w:h="16839"/>
          <w:pgMar w:top="400" w:right="1475" w:bottom="1485" w:left="1475" w:header="0" w:footer="1249" w:gutter="0"/>
          <w:cols w:space="720" w:num="1"/>
        </w:sectPr>
      </w:pPr>
    </w:p>
    <w:p w14:paraId="6D345CB1">
      <w:pPr>
        <w:pStyle w:val="2"/>
        <w:spacing w:line="245" w:lineRule="auto"/>
      </w:pPr>
    </w:p>
    <w:p w14:paraId="1AFB6A99">
      <w:pPr>
        <w:pStyle w:val="2"/>
        <w:spacing w:line="245" w:lineRule="auto"/>
      </w:pPr>
    </w:p>
    <w:p w14:paraId="7F9FFBEE">
      <w:pPr>
        <w:pStyle w:val="2"/>
        <w:spacing w:line="245" w:lineRule="auto"/>
      </w:pPr>
    </w:p>
    <w:p w14:paraId="659647E1">
      <w:pPr>
        <w:pStyle w:val="2"/>
        <w:spacing w:line="245" w:lineRule="auto"/>
      </w:pPr>
    </w:p>
    <w:p w14:paraId="6068ACD4">
      <w:pPr>
        <w:pStyle w:val="2"/>
        <w:spacing w:line="246" w:lineRule="auto"/>
      </w:pPr>
    </w:p>
    <w:p w14:paraId="6D8D405A">
      <w:pPr>
        <w:spacing w:before="78" w:line="221" w:lineRule="auto"/>
        <w:ind w:left="616"/>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3</w:t>
      </w:r>
      <w:r>
        <w:rPr>
          <w:rFonts w:ascii="宋体" w:hAnsi="宋体" w:eastAsia="宋体" w:cs="宋体"/>
          <w:b/>
          <w:bCs/>
          <w:spacing w:val="-5"/>
          <w:sz w:val="24"/>
          <w:szCs w:val="24"/>
        </w:rPr>
        <w:t>）预测结果</w:t>
      </w:r>
    </w:p>
    <w:p w14:paraId="72EA57DD">
      <w:pPr>
        <w:spacing w:before="159" w:line="227" w:lineRule="auto"/>
        <w:ind w:left="5090"/>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b/>
          <w:bCs/>
          <w:spacing w:val="6"/>
          <w:sz w:val="20"/>
          <w:szCs w:val="20"/>
        </w:rPr>
        <w:t xml:space="preserve">5.2-12  </w:t>
      </w:r>
      <w:r>
        <w:rPr>
          <w:rFonts w:ascii="宋体" w:hAnsi="宋体" w:eastAsia="宋体" w:cs="宋体"/>
          <w:b/>
          <w:bCs/>
          <w:spacing w:val="6"/>
          <w:sz w:val="20"/>
          <w:szCs w:val="20"/>
        </w:rPr>
        <w:t>主要污染源估算模型计结果表（面源）</w:t>
      </w:r>
    </w:p>
    <w:p w14:paraId="759D4AEF">
      <w:pPr>
        <w:spacing w:line="48" w:lineRule="exact"/>
      </w:pPr>
    </w:p>
    <w:tbl>
      <w:tblPr>
        <w:tblStyle w:val="5"/>
        <w:tblW w:w="14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0"/>
        <w:gridCol w:w="1228"/>
        <w:gridCol w:w="1228"/>
        <w:gridCol w:w="1228"/>
        <w:gridCol w:w="1299"/>
        <w:gridCol w:w="1174"/>
        <w:gridCol w:w="1227"/>
        <w:gridCol w:w="1228"/>
        <w:gridCol w:w="1228"/>
        <w:gridCol w:w="1228"/>
        <w:gridCol w:w="1214"/>
      </w:tblGrid>
      <w:tr w14:paraId="1B9BA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940" w:type="dxa"/>
            <w:vMerge w:val="restart"/>
            <w:tcBorders>
              <w:bottom w:val="nil"/>
            </w:tcBorders>
            <w:vAlign w:val="top"/>
          </w:tcPr>
          <w:p w14:paraId="69110FA2">
            <w:pPr>
              <w:pStyle w:val="6"/>
              <w:spacing w:before="236" w:line="229" w:lineRule="auto"/>
              <w:ind w:left="134"/>
            </w:pPr>
            <w:r>
              <w:rPr>
                <w:b/>
                <w:bCs/>
                <w:spacing w:val="7"/>
              </w:rPr>
              <w:t>距源中心下风向距</w:t>
            </w:r>
          </w:p>
          <w:p w14:paraId="6310E4D8">
            <w:pPr>
              <w:pStyle w:val="6"/>
              <w:spacing w:before="78" w:line="229" w:lineRule="auto"/>
              <w:ind w:left="448"/>
            </w:pPr>
            <w:r>
              <w:rPr>
                <w:b/>
                <w:bCs/>
                <w:spacing w:val="-6"/>
              </w:rPr>
              <w:t>离</w:t>
            </w:r>
            <w:r>
              <w:rPr>
                <w:spacing w:val="13"/>
              </w:rPr>
              <w:t xml:space="preserve"> </w:t>
            </w:r>
            <w:r>
              <w:rPr>
                <w:rFonts w:ascii="Times New Roman" w:hAnsi="Times New Roman" w:eastAsia="Times New Roman" w:cs="Times New Roman"/>
                <w:b/>
                <w:bCs/>
                <w:spacing w:val="-6"/>
              </w:rPr>
              <w:t>D</w:t>
            </w:r>
            <w:r>
              <w:rPr>
                <w:b/>
                <w:bCs/>
                <w:spacing w:val="-6"/>
              </w:rPr>
              <w:t>（</w:t>
            </w:r>
            <w:r>
              <w:rPr>
                <w:spacing w:val="-60"/>
              </w:rPr>
              <w:t xml:space="preserve"> </w:t>
            </w:r>
            <w:r>
              <w:rPr>
                <w:rFonts w:ascii="Times New Roman" w:hAnsi="Times New Roman" w:eastAsia="Times New Roman" w:cs="Times New Roman"/>
                <w:b/>
                <w:bCs/>
                <w:spacing w:val="-6"/>
              </w:rPr>
              <w:t>m</w:t>
            </w:r>
            <w:r>
              <w:rPr>
                <w:b/>
                <w:bCs/>
                <w:spacing w:val="-6"/>
              </w:rPr>
              <w:t>）</w:t>
            </w:r>
          </w:p>
        </w:tc>
        <w:tc>
          <w:tcPr>
            <w:tcW w:w="4983" w:type="dxa"/>
            <w:gridSpan w:val="4"/>
            <w:vAlign w:val="top"/>
          </w:tcPr>
          <w:p w14:paraId="66D81DE7">
            <w:pPr>
              <w:pStyle w:val="6"/>
              <w:spacing w:before="63" w:line="229" w:lineRule="auto"/>
              <w:ind w:left="2285"/>
            </w:pPr>
            <w:r>
              <w:rPr>
                <w:b/>
                <w:bCs/>
                <w:spacing w:val="3"/>
              </w:rPr>
              <w:t>猪舍</w:t>
            </w:r>
          </w:p>
        </w:tc>
        <w:tc>
          <w:tcPr>
            <w:tcW w:w="4857" w:type="dxa"/>
            <w:gridSpan w:val="4"/>
            <w:vAlign w:val="top"/>
          </w:tcPr>
          <w:p w14:paraId="388689AE">
            <w:pPr>
              <w:pStyle w:val="6"/>
              <w:spacing w:before="63" w:line="228" w:lineRule="auto"/>
              <w:ind w:left="1699"/>
            </w:pPr>
            <w:r>
              <w:rPr>
                <w:b/>
                <w:bCs/>
                <w:spacing w:val="7"/>
              </w:rPr>
              <w:t>有机肥发酵车间</w:t>
            </w:r>
          </w:p>
        </w:tc>
        <w:tc>
          <w:tcPr>
            <w:tcW w:w="2442" w:type="dxa"/>
            <w:gridSpan w:val="2"/>
            <w:vAlign w:val="top"/>
          </w:tcPr>
          <w:p w14:paraId="19E42963">
            <w:pPr>
              <w:pStyle w:val="6"/>
              <w:spacing w:before="63" w:line="229" w:lineRule="auto"/>
              <w:ind w:left="700"/>
            </w:pPr>
            <w:r>
              <w:rPr>
                <w:b/>
                <w:bCs/>
                <w:spacing w:val="6"/>
              </w:rPr>
              <w:t>饲料加工房</w:t>
            </w:r>
          </w:p>
        </w:tc>
      </w:tr>
      <w:tr w14:paraId="4AA0B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40" w:type="dxa"/>
            <w:vMerge w:val="continue"/>
            <w:tcBorders>
              <w:top w:val="nil"/>
              <w:bottom w:val="nil"/>
            </w:tcBorders>
            <w:vAlign w:val="top"/>
          </w:tcPr>
          <w:p w14:paraId="76093A86">
            <w:pPr>
              <w:rPr>
                <w:rFonts w:ascii="Arial"/>
                <w:sz w:val="21"/>
              </w:rPr>
            </w:pPr>
          </w:p>
        </w:tc>
        <w:tc>
          <w:tcPr>
            <w:tcW w:w="2456" w:type="dxa"/>
            <w:gridSpan w:val="2"/>
            <w:vAlign w:val="top"/>
          </w:tcPr>
          <w:p w14:paraId="2BD5ED54">
            <w:pPr>
              <w:spacing w:before="98" w:line="199" w:lineRule="auto"/>
              <w:ind w:left="1036"/>
              <w:rPr>
                <w:rFonts w:ascii="Times New Roman" w:hAnsi="Times New Roman" w:eastAsia="Times New Roman" w:cs="Times New Roman"/>
                <w:sz w:val="13"/>
                <w:szCs w:val="13"/>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14"/>
                <w:position w:val="-1"/>
                <w:sz w:val="13"/>
                <w:szCs w:val="13"/>
              </w:rPr>
              <w:t>3</w:t>
            </w:r>
          </w:p>
        </w:tc>
        <w:tc>
          <w:tcPr>
            <w:tcW w:w="2527" w:type="dxa"/>
            <w:gridSpan w:val="2"/>
            <w:vAlign w:val="top"/>
          </w:tcPr>
          <w:p w14:paraId="0FA68FA5">
            <w:pPr>
              <w:spacing w:before="95" w:line="202" w:lineRule="auto"/>
              <w:ind w:left="1090"/>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H</w:t>
            </w:r>
            <w:r>
              <w:rPr>
                <w:rFonts w:ascii="Times New Roman" w:hAnsi="Times New Roman" w:eastAsia="Times New Roman" w:cs="Times New Roman"/>
                <w:b/>
                <w:bCs/>
                <w:spacing w:val="3"/>
                <w:position w:val="-1"/>
                <w:sz w:val="13"/>
                <w:szCs w:val="13"/>
              </w:rPr>
              <w:t>2</w:t>
            </w:r>
            <w:r>
              <w:rPr>
                <w:rFonts w:ascii="Times New Roman" w:hAnsi="Times New Roman" w:eastAsia="Times New Roman" w:cs="Times New Roman"/>
                <w:b/>
                <w:bCs/>
                <w:spacing w:val="3"/>
                <w:sz w:val="20"/>
                <w:szCs w:val="20"/>
              </w:rPr>
              <w:t>S</w:t>
            </w:r>
          </w:p>
        </w:tc>
        <w:tc>
          <w:tcPr>
            <w:tcW w:w="2401" w:type="dxa"/>
            <w:gridSpan w:val="2"/>
            <w:vAlign w:val="top"/>
          </w:tcPr>
          <w:p w14:paraId="6806D0A7">
            <w:pPr>
              <w:spacing w:before="98" w:line="199" w:lineRule="auto"/>
              <w:ind w:left="1009"/>
              <w:rPr>
                <w:rFonts w:ascii="Times New Roman" w:hAnsi="Times New Roman" w:eastAsia="Times New Roman" w:cs="Times New Roman"/>
                <w:sz w:val="13"/>
                <w:szCs w:val="13"/>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14"/>
                <w:position w:val="-1"/>
                <w:sz w:val="13"/>
                <w:szCs w:val="13"/>
              </w:rPr>
              <w:t>3</w:t>
            </w:r>
          </w:p>
        </w:tc>
        <w:tc>
          <w:tcPr>
            <w:tcW w:w="2456" w:type="dxa"/>
            <w:gridSpan w:val="2"/>
            <w:vAlign w:val="top"/>
          </w:tcPr>
          <w:p w14:paraId="362E7B35">
            <w:pPr>
              <w:spacing w:before="95" w:line="202" w:lineRule="auto"/>
              <w:ind w:left="105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H</w:t>
            </w:r>
            <w:r>
              <w:rPr>
                <w:rFonts w:ascii="Times New Roman" w:hAnsi="Times New Roman" w:eastAsia="Times New Roman" w:cs="Times New Roman"/>
                <w:b/>
                <w:bCs/>
                <w:spacing w:val="3"/>
                <w:position w:val="-1"/>
                <w:sz w:val="13"/>
                <w:szCs w:val="13"/>
              </w:rPr>
              <w:t>2</w:t>
            </w:r>
            <w:r>
              <w:rPr>
                <w:rFonts w:ascii="Times New Roman" w:hAnsi="Times New Roman" w:eastAsia="Times New Roman" w:cs="Times New Roman"/>
                <w:b/>
                <w:bCs/>
                <w:spacing w:val="3"/>
                <w:sz w:val="20"/>
                <w:szCs w:val="20"/>
              </w:rPr>
              <w:t>S</w:t>
            </w:r>
          </w:p>
        </w:tc>
        <w:tc>
          <w:tcPr>
            <w:tcW w:w="2442" w:type="dxa"/>
            <w:gridSpan w:val="2"/>
            <w:vAlign w:val="top"/>
          </w:tcPr>
          <w:p w14:paraId="536A1A16">
            <w:pPr>
              <w:spacing w:before="95" w:line="195" w:lineRule="auto"/>
              <w:ind w:left="1034"/>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TSP</w:t>
            </w:r>
          </w:p>
        </w:tc>
      </w:tr>
      <w:tr w14:paraId="023CB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40" w:type="dxa"/>
            <w:vMerge w:val="continue"/>
            <w:tcBorders>
              <w:top w:val="nil"/>
            </w:tcBorders>
            <w:vAlign w:val="top"/>
          </w:tcPr>
          <w:p w14:paraId="2A916213">
            <w:pPr>
              <w:rPr>
                <w:rFonts w:ascii="Arial"/>
                <w:sz w:val="21"/>
              </w:rPr>
            </w:pPr>
          </w:p>
        </w:tc>
        <w:tc>
          <w:tcPr>
            <w:tcW w:w="1228" w:type="dxa"/>
            <w:vAlign w:val="top"/>
          </w:tcPr>
          <w:p w14:paraId="405F383B">
            <w:pPr>
              <w:spacing w:before="96" w:line="195" w:lineRule="auto"/>
              <w:ind w:left="51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Ci</w:t>
            </w:r>
          </w:p>
        </w:tc>
        <w:tc>
          <w:tcPr>
            <w:tcW w:w="1228" w:type="dxa"/>
            <w:vAlign w:val="top"/>
          </w:tcPr>
          <w:p w14:paraId="2ADDB470">
            <w:pPr>
              <w:spacing w:before="96" w:line="195" w:lineRule="auto"/>
              <w:ind w:left="52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Pi</w:t>
            </w:r>
          </w:p>
        </w:tc>
        <w:tc>
          <w:tcPr>
            <w:tcW w:w="1228" w:type="dxa"/>
            <w:vAlign w:val="top"/>
          </w:tcPr>
          <w:p w14:paraId="19B2A8C4">
            <w:pPr>
              <w:spacing w:before="96" w:line="195" w:lineRule="auto"/>
              <w:ind w:left="51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Ci</w:t>
            </w:r>
          </w:p>
        </w:tc>
        <w:tc>
          <w:tcPr>
            <w:tcW w:w="1299" w:type="dxa"/>
            <w:vAlign w:val="top"/>
          </w:tcPr>
          <w:p w14:paraId="4B0C070A">
            <w:pPr>
              <w:spacing w:before="96" w:line="195" w:lineRule="auto"/>
              <w:ind w:left="559"/>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Pi</w:t>
            </w:r>
          </w:p>
        </w:tc>
        <w:tc>
          <w:tcPr>
            <w:tcW w:w="1174" w:type="dxa"/>
            <w:vAlign w:val="top"/>
          </w:tcPr>
          <w:p w14:paraId="35E1BF3D">
            <w:pPr>
              <w:spacing w:before="96" w:line="195" w:lineRule="auto"/>
              <w:ind w:left="48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Ci</w:t>
            </w:r>
          </w:p>
        </w:tc>
        <w:tc>
          <w:tcPr>
            <w:tcW w:w="1227" w:type="dxa"/>
            <w:vAlign w:val="top"/>
          </w:tcPr>
          <w:p w14:paraId="35F68C39">
            <w:pPr>
              <w:spacing w:before="96" w:line="195" w:lineRule="auto"/>
              <w:ind w:left="522"/>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Pi</w:t>
            </w:r>
          </w:p>
        </w:tc>
        <w:tc>
          <w:tcPr>
            <w:tcW w:w="1228" w:type="dxa"/>
            <w:vAlign w:val="top"/>
          </w:tcPr>
          <w:p w14:paraId="6F441F81">
            <w:pPr>
              <w:spacing w:before="96" w:line="195" w:lineRule="auto"/>
              <w:ind w:left="51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Ci</w:t>
            </w:r>
          </w:p>
        </w:tc>
        <w:tc>
          <w:tcPr>
            <w:tcW w:w="1228" w:type="dxa"/>
            <w:vAlign w:val="top"/>
          </w:tcPr>
          <w:p w14:paraId="0686E6D3">
            <w:pPr>
              <w:spacing w:before="96" w:line="195" w:lineRule="auto"/>
              <w:ind w:left="52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Pi</w:t>
            </w:r>
          </w:p>
        </w:tc>
        <w:tc>
          <w:tcPr>
            <w:tcW w:w="1228" w:type="dxa"/>
            <w:vAlign w:val="top"/>
          </w:tcPr>
          <w:p w14:paraId="4F96276C">
            <w:pPr>
              <w:spacing w:before="96" w:line="195" w:lineRule="auto"/>
              <w:ind w:left="516"/>
              <w:rPr>
                <w:rFonts w:ascii="Times New Roman" w:hAnsi="Times New Roman" w:eastAsia="Times New Roman" w:cs="Times New Roman"/>
                <w:sz w:val="20"/>
                <w:szCs w:val="20"/>
              </w:rPr>
            </w:pPr>
            <w:r>
              <w:rPr>
                <w:rFonts w:ascii="Times New Roman" w:hAnsi="Times New Roman" w:eastAsia="Times New Roman" w:cs="Times New Roman"/>
                <w:b/>
                <w:bCs/>
                <w:sz w:val="20"/>
                <w:szCs w:val="20"/>
              </w:rPr>
              <w:t>Ci</w:t>
            </w:r>
          </w:p>
        </w:tc>
        <w:tc>
          <w:tcPr>
            <w:tcW w:w="1214" w:type="dxa"/>
            <w:vAlign w:val="top"/>
          </w:tcPr>
          <w:p w14:paraId="1C902EF9">
            <w:pPr>
              <w:spacing w:before="96" w:line="195" w:lineRule="auto"/>
              <w:ind w:left="51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Pi</w:t>
            </w:r>
          </w:p>
        </w:tc>
      </w:tr>
      <w:tr w14:paraId="4FB3C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5553660E">
            <w:pPr>
              <w:spacing w:before="30" w:line="274" w:lineRule="exact"/>
              <w:ind w:left="88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228" w:type="dxa"/>
            <w:vAlign w:val="top"/>
          </w:tcPr>
          <w:p w14:paraId="320BD327">
            <w:pPr>
              <w:spacing w:before="30"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1.47E-03</w:t>
            </w:r>
          </w:p>
        </w:tc>
        <w:tc>
          <w:tcPr>
            <w:tcW w:w="1228" w:type="dxa"/>
            <w:vAlign w:val="top"/>
          </w:tcPr>
          <w:p w14:paraId="2DA932B6">
            <w:pPr>
              <w:spacing w:before="30"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0.73</w:t>
            </w:r>
          </w:p>
        </w:tc>
        <w:tc>
          <w:tcPr>
            <w:tcW w:w="1228" w:type="dxa"/>
            <w:vAlign w:val="top"/>
          </w:tcPr>
          <w:p w14:paraId="12AC1C79">
            <w:pPr>
              <w:spacing w:before="30"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1.47E-04</w:t>
            </w:r>
          </w:p>
        </w:tc>
        <w:tc>
          <w:tcPr>
            <w:tcW w:w="1299" w:type="dxa"/>
            <w:vAlign w:val="top"/>
          </w:tcPr>
          <w:p w14:paraId="659F27E9">
            <w:pPr>
              <w:spacing w:before="30"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1.47</w:t>
            </w:r>
          </w:p>
        </w:tc>
        <w:tc>
          <w:tcPr>
            <w:tcW w:w="1174" w:type="dxa"/>
            <w:vAlign w:val="top"/>
          </w:tcPr>
          <w:p w14:paraId="76B9BCD4">
            <w:pPr>
              <w:spacing w:before="30"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1.55E-03</w:t>
            </w:r>
          </w:p>
        </w:tc>
        <w:tc>
          <w:tcPr>
            <w:tcW w:w="1227" w:type="dxa"/>
            <w:vAlign w:val="top"/>
          </w:tcPr>
          <w:p w14:paraId="76037396">
            <w:pPr>
              <w:spacing w:before="30"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0.77</w:t>
            </w:r>
          </w:p>
        </w:tc>
        <w:tc>
          <w:tcPr>
            <w:tcW w:w="1228" w:type="dxa"/>
            <w:vAlign w:val="top"/>
          </w:tcPr>
          <w:p w14:paraId="3014A1C5">
            <w:pPr>
              <w:spacing w:before="30" w:line="274"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6.64E-04</w:t>
            </w:r>
          </w:p>
        </w:tc>
        <w:tc>
          <w:tcPr>
            <w:tcW w:w="1228" w:type="dxa"/>
            <w:vAlign w:val="top"/>
          </w:tcPr>
          <w:p w14:paraId="2FE4F72F">
            <w:pPr>
              <w:spacing w:before="30" w:line="274" w:lineRule="exact"/>
              <w:ind w:left="4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6.64</w:t>
            </w:r>
          </w:p>
        </w:tc>
        <w:tc>
          <w:tcPr>
            <w:tcW w:w="1228" w:type="dxa"/>
            <w:vAlign w:val="top"/>
          </w:tcPr>
          <w:p w14:paraId="4E054F24">
            <w:pPr>
              <w:spacing w:before="30" w:line="274"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1.10E-02</w:t>
            </w:r>
          </w:p>
        </w:tc>
        <w:tc>
          <w:tcPr>
            <w:tcW w:w="1214" w:type="dxa"/>
            <w:vAlign w:val="top"/>
          </w:tcPr>
          <w:p w14:paraId="23048642">
            <w:pPr>
              <w:spacing w:before="30" w:line="27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1.22</w:t>
            </w:r>
          </w:p>
        </w:tc>
      </w:tr>
      <w:tr w14:paraId="4E4E4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1DB3DF21">
            <w:pPr>
              <w:spacing w:before="30" w:line="274" w:lineRule="exact"/>
              <w:ind w:left="86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1228" w:type="dxa"/>
            <w:vAlign w:val="top"/>
          </w:tcPr>
          <w:p w14:paraId="2A98C2F1">
            <w:pPr>
              <w:spacing w:before="30"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1.60E-03</w:t>
            </w:r>
          </w:p>
        </w:tc>
        <w:tc>
          <w:tcPr>
            <w:tcW w:w="1228" w:type="dxa"/>
            <w:vAlign w:val="top"/>
          </w:tcPr>
          <w:p w14:paraId="167E1C5F">
            <w:pPr>
              <w:spacing w:before="30"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0.80</w:t>
            </w:r>
          </w:p>
        </w:tc>
        <w:tc>
          <w:tcPr>
            <w:tcW w:w="1228" w:type="dxa"/>
            <w:vAlign w:val="top"/>
          </w:tcPr>
          <w:p w14:paraId="25945BBE">
            <w:pPr>
              <w:spacing w:before="30"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1.60E-04</w:t>
            </w:r>
          </w:p>
        </w:tc>
        <w:tc>
          <w:tcPr>
            <w:tcW w:w="1299" w:type="dxa"/>
            <w:vAlign w:val="top"/>
          </w:tcPr>
          <w:p w14:paraId="183B521E">
            <w:pPr>
              <w:spacing w:before="30"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1.60</w:t>
            </w:r>
          </w:p>
        </w:tc>
        <w:tc>
          <w:tcPr>
            <w:tcW w:w="1174" w:type="dxa"/>
            <w:vAlign w:val="top"/>
          </w:tcPr>
          <w:p w14:paraId="3DAFE869">
            <w:pPr>
              <w:spacing w:before="30"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1.85E-03</w:t>
            </w:r>
          </w:p>
        </w:tc>
        <w:tc>
          <w:tcPr>
            <w:tcW w:w="1227" w:type="dxa"/>
            <w:vAlign w:val="top"/>
          </w:tcPr>
          <w:p w14:paraId="0E7E9BFA">
            <w:pPr>
              <w:spacing w:before="30"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0.93</w:t>
            </w:r>
          </w:p>
        </w:tc>
        <w:tc>
          <w:tcPr>
            <w:tcW w:w="1228" w:type="dxa"/>
            <w:vAlign w:val="top"/>
          </w:tcPr>
          <w:p w14:paraId="430EC1FF">
            <w:pPr>
              <w:spacing w:before="30"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7.93E-04</w:t>
            </w:r>
          </w:p>
        </w:tc>
        <w:tc>
          <w:tcPr>
            <w:tcW w:w="1228" w:type="dxa"/>
            <w:vAlign w:val="top"/>
          </w:tcPr>
          <w:p w14:paraId="294B7EE7">
            <w:pPr>
              <w:spacing w:before="30" w:line="274" w:lineRule="exact"/>
              <w:ind w:left="4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7.93</w:t>
            </w:r>
          </w:p>
        </w:tc>
        <w:tc>
          <w:tcPr>
            <w:tcW w:w="1228" w:type="dxa"/>
            <w:vAlign w:val="top"/>
          </w:tcPr>
          <w:p w14:paraId="70B803D9">
            <w:pPr>
              <w:spacing w:before="30" w:line="274" w:lineRule="exact"/>
              <w:ind w:left="2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8.47E-03</w:t>
            </w:r>
          </w:p>
        </w:tc>
        <w:tc>
          <w:tcPr>
            <w:tcW w:w="1214" w:type="dxa"/>
            <w:vAlign w:val="top"/>
          </w:tcPr>
          <w:p w14:paraId="118AF09D">
            <w:pPr>
              <w:spacing w:before="30"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0.94</w:t>
            </w:r>
          </w:p>
        </w:tc>
      </w:tr>
      <w:tr w14:paraId="08944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40" w:type="dxa"/>
            <w:vAlign w:val="top"/>
          </w:tcPr>
          <w:p w14:paraId="1E3CE441">
            <w:pPr>
              <w:spacing w:before="30" w:line="274" w:lineRule="exact"/>
              <w:ind w:left="87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228" w:type="dxa"/>
            <w:vAlign w:val="top"/>
          </w:tcPr>
          <w:p w14:paraId="45704AD6">
            <w:pPr>
              <w:spacing w:before="30"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1.79E-03</w:t>
            </w:r>
          </w:p>
        </w:tc>
        <w:tc>
          <w:tcPr>
            <w:tcW w:w="1228" w:type="dxa"/>
            <w:vAlign w:val="top"/>
          </w:tcPr>
          <w:p w14:paraId="4F5028EB">
            <w:pPr>
              <w:spacing w:before="30"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0.89</w:t>
            </w:r>
          </w:p>
        </w:tc>
        <w:tc>
          <w:tcPr>
            <w:tcW w:w="1228" w:type="dxa"/>
            <w:vAlign w:val="top"/>
          </w:tcPr>
          <w:p w14:paraId="683DBECD">
            <w:pPr>
              <w:spacing w:before="30"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1.79E-04</w:t>
            </w:r>
          </w:p>
        </w:tc>
        <w:tc>
          <w:tcPr>
            <w:tcW w:w="1299" w:type="dxa"/>
            <w:vAlign w:val="top"/>
          </w:tcPr>
          <w:p w14:paraId="1F7F04A3">
            <w:pPr>
              <w:spacing w:before="30"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1.79</w:t>
            </w:r>
          </w:p>
        </w:tc>
        <w:tc>
          <w:tcPr>
            <w:tcW w:w="1174" w:type="dxa"/>
            <w:vAlign w:val="top"/>
          </w:tcPr>
          <w:p w14:paraId="148BA26C">
            <w:pPr>
              <w:spacing w:before="30"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1.28E-03</w:t>
            </w:r>
          </w:p>
        </w:tc>
        <w:tc>
          <w:tcPr>
            <w:tcW w:w="1227" w:type="dxa"/>
            <w:vAlign w:val="top"/>
          </w:tcPr>
          <w:p w14:paraId="2E640762">
            <w:pPr>
              <w:spacing w:before="30"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0.64</w:t>
            </w:r>
          </w:p>
        </w:tc>
        <w:tc>
          <w:tcPr>
            <w:tcW w:w="1228" w:type="dxa"/>
            <w:vAlign w:val="top"/>
          </w:tcPr>
          <w:p w14:paraId="024A0169">
            <w:pPr>
              <w:spacing w:before="30" w:line="274"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5.49E-04</w:t>
            </w:r>
          </w:p>
        </w:tc>
        <w:tc>
          <w:tcPr>
            <w:tcW w:w="1228" w:type="dxa"/>
            <w:vAlign w:val="top"/>
          </w:tcPr>
          <w:p w14:paraId="512D460E">
            <w:pPr>
              <w:spacing w:before="30" w:line="274" w:lineRule="exact"/>
              <w:ind w:left="4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5.49</w:t>
            </w:r>
          </w:p>
        </w:tc>
        <w:tc>
          <w:tcPr>
            <w:tcW w:w="1228" w:type="dxa"/>
            <w:vAlign w:val="top"/>
          </w:tcPr>
          <w:p w14:paraId="67CA430E">
            <w:pPr>
              <w:spacing w:before="30"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3.88E-03</w:t>
            </w:r>
          </w:p>
        </w:tc>
        <w:tc>
          <w:tcPr>
            <w:tcW w:w="1214" w:type="dxa"/>
            <w:vAlign w:val="top"/>
          </w:tcPr>
          <w:p w14:paraId="64ADEE75">
            <w:pPr>
              <w:spacing w:before="30"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r>
      <w:tr w14:paraId="4C5DC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940" w:type="dxa"/>
            <w:vAlign w:val="top"/>
          </w:tcPr>
          <w:p w14:paraId="6D726E1B">
            <w:pPr>
              <w:spacing w:before="31" w:line="274" w:lineRule="exact"/>
              <w:ind w:left="8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228" w:type="dxa"/>
            <w:vAlign w:val="top"/>
          </w:tcPr>
          <w:p w14:paraId="7383BADF">
            <w:pPr>
              <w:spacing w:before="31"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7.99E-04</w:t>
            </w:r>
          </w:p>
        </w:tc>
        <w:tc>
          <w:tcPr>
            <w:tcW w:w="1228" w:type="dxa"/>
            <w:vAlign w:val="top"/>
          </w:tcPr>
          <w:p w14:paraId="483B7E31">
            <w:pPr>
              <w:spacing w:before="31"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0.40</w:t>
            </w:r>
          </w:p>
        </w:tc>
        <w:tc>
          <w:tcPr>
            <w:tcW w:w="1228" w:type="dxa"/>
            <w:vAlign w:val="top"/>
          </w:tcPr>
          <w:p w14:paraId="3FF36936">
            <w:pPr>
              <w:spacing w:before="31"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7.99E-05</w:t>
            </w:r>
          </w:p>
        </w:tc>
        <w:tc>
          <w:tcPr>
            <w:tcW w:w="1299" w:type="dxa"/>
            <w:vAlign w:val="top"/>
          </w:tcPr>
          <w:p w14:paraId="18C06797">
            <w:pPr>
              <w:spacing w:before="31"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0.80</w:t>
            </w:r>
          </w:p>
        </w:tc>
        <w:tc>
          <w:tcPr>
            <w:tcW w:w="1174" w:type="dxa"/>
            <w:vAlign w:val="top"/>
          </w:tcPr>
          <w:p w14:paraId="3FB23300">
            <w:pPr>
              <w:spacing w:before="31" w:line="274" w:lineRule="exact"/>
              <w:ind w:left="1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4.69E-04</w:t>
            </w:r>
          </w:p>
        </w:tc>
        <w:tc>
          <w:tcPr>
            <w:tcW w:w="1227" w:type="dxa"/>
            <w:vAlign w:val="top"/>
          </w:tcPr>
          <w:p w14:paraId="62E129B7">
            <w:pPr>
              <w:spacing w:before="31"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0.23</w:t>
            </w:r>
          </w:p>
        </w:tc>
        <w:tc>
          <w:tcPr>
            <w:tcW w:w="1228" w:type="dxa"/>
            <w:vAlign w:val="top"/>
          </w:tcPr>
          <w:p w14:paraId="559A0200">
            <w:pPr>
              <w:spacing w:before="31"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2.01E-04</w:t>
            </w:r>
          </w:p>
        </w:tc>
        <w:tc>
          <w:tcPr>
            <w:tcW w:w="1228" w:type="dxa"/>
            <w:vAlign w:val="top"/>
          </w:tcPr>
          <w:p w14:paraId="1A17980A">
            <w:pPr>
              <w:spacing w:before="31"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2.01</w:t>
            </w:r>
          </w:p>
        </w:tc>
        <w:tc>
          <w:tcPr>
            <w:tcW w:w="1228" w:type="dxa"/>
            <w:vAlign w:val="top"/>
          </w:tcPr>
          <w:p w14:paraId="5D97D3EF">
            <w:pPr>
              <w:spacing w:before="31" w:line="274"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1.54E-03</w:t>
            </w:r>
          </w:p>
        </w:tc>
        <w:tc>
          <w:tcPr>
            <w:tcW w:w="1214" w:type="dxa"/>
            <w:vAlign w:val="top"/>
          </w:tcPr>
          <w:p w14:paraId="0373CC40">
            <w:pPr>
              <w:spacing w:before="31"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0.17</w:t>
            </w:r>
          </w:p>
        </w:tc>
      </w:tr>
      <w:tr w14:paraId="11749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1FFC0188">
            <w:pPr>
              <w:spacing w:before="32" w:line="274" w:lineRule="exact"/>
              <w:ind w:left="8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1228" w:type="dxa"/>
            <w:vAlign w:val="top"/>
          </w:tcPr>
          <w:p w14:paraId="2B4A2F35">
            <w:pPr>
              <w:spacing w:before="32" w:line="274" w:lineRule="exact"/>
              <w:ind w:left="2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3.03E-04</w:t>
            </w:r>
          </w:p>
        </w:tc>
        <w:tc>
          <w:tcPr>
            <w:tcW w:w="1228" w:type="dxa"/>
            <w:vAlign w:val="top"/>
          </w:tcPr>
          <w:p w14:paraId="31099078">
            <w:pPr>
              <w:spacing w:before="32"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0.15</w:t>
            </w:r>
          </w:p>
        </w:tc>
        <w:tc>
          <w:tcPr>
            <w:tcW w:w="1228" w:type="dxa"/>
            <w:vAlign w:val="top"/>
          </w:tcPr>
          <w:p w14:paraId="4840263D">
            <w:pPr>
              <w:spacing w:before="32"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3.03E-05</w:t>
            </w:r>
          </w:p>
        </w:tc>
        <w:tc>
          <w:tcPr>
            <w:tcW w:w="1299" w:type="dxa"/>
            <w:vAlign w:val="top"/>
          </w:tcPr>
          <w:p w14:paraId="563DB486">
            <w:pPr>
              <w:spacing w:before="32"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0.30</w:t>
            </w:r>
          </w:p>
        </w:tc>
        <w:tc>
          <w:tcPr>
            <w:tcW w:w="1174" w:type="dxa"/>
            <w:vAlign w:val="top"/>
          </w:tcPr>
          <w:p w14:paraId="2E780A53">
            <w:pPr>
              <w:spacing w:before="32"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1.76E-04</w:t>
            </w:r>
          </w:p>
        </w:tc>
        <w:tc>
          <w:tcPr>
            <w:tcW w:w="1227" w:type="dxa"/>
            <w:vAlign w:val="top"/>
          </w:tcPr>
          <w:p w14:paraId="55AFF251">
            <w:pPr>
              <w:spacing w:before="32"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0.09</w:t>
            </w:r>
          </w:p>
        </w:tc>
        <w:tc>
          <w:tcPr>
            <w:tcW w:w="1228" w:type="dxa"/>
            <w:vAlign w:val="top"/>
          </w:tcPr>
          <w:p w14:paraId="5FD4A011">
            <w:pPr>
              <w:spacing w:before="32"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7.56E-05</w:t>
            </w:r>
          </w:p>
        </w:tc>
        <w:tc>
          <w:tcPr>
            <w:tcW w:w="1228" w:type="dxa"/>
            <w:vAlign w:val="top"/>
          </w:tcPr>
          <w:p w14:paraId="0DF749D0">
            <w:pPr>
              <w:spacing w:before="32" w:line="274" w:lineRule="exact"/>
              <w:ind w:left="4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0.76</w:t>
            </w:r>
          </w:p>
        </w:tc>
        <w:tc>
          <w:tcPr>
            <w:tcW w:w="1228" w:type="dxa"/>
            <w:vAlign w:val="top"/>
          </w:tcPr>
          <w:p w14:paraId="6E0D228A">
            <w:pPr>
              <w:spacing w:before="32" w:line="274"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5.96E-04</w:t>
            </w:r>
          </w:p>
        </w:tc>
        <w:tc>
          <w:tcPr>
            <w:tcW w:w="1214" w:type="dxa"/>
            <w:vAlign w:val="top"/>
          </w:tcPr>
          <w:p w14:paraId="4F3095EE">
            <w:pPr>
              <w:spacing w:before="32"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r>
      <w:tr w14:paraId="1AEA2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3374234F">
            <w:pPr>
              <w:spacing w:before="32" w:line="274" w:lineRule="exact"/>
              <w:ind w:left="8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1228" w:type="dxa"/>
            <w:vAlign w:val="top"/>
          </w:tcPr>
          <w:p w14:paraId="32815852">
            <w:pPr>
              <w:spacing w:before="32"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1.82E-03</w:t>
            </w:r>
          </w:p>
        </w:tc>
        <w:tc>
          <w:tcPr>
            <w:tcW w:w="1228" w:type="dxa"/>
            <w:vAlign w:val="top"/>
          </w:tcPr>
          <w:p w14:paraId="1C0ED2C5">
            <w:pPr>
              <w:spacing w:before="32"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0.09</w:t>
            </w:r>
          </w:p>
        </w:tc>
        <w:tc>
          <w:tcPr>
            <w:tcW w:w="1228" w:type="dxa"/>
            <w:vAlign w:val="top"/>
          </w:tcPr>
          <w:p w14:paraId="4F91887B">
            <w:pPr>
              <w:spacing w:before="32"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1.82E-04</w:t>
            </w:r>
          </w:p>
        </w:tc>
        <w:tc>
          <w:tcPr>
            <w:tcW w:w="1299" w:type="dxa"/>
            <w:vAlign w:val="top"/>
          </w:tcPr>
          <w:p w14:paraId="6E9718F9">
            <w:pPr>
              <w:spacing w:before="32"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0.18</w:t>
            </w:r>
          </w:p>
        </w:tc>
        <w:tc>
          <w:tcPr>
            <w:tcW w:w="1174" w:type="dxa"/>
            <w:vAlign w:val="top"/>
          </w:tcPr>
          <w:p w14:paraId="09980516">
            <w:pPr>
              <w:spacing w:before="32"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1.04E-04</w:t>
            </w:r>
          </w:p>
        </w:tc>
        <w:tc>
          <w:tcPr>
            <w:tcW w:w="1227" w:type="dxa"/>
            <w:vAlign w:val="top"/>
          </w:tcPr>
          <w:p w14:paraId="46A05AB6">
            <w:pPr>
              <w:spacing w:before="32"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1228" w:type="dxa"/>
            <w:vAlign w:val="top"/>
          </w:tcPr>
          <w:p w14:paraId="460B64D6">
            <w:pPr>
              <w:spacing w:before="32"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4.47E-05</w:t>
            </w:r>
          </w:p>
        </w:tc>
        <w:tc>
          <w:tcPr>
            <w:tcW w:w="1228" w:type="dxa"/>
            <w:vAlign w:val="top"/>
          </w:tcPr>
          <w:p w14:paraId="3597428C">
            <w:pPr>
              <w:spacing w:before="32" w:line="274" w:lineRule="exact"/>
              <w:ind w:left="4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0.45</w:t>
            </w:r>
          </w:p>
        </w:tc>
        <w:tc>
          <w:tcPr>
            <w:tcW w:w="1228" w:type="dxa"/>
            <w:vAlign w:val="top"/>
          </w:tcPr>
          <w:p w14:paraId="05BE88A7">
            <w:pPr>
              <w:spacing w:before="32"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3.55E-04</w:t>
            </w:r>
          </w:p>
        </w:tc>
        <w:tc>
          <w:tcPr>
            <w:tcW w:w="1214" w:type="dxa"/>
            <w:vAlign w:val="top"/>
          </w:tcPr>
          <w:p w14:paraId="532DDCEA">
            <w:pPr>
              <w:spacing w:before="32"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r>
      <w:tr w14:paraId="7CA51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69586C43">
            <w:pPr>
              <w:spacing w:before="32"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w:t>
            </w:r>
          </w:p>
        </w:tc>
        <w:tc>
          <w:tcPr>
            <w:tcW w:w="1228" w:type="dxa"/>
            <w:vAlign w:val="top"/>
          </w:tcPr>
          <w:p w14:paraId="41C7E4CF">
            <w:pPr>
              <w:spacing w:before="32"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1.17E-04</w:t>
            </w:r>
          </w:p>
        </w:tc>
        <w:tc>
          <w:tcPr>
            <w:tcW w:w="1228" w:type="dxa"/>
            <w:vAlign w:val="top"/>
          </w:tcPr>
          <w:p w14:paraId="67A31EB4">
            <w:pPr>
              <w:spacing w:before="32"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1228" w:type="dxa"/>
            <w:vAlign w:val="top"/>
          </w:tcPr>
          <w:p w14:paraId="789BF384">
            <w:pPr>
              <w:spacing w:before="32"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1.17E-05</w:t>
            </w:r>
          </w:p>
        </w:tc>
        <w:tc>
          <w:tcPr>
            <w:tcW w:w="1299" w:type="dxa"/>
            <w:vAlign w:val="top"/>
          </w:tcPr>
          <w:p w14:paraId="004F53F1">
            <w:pPr>
              <w:spacing w:before="32"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w:t>
            </w:r>
          </w:p>
        </w:tc>
        <w:tc>
          <w:tcPr>
            <w:tcW w:w="1174" w:type="dxa"/>
            <w:vAlign w:val="top"/>
          </w:tcPr>
          <w:p w14:paraId="09FB4E1F">
            <w:pPr>
              <w:spacing w:before="32"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6.74E-05</w:t>
            </w:r>
          </w:p>
        </w:tc>
        <w:tc>
          <w:tcPr>
            <w:tcW w:w="1227" w:type="dxa"/>
            <w:vAlign w:val="top"/>
          </w:tcPr>
          <w:p w14:paraId="2EC34132">
            <w:pPr>
              <w:spacing w:before="32"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228" w:type="dxa"/>
            <w:vAlign w:val="top"/>
          </w:tcPr>
          <w:p w14:paraId="71F674FE">
            <w:pPr>
              <w:spacing w:before="32"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2.89E-05</w:t>
            </w:r>
          </w:p>
        </w:tc>
        <w:tc>
          <w:tcPr>
            <w:tcW w:w="1228" w:type="dxa"/>
            <w:vAlign w:val="top"/>
          </w:tcPr>
          <w:p w14:paraId="25F79CBD">
            <w:pPr>
              <w:spacing w:before="32" w:line="274" w:lineRule="exact"/>
              <w:ind w:left="4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0.29</w:t>
            </w:r>
          </w:p>
        </w:tc>
        <w:tc>
          <w:tcPr>
            <w:tcW w:w="1228" w:type="dxa"/>
            <w:vAlign w:val="top"/>
          </w:tcPr>
          <w:p w14:paraId="0C83A575">
            <w:pPr>
              <w:spacing w:before="32"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2.30E-04</w:t>
            </w:r>
          </w:p>
        </w:tc>
        <w:tc>
          <w:tcPr>
            <w:tcW w:w="1214" w:type="dxa"/>
            <w:vAlign w:val="top"/>
          </w:tcPr>
          <w:p w14:paraId="54FE1800">
            <w:pPr>
              <w:spacing w:before="32"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r>
      <w:tr w14:paraId="3FF0F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1C83E7E6">
            <w:pPr>
              <w:spacing w:before="32" w:line="274" w:lineRule="exact"/>
              <w:ind w:left="81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600</w:t>
            </w:r>
          </w:p>
        </w:tc>
        <w:tc>
          <w:tcPr>
            <w:tcW w:w="1228" w:type="dxa"/>
            <w:vAlign w:val="top"/>
          </w:tcPr>
          <w:p w14:paraId="25C810FB">
            <w:pPr>
              <w:spacing w:before="32" w:line="274" w:lineRule="exact"/>
              <w:ind w:left="2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6.72E-05</w:t>
            </w:r>
          </w:p>
        </w:tc>
        <w:tc>
          <w:tcPr>
            <w:tcW w:w="1228" w:type="dxa"/>
            <w:vAlign w:val="top"/>
          </w:tcPr>
          <w:p w14:paraId="24869EC9">
            <w:pPr>
              <w:spacing w:before="32"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228" w:type="dxa"/>
            <w:vAlign w:val="top"/>
          </w:tcPr>
          <w:p w14:paraId="19BA884A">
            <w:pPr>
              <w:spacing w:before="32"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6.72E-06</w:t>
            </w:r>
          </w:p>
        </w:tc>
        <w:tc>
          <w:tcPr>
            <w:tcW w:w="1299" w:type="dxa"/>
            <w:vAlign w:val="top"/>
          </w:tcPr>
          <w:p w14:paraId="16726629">
            <w:pPr>
              <w:spacing w:before="32"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1174" w:type="dxa"/>
            <w:vAlign w:val="top"/>
          </w:tcPr>
          <w:p w14:paraId="718ED3FC">
            <w:pPr>
              <w:spacing w:before="32"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3.86E-05</w:t>
            </w:r>
          </w:p>
        </w:tc>
        <w:tc>
          <w:tcPr>
            <w:tcW w:w="1227" w:type="dxa"/>
            <w:vAlign w:val="top"/>
          </w:tcPr>
          <w:p w14:paraId="25E91408">
            <w:pPr>
              <w:spacing w:before="32"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1228" w:type="dxa"/>
            <w:vAlign w:val="top"/>
          </w:tcPr>
          <w:p w14:paraId="2418F833">
            <w:pPr>
              <w:spacing w:before="32" w:line="274" w:lineRule="exact"/>
              <w:ind w:left="25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1.66E-05</w:t>
            </w:r>
          </w:p>
        </w:tc>
        <w:tc>
          <w:tcPr>
            <w:tcW w:w="1228" w:type="dxa"/>
            <w:vAlign w:val="top"/>
          </w:tcPr>
          <w:p w14:paraId="6D82C8DC">
            <w:pPr>
              <w:spacing w:before="32" w:line="274" w:lineRule="exact"/>
              <w:ind w:left="4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0.17</w:t>
            </w:r>
          </w:p>
        </w:tc>
        <w:tc>
          <w:tcPr>
            <w:tcW w:w="1228" w:type="dxa"/>
            <w:vAlign w:val="top"/>
          </w:tcPr>
          <w:p w14:paraId="6FF55AF4">
            <w:pPr>
              <w:spacing w:before="32" w:line="274"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1.32E-04</w:t>
            </w:r>
          </w:p>
        </w:tc>
        <w:tc>
          <w:tcPr>
            <w:tcW w:w="1214" w:type="dxa"/>
            <w:vAlign w:val="top"/>
          </w:tcPr>
          <w:p w14:paraId="2AE246DF">
            <w:pPr>
              <w:spacing w:before="32"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r>
      <w:tr w14:paraId="6EAFB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7BF14AC7">
            <w:pPr>
              <w:spacing w:before="32" w:line="274" w:lineRule="exact"/>
              <w:ind w:left="82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800</w:t>
            </w:r>
          </w:p>
        </w:tc>
        <w:tc>
          <w:tcPr>
            <w:tcW w:w="1228" w:type="dxa"/>
            <w:vAlign w:val="top"/>
          </w:tcPr>
          <w:p w14:paraId="0BED1884">
            <w:pPr>
              <w:spacing w:before="32" w:line="274" w:lineRule="exact"/>
              <w:ind w:left="2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4.53E-05</w:t>
            </w:r>
          </w:p>
        </w:tc>
        <w:tc>
          <w:tcPr>
            <w:tcW w:w="1228" w:type="dxa"/>
            <w:vAlign w:val="top"/>
          </w:tcPr>
          <w:p w14:paraId="39CFD541">
            <w:pPr>
              <w:spacing w:before="32"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1228" w:type="dxa"/>
            <w:vAlign w:val="top"/>
          </w:tcPr>
          <w:p w14:paraId="31C193D8">
            <w:pPr>
              <w:spacing w:before="32" w:line="274" w:lineRule="exact"/>
              <w:ind w:left="2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4.53E-06</w:t>
            </w:r>
          </w:p>
        </w:tc>
        <w:tc>
          <w:tcPr>
            <w:tcW w:w="1299" w:type="dxa"/>
            <w:vAlign w:val="top"/>
          </w:tcPr>
          <w:p w14:paraId="061A9F65">
            <w:pPr>
              <w:spacing w:before="32"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1174" w:type="dxa"/>
            <w:vAlign w:val="top"/>
          </w:tcPr>
          <w:p w14:paraId="60B28775">
            <w:pPr>
              <w:spacing w:before="32" w:line="274" w:lineRule="exact"/>
              <w:ind w:left="55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7" w:type="dxa"/>
            <w:vAlign w:val="top"/>
          </w:tcPr>
          <w:p w14:paraId="048EF746">
            <w:pPr>
              <w:spacing w:before="32" w:line="274" w:lineRule="exact"/>
              <w:ind w:left="5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8" w:type="dxa"/>
            <w:vAlign w:val="top"/>
          </w:tcPr>
          <w:p w14:paraId="1CBC0C8F">
            <w:pPr>
              <w:spacing w:before="32" w:line="274" w:lineRule="exact"/>
              <w:ind w:left="5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8" w:type="dxa"/>
            <w:vAlign w:val="top"/>
          </w:tcPr>
          <w:p w14:paraId="553532A3">
            <w:pPr>
              <w:spacing w:before="32" w:line="274" w:lineRule="exact"/>
              <w:ind w:left="5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8" w:type="dxa"/>
            <w:vAlign w:val="top"/>
          </w:tcPr>
          <w:p w14:paraId="3BAEA8C5">
            <w:pPr>
              <w:spacing w:before="32" w:line="274" w:lineRule="exact"/>
              <w:ind w:left="2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8.88E-05</w:t>
            </w:r>
          </w:p>
        </w:tc>
        <w:tc>
          <w:tcPr>
            <w:tcW w:w="1214" w:type="dxa"/>
            <w:vAlign w:val="top"/>
          </w:tcPr>
          <w:p w14:paraId="2812CC84">
            <w:pPr>
              <w:spacing w:before="32"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r>
      <w:tr w14:paraId="7F256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3ECE3E6F">
            <w:pPr>
              <w:spacing w:before="32" w:line="274" w:lineRule="exact"/>
              <w:ind w:left="78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1000</w:t>
            </w:r>
          </w:p>
        </w:tc>
        <w:tc>
          <w:tcPr>
            <w:tcW w:w="1228" w:type="dxa"/>
            <w:vAlign w:val="top"/>
          </w:tcPr>
          <w:p w14:paraId="0AC81AE1">
            <w:pPr>
              <w:spacing w:before="32" w:line="274" w:lineRule="exact"/>
              <w:ind w:left="23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3.34E-05</w:t>
            </w:r>
          </w:p>
        </w:tc>
        <w:tc>
          <w:tcPr>
            <w:tcW w:w="1228" w:type="dxa"/>
            <w:vAlign w:val="top"/>
          </w:tcPr>
          <w:p w14:paraId="311FEE9D">
            <w:pPr>
              <w:spacing w:before="32"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1228" w:type="dxa"/>
            <w:vAlign w:val="top"/>
          </w:tcPr>
          <w:p w14:paraId="3F35ABC4">
            <w:pPr>
              <w:spacing w:before="32"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3.34E-06</w:t>
            </w:r>
          </w:p>
        </w:tc>
        <w:tc>
          <w:tcPr>
            <w:tcW w:w="1299" w:type="dxa"/>
            <w:vAlign w:val="top"/>
          </w:tcPr>
          <w:p w14:paraId="2292320D">
            <w:pPr>
              <w:spacing w:before="32" w:line="274" w:lineRule="exact"/>
              <w:ind w:left="47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c>
          <w:tcPr>
            <w:tcW w:w="1174" w:type="dxa"/>
            <w:vAlign w:val="top"/>
          </w:tcPr>
          <w:p w14:paraId="24F806F9">
            <w:pPr>
              <w:spacing w:before="32" w:line="274" w:lineRule="exact"/>
              <w:ind w:left="55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7" w:type="dxa"/>
            <w:vAlign w:val="top"/>
          </w:tcPr>
          <w:p w14:paraId="576D1E5A">
            <w:pPr>
              <w:spacing w:before="32" w:line="274" w:lineRule="exact"/>
              <w:ind w:left="5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8" w:type="dxa"/>
            <w:vAlign w:val="top"/>
          </w:tcPr>
          <w:p w14:paraId="6170D496">
            <w:pPr>
              <w:spacing w:before="32" w:line="274" w:lineRule="exact"/>
              <w:ind w:left="5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8" w:type="dxa"/>
            <w:vAlign w:val="top"/>
          </w:tcPr>
          <w:p w14:paraId="565C4C46">
            <w:pPr>
              <w:spacing w:before="32" w:line="274" w:lineRule="exact"/>
              <w:ind w:left="5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8" w:type="dxa"/>
            <w:vAlign w:val="top"/>
          </w:tcPr>
          <w:p w14:paraId="69C0E8F3">
            <w:pPr>
              <w:spacing w:before="32"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6.54E-05</w:t>
            </w:r>
          </w:p>
        </w:tc>
        <w:tc>
          <w:tcPr>
            <w:tcW w:w="1214" w:type="dxa"/>
            <w:vAlign w:val="top"/>
          </w:tcPr>
          <w:p w14:paraId="1725FC0C">
            <w:pPr>
              <w:spacing w:before="32" w:line="274"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r>
      <w:tr w14:paraId="37771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153EFF7B">
            <w:pPr>
              <w:pStyle w:val="6"/>
              <w:spacing w:before="63" w:line="228" w:lineRule="auto"/>
              <w:ind w:left="663"/>
            </w:pPr>
            <w:r>
              <w:rPr>
                <w:spacing w:val="6"/>
              </w:rPr>
              <w:t>最大值</w:t>
            </w:r>
          </w:p>
        </w:tc>
        <w:tc>
          <w:tcPr>
            <w:tcW w:w="1228" w:type="dxa"/>
            <w:vAlign w:val="top"/>
          </w:tcPr>
          <w:p w14:paraId="3515A095">
            <w:pPr>
              <w:spacing w:before="32"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1.82E-03</w:t>
            </w:r>
          </w:p>
        </w:tc>
        <w:tc>
          <w:tcPr>
            <w:tcW w:w="1228" w:type="dxa"/>
            <w:vAlign w:val="top"/>
          </w:tcPr>
          <w:p w14:paraId="3B0C6580">
            <w:pPr>
              <w:spacing w:before="32"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0.91</w:t>
            </w:r>
          </w:p>
        </w:tc>
        <w:tc>
          <w:tcPr>
            <w:tcW w:w="1228" w:type="dxa"/>
            <w:vAlign w:val="top"/>
          </w:tcPr>
          <w:p w14:paraId="21C1951C">
            <w:pPr>
              <w:spacing w:before="32"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1.82E-04</w:t>
            </w:r>
          </w:p>
        </w:tc>
        <w:tc>
          <w:tcPr>
            <w:tcW w:w="1299" w:type="dxa"/>
            <w:vAlign w:val="top"/>
          </w:tcPr>
          <w:p w14:paraId="1CE282D8">
            <w:pPr>
              <w:spacing w:before="32"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1.82</w:t>
            </w:r>
          </w:p>
        </w:tc>
        <w:tc>
          <w:tcPr>
            <w:tcW w:w="1174" w:type="dxa"/>
            <w:vAlign w:val="top"/>
          </w:tcPr>
          <w:p w14:paraId="0A9AB418">
            <w:pPr>
              <w:spacing w:before="32" w:line="274" w:lineRule="exact"/>
              <w:ind w:left="2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1.94E-03</w:t>
            </w:r>
          </w:p>
        </w:tc>
        <w:tc>
          <w:tcPr>
            <w:tcW w:w="1227" w:type="dxa"/>
            <w:vAlign w:val="top"/>
          </w:tcPr>
          <w:p w14:paraId="314FE9BA">
            <w:pPr>
              <w:spacing w:before="32" w:line="274" w:lineRule="exact"/>
              <w:ind w:left="4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0.97</w:t>
            </w:r>
          </w:p>
        </w:tc>
        <w:tc>
          <w:tcPr>
            <w:tcW w:w="1228" w:type="dxa"/>
            <w:vAlign w:val="top"/>
          </w:tcPr>
          <w:p w14:paraId="30CB0DD9">
            <w:pPr>
              <w:spacing w:before="32" w:line="274" w:lineRule="exact"/>
              <w:ind w:left="2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8.33E-04</w:t>
            </w:r>
          </w:p>
        </w:tc>
        <w:tc>
          <w:tcPr>
            <w:tcW w:w="1228" w:type="dxa"/>
            <w:vAlign w:val="top"/>
          </w:tcPr>
          <w:p w14:paraId="348D6994">
            <w:pPr>
              <w:spacing w:before="32"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8.33</w:t>
            </w:r>
          </w:p>
        </w:tc>
        <w:tc>
          <w:tcPr>
            <w:tcW w:w="1228" w:type="dxa"/>
            <w:vAlign w:val="top"/>
          </w:tcPr>
          <w:p w14:paraId="46711647">
            <w:pPr>
              <w:spacing w:before="32" w:line="274"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1.17E-02</w:t>
            </w:r>
          </w:p>
        </w:tc>
        <w:tc>
          <w:tcPr>
            <w:tcW w:w="1214" w:type="dxa"/>
            <w:vAlign w:val="top"/>
          </w:tcPr>
          <w:p w14:paraId="6EC9FF19">
            <w:pPr>
              <w:spacing w:before="32" w:line="27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1.29</w:t>
            </w:r>
          </w:p>
        </w:tc>
      </w:tr>
      <w:tr w14:paraId="553A2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940" w:type="dxa"/>
            <w:vAlign w:val="top"/>
          </w:tcPr>
          <w:p w14:paraId="6FFB4134">
            <w:pPr>
              <w:pStyle w:val="6"/>
              <w:spacing w:before="63" w:line="228" w:lineRule="auto"/>
              <w:ind w:left="243"/>
            </w:pPr>
            <w:r>
              <w:rPr>
                <w:spacing w:val="8"/>
              </w:rPr>
              <w:t>最大值所在位置</w:t>
            </w:r>
          </w:p>
        </w:tc>
        <w:tc>
          <w:tcPr>
            <w:tcW w:w="2456" w:type="dxa"/>
            <w:gridSpan w:val="2"/>
            <w:vAlign w:val="top"/>
          </w:tcPr>
          <w:p w14:paraId="662839C2">
            <w:pPr>
              <w:spacing w:before="32" w:line="274" w:lineRule="exact"/>
              <w:ind w:left="11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2527" w:type="dxa"/>
            <w:gridSpan w:val="2"/>
            <w:vAlign w:val="top"/>
          </w:tcPr>
          <w:p w14:paraId="1A01DA0B">
            <w:pPr>
              <w:spacing w:before="32" w:line="274" w:lineRule="exact"/>
              <w:ind w:left="116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2401" w:type="dxa"/>
            <w:gridSpan w:val="2"/>
            <w:vAlign w:val="top"/>
          </w:tcPr>
          <w:p w14:paraId="74FC6DC6">
            <w:pPr>
              <w:spacing w:before="32" w:line="274" w:lineRule="exact"/>
              <w:ind w:left="110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31</w:t>
            </w:r>
          </w:p>
        </w:tc>
        <w:tc>
          <w:tcPr>
            <w:tcW w:w="2456" w:type="dxa"/>
            <w:gridSpan w:val="2"/>
            <w:vAlign w:val="top"/>
          </w:tcPr>
          <w:p w14:paraId="2B288B7D">
            <w:pPr>
              <w:spacing w:before="32" w:line="274" w:lineRule="exact"/>
              <w:ind w:left="112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31</w:t>
            </w:r>
          </w:p>
        </w:tc>
        <w:tc>
          <w:tcPr>
            <w:tcW w:w="2442" w:type="dxa"/>
            <w:gridSpan w:val="2"/>
            <w:vAlign w:val="top"/>
          </w:tcPr>
          <w:p w14:paraId="180B5A7A">
            <w:pPr>
              <w:spacing w:before="32" w:line="274" w:lineRule="exact"/>
              <w:ind w:left="113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r>
      <w:tr w14:paraId="2E6B5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940" w:type="dxa"/>
            <w:vAlign w:val="top"/>
          </w:tcPr>
          <w:p w14:paraId="68274369">
            <w:pPr>
              <w:pStyle w:val="6"/>
              <w:spacing w:before="32" w:line="274" w:lineRule="exact"/>
              <w:ind w:left="411"/>
            </w:pPr>
            <w:r>
              <w:rPr>
                <w:rFonts w:ascii="Times New Roman" w:hAnsi="Times New Roman" w:eastAsia="Times New Roman" w:cs="Times New Roman"/>
                <w:spacing w:val="1"/>
                <w:position w:val="1"/>
              </w:rPr>
              <w:t>D</w:t>
            </w:r>
            <w:r>
              <w:rPr>
                <w:rFonts w:ascii="Times New Roman" w:hAnsi="Times New Roman" w:eastAsia="Times New Roman" w:cs="Times New Roman"/>
                <w:spacing w:val="-20"/>
                <w:position w:val="1"/>
              </w:rPr>
              <w:t xml:space="preserve"> </w:t>
            </w:r>
            <w:r>
              <w:rPr>
                <w:rFonts w:ascii="Times New Roman" w:hAnsi="Times New Roman" w:eastAsia="Times New Roman" w:cs="Times New Roman"/>
                <w:spacing w:val="1"/>
                <w:position w:val="1"/>
              </w:rPr>
              <w:t>10%</w:t>
            </w:r>
            <w:r>
              <w:rPr>
                <w:spacing w:val="1"/>
                <w:position w:val="1"/>
              </w:rPr>
              <w:t>（</w:t>
            </w:r>
            <w:r>
              <w:rPr>
                <w:rFonts w:ascii="Times New Roman" w:hAnsi="Times New Roman" w:eastAsia="Times New Roman" w:cs="Times New Roman"/>
                <w:spacing w:val="1"/>
                <w:position w:val="1"/>
              </w:rPr>
              <w:t>m</w:t>
            </w:r>
            <w:r>
              <w:rPr>
                <w:spacing w:val="1"/>
                <w:position w:val="1"/>
              </w:rPr>
              <w:t>）</w:t>
            </w:r>
          </w:p>
        </w:tc>
        <w:tc>
          <w:tcPr>
            <w:tcW w:w="2456" w:type="dxa"/>
            <w:gridSpan w:val="2"/>
            <w:vAlign w:val="top"/>
          </w:tcPr>
          <w:p w14:paraId="570E30AF">
            <w:pPr>
              <w:spacing w:before="32" w:line="274" w:lineRule="exact"/>
              <w:ind w:left="1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527" w:type="dxa"/>
            <w:gridSpan w:val="2"/>
            <w:vAlign w:val="top"/>
          </w:tcPr>
          <w:p w14:paraId="2A8D2B85">
            <w:pPr>
              <w:spacing w:before="32" w:line="274" w:lineRule="exact"/>
              <w:ind w:left="12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401" w:type="dxa"/>
            <w:gridSpan w:val="2"/>
            <w:vAlign w:val="top"/>
          </w:tcPr>
          <w:p w14:paraId="060B1C92">
            <w:pPr>
              <w:spacing w:before="32" w:line="274" w:lineRule="exact"/>
              <w:ind w:left="116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456" w:type="dxa"/>
            <w:gridSpan w:val="2"/>
            <w:vAlign w:val="top"/>
          </w:tcPr>
          <w:p w14:paraId="531A915C">
            <w:pPr>
              <w:spacing w:before="32" w:line="274" w:lineRule="exact"/>
              <w:ind w:left="11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442" w:type="dxa"/>
            <w:gridSpan w:val="2"/>
            <w:vAlign w:val="top"/>
          </w:tcPr>
          <w:p w14:paraId="585BEC65">
            <w:pPr>
              <w:spacing w:before="32" w:line="274" w:lineRule="exact"/>
              <w:ind w:left="11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27DE44AA">
      <w:pPr>
        <w:pStyle w:val="2"/>
      </w:pPr>
    </w:p>
    <w:p w14:paraId="4BE4F123">
      <w:pPr>
        <w:sectPr>
          <w:footerReference r:id="rId138" w:type="default"/>
          <w:pgSz w:w="16839" w:h="11906"/>
          <w:pgMar w:top="400" w:right="1305" w:bottom="1485" w:left="1305" w:header="0" w:footer="1249" w:gutter="0"/>
          <w:cols w:space="720" w:num="1"/>
        </w:sectPr>
      </w:pPr>
    </w:p>
    <w:p w14:paraId="61578EC1">
      <w:pPr>
        <w:pStyle w:val="2"/>
        <w:spacing w:line="257" w:lineRule="auto"/>
      </w:pPr>
    </w:p>
    <w:p w14:paraId="5D49D9FA">
      <w:pPr>
        <w:pStyle w:val="2"/>
        <w:spacing w:line="257" w:lineRule="auto"/>
      </w:pPr>
    </w:p>
    <w:p w14:paraId="74F3EBE6">
      <w:pPr>
        <w:pStyle w:val="2"/>
        <w:spacing w:line="258" w:lineRule="auto"/>
      </w:pPr>
    </w:p>
    <w:p w14:paraId="5C13B891">
      <w:pPr>
        <w:pStyle w:val="2"/>
        <w:spacing w:line="258" w:lineRule="auto"/>
      </w:pPr>
    </w:p>
    <w:p w14:paraId="486B8635">
      <w:pPr>
        <w:spacing w:before="65" w:line="228" w:lineRule="auto"/>
        <w:ind w:left="1224"/>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28"/>
          <w:sz w:val="20"/>
          <w:szCs w:val="20"/>
        </w:rPr>
        <w:t xml:space="preserve"> </w:t>
      </w:r>
      <w:r>
        <w:rPr>
          <w:rFonts w:ascii="Times New Roman" w:hAnsi="Times New Roman" w:eastAsia="Times New Roman" w:cs="Times New Roman"/>
          <w:b/>
          <w:bCs/>
          <w:spacing w:val="7"/>
          <w:sz w:val="20"/>
          <w:szCs w:val="20"/>
        </w:rPr>
        <w:t xml:space="preserve">5.2-13 </w:t>
      </w:r>
      <w:r>
        <w:rPr>
          <w:rFonts w:ascii="宋体" w:hAnsi="宋体" w:eastAsia="宋体" w:cs="宋体"/>
          <w:b/>
          <w:bCs/>
          <w:spacing w:val="7"/>
          <w:sz w:val="20"/>
          <w:szCs w:val="20"/>
        </w:rPr>
        <w:t>正常工况项目废气污染物排放下风向最大地面浓度及占标率统计表</w:t>
      </w:r>
    </w:p>
    <w:p w14:paraId="0A1930A7">
      <w:pPr>
        <w:spacing w:before="226"/>
      </w:pPr>
    </w:p>
    <w:tbl>
      <w:tblPr>
        <w:tblStyle w:val="5"/>
        <w:tblW w:w="89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1"/>
        <w:gridCol w:w="955"/>
        <w:gridCol w:w="1039"/>
        <w:gridCol w:w="1087"/>
        <w:gridCol w:w="1465"/>
        <w:gridCol w:w="1275"/>
        <w:gridCol w:w="1418"/>
      </w:tblGrid>
      <w:tr w14:paraId="0B10F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1711" w:type="dxa"/>
            <w:vAlign w:val="top"/>
          </w:tcPr>
          <w:p w14:paraId="7E07FD52">
            <w:pPr>
              <w:pStyle w:val="6"/>
              <w:spacing w:before="227" w:line="229" w:lineRule="auto"/>
              <w:ind w:left="545"/>
            </w:pPr>
            <w:r>
              <w:rPr>
                <w:b/>
                <w:bCs/>
                <w:spacing w:val="5"/>
              </w:rPr>
              <w:t>污染源</w:t>
            </w:r>
          </w:p>
        </w:tc>
        <w:tc>
          <w:tcPr>
            <w:tcW w:w="955" w:type="dxa"/>
            <w:vAlign w:val="top"/>
          </w:tcPr>
          <w:p w14:paraId="3DBF97FD">
            <w:pPr>
              <w:pStyle w:val="6"/>
              <w:spacing w:before="227" w:line="228" w:lineRule="auto"/>
              <w:ind w:left="267"/>
            </w:pPr>
            <w:r>
              <w:rPr>
                <w:b/>
                <w:bCs/>
                <w:spacing w:val="3"/>
              </w:rPr>
              <w:t>类型</w:t>
            </w:r>
          </w:p>
        </w:tc>
        <w:tc>
          <w:tcPr>
            <w:tcW w:w="1039" w:type="dxa"/>
            <w:vAlign w:val="top"/>
          </w:tcPr>
          <w:p w14:paraId="40CB4126">
            <w:pPr>
              <w:pStyle w:val="6"/>
              <w:spacing w:before="227" w:line="229" w:lineRule="auto"/>
              <w:ind w:left="207"/>
            </w:pPr>
            <w:r>
              <w:rPr>
                <w:b/>
                <w:bCs/>
                <w:spacing w:val="5"/>
              </w:rPr>
              <w:t>污染物</w:t>
            </w:r>
          </w:p>
        </w:tc>
        <w:tc>
          <w:tcPr>
            <w:tcW w:w="1087" w:type="dxa"/>
            <w:vAlign w:val="top"/>
          </w:tcPr>
          <w:p w14:paraId="54D42BD7">
            <w:pPr>
              <w:pStyle w:val="6"/>
              <w:spacing w:before="64" w:line="231" w:lineRule="auto"/>
              <w:ind w:left="334"/>
            </w:pPr>
            <w:r>
              <w:rPr>
                <w:b/>
                <w:bCs/>
                <w:spacing w:val="4"/>
              </w:rPr>
              <w:t>源强</w:t>
            </w:r>
          </w:p>
          <w:p w14:paraId="62A38ABC">
            <w:pPr>
              <w:pStyle w:val="6"/>
              <w:spacing w:before="75" w:line="221" w:lineRule="auto"/>
              <w:ind w:left="148"/>
            </w:pPr>
            <w:r>
              <w:rPr>
                <w:b/>
                <w:bCs/>
              </w:rPr>
              <w:t>（</w:t>
            </w:r>
            <w:r>
              <w:rPr>
                <w:rFonts w:ascii="Times New Roman" w:hAnsi="Times New Roman" w:eastAsia="Times New Roman" w:cs="Times New Roman"/>
                <w:b/>
                <w:bCs/>
              </w:rPr>
              <w:t>kg/h</w:t>
            </w:r>
            <w:r>
              <w:rPr>
                <w:b/>
                <w:bCs/>
              </w:rPr>
              <w:t>）</w:t>
            </w:r>
          </w:p>
        </w:tc>
        <w:tc>
          <w:tcPr>
            <w:tcW w:w="1465" w:type="dxa"/>
            <w:vAlign w:val="top"/>
          </w:tcPr>
          <w:p w14:paraId="0ABEE62B">
            <w:pPr>
              <w:pStyle w:val="6"/>
              <w:spacing w:before="63" w:line="271" w:lineRule="auto"/>
              <w:ind w:left="130" w:right="137" w:firstLine="82"/>
            </w:pPr>
            <w:r>
              <w:rPr>
                <w:b/>
                <w:bCs/>
                <w:spacing w:val="6"/>
              </w:rPr>
              <w:t>最大落地浓</w:t>
            </w:r>
            <w:r>
              <w:t xml:space="preserve"> </w:t>
            </w:r>
            <w:r>
              <w:rPr>
                <w:b/>
                <w:bCs/>
                <w:spacing w:val="-2"/>
              </w:rPr>
              <w:t>度（</w:t>
            </w:r>
            <w:r>
              <w:rPr>
                <w:spacing w:val="-59"/>
              </w:rPr>
              <w:t xml:space="preserve"> </w:t>
            </w:r>
            <w:r>
              <w:rPr>
                <w:rFonts w:ascii="Times New Roman" w:hAnsi="Times New Roman" w:eastAsia="Times New Roman" w:cs="Times New Roman"/>
                <w:b/>
                <w:bCs/>
                <w:spacing w:val="-2"/>
              </w:rPr>
              <w:t>mg/m</w:t>
            </w:r>
            <w:r>
              <w:rPr>
                <w:rFonts w:ascii="Times New Roman" w:hAnsi="Times New Roman" w:eastAsia="Times New Roman" w:cs="Times New Roman"/>
                <w:b/>
                <w:bCs/>
                <w:spacing w:val="-2"/>
                <w:position w:val="6"/>
                <w:sz w:val="13"/>
                <w:szCs w:val="13"/>
              </w:rPr>
              <w:t>3</w:t>
            </w:r>
            <w:r>
              <w:rPr>
                <w:b/>
                <w:bCs/>
                <w:spacing w:val="-2"/>
              </w:rPr>
              <w:t>）</w:t>
            </w:r>
          </w:p>
        </w:tc>
        <w:tc>
          <w:tcPr>
            <w:tcW w:w="1275" w:type="dxa"/>
            <w:vAlign w:val="top"/>
          </w:tcPr>
          <w:p w14:paraId="68A81D25">
            <w:pPr>
              <w:pStyle w:val="6"/>
              <w:spacing w:before="64" w:line="228" w:lineRule="auto"/>
              <w:ind w:left="225"/>
            </w:pPr>
            <w:r>
              <w:rPr>
                <w:b/>
                <w:bCs/>
                <w:spacing w:val="6"/>
              </w:rPr>
              <w:t>标准限值</w:t>
            </w:r>
          </w:p>
          <w:p w14:paraId="270CE6BB">
            <w:pPr>
              <w:pStyle w:val="6"/>
              <w:spacing w:before="78" w:line="221" w:lineRule="auto"/>
              <w:ind w:left="155"/>
            </w:pPr>
            <w:r>
              <w:rPr>
                <w:b/>
                <w:bCs/>
                <w:spacing w:val="2"/>
              </w:rPr>
              <w:t>（</w:t>
            </w:r>
            <w:r>
              <w:rPr>
                <w:rFonts w:ascii="Times New Roman" w:hAnsi="Times New Roman" w:eastAsia="Times New Roman" w:cs="Times New Roman"/>
                <w:b/>
                <w:bCs/>
              </w:rPr>
              <w:t>mg</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6"/>
                <w:sz w:val="13"/>
                <w:szCs w:val="13"/>
              </w:rPr>
              <w:t>3</w:t>
            </w:r>
            <w:r>
              <w:rPr>
                <w:b/>
                <w:bCs/>
                <w:spacing w:val="2"/>
              </w:rPr>
              <w:t>）</w:t>
            </w:r>
          </w:p>
        </w:tc>
        <w:tc>
          <w:tcPr>
            <w:tcW w:w="1418" w:type="dxa"/>
            <w:vAlign w:val="top"/>
          </w:tcPr>
          <w:p w14:paraId="327377AC">
            <w:pPr>
              <w:pStyle w:val="6"/>
              <w:spacing w:before="226" w:line="241" w:lineRule="auto"/>
              <w:ind w:left="139"/>
            </w:pPr>
            <w:r>
              <w:rPr>
                <w:rFonts w:ascii="Times New Roman" w:hAnsi="Times New Roman" w:eastAsia="Times New Roman" w:cs="Times New Roman"/>
                <w:b/>
                <w:bCs/>
              </w:rPr>
              <w:t>Pmax</w:t>
            </w:r>
            <w:r>
              <w:rPr>
                <w:b/>
                <w:bCs/>
                <w:spacing w:val="11"/>
              </w:rPr>
              <w:t>（</w:t>
            </w:r>
            <w:r>
              <w:rPr>
                <w:rFonts w:ascii="Times New Roman" w:hAnsi="Times New Roman" w:eastAsia="Times New Roman" w:cs="Times New Roman"/>
                <w:b/>
                <w:bCs/>
                <w:spacing w:val="11"/>
              </w:rPr>
              <w:t>%</w:t>
            </w:r>
            <w:r>
              <w:rPr>
                <w:b/>
                <w:bCs/>
                <w:spacing w:val="11"/>
              </w:rPr>
              <w:t>）</w:t>
            </w:r>
          </w:p>
        </w:tc>
      </w:tr>
      <w:tr w14:paraId="1855E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711" w:type="dxa"/>
            <w:vMerge w:val="restart"/>
            <w:tcBorders>
              <w:bottom w:val="nil"/>
            </w:tcBorders>
            <w:vAlign w:val="top"/>
          </w:tcPr>
          <w:p w14:paraId="7D13924A">
            <w:pPr>
              <w:pStyle w:val="6"/>
              <w:spacing w:before="228" w:line="229" w:lineRule="auto"/>
              <w:ind w:left="649"/>
            </w:pPr>
            <w:r>
              <w:rPr>
                <w:spacing w:val="4"/>
              </w:rPr>
              <w:t>猪舍</w:t>
            </w:r>
          </w:p>
        </w:tc>
        <w:tc>
          <w:tcPr>
            <w:tcW w:w="955" w:type="dxa"/>
            <w:vMerge w:val="restart"/>
            <w:tcBorders>
              <w:bottom w:val="nil"/>
            </w:tcBorders>
            <w:vAlign w:val="top"/>
          </w:tcPr>
          <w:p w14:paraId="1E8EF918">
            <w:pPr>
              <w:pStyle w:val="6"/>
              <w:spacing w:before="228" w:line="230" w:lineRule="auto"/>
              <w:ind w:left="268"/>
            </w:pPr>
            <w:r>
              <w:rPr>
                <w:spacing w:val="4"/>
              </w:rPr>
              <w:t>面源</w:t>
            </w:r>
          </w:p>
        </w:tc>
        <w:tc>
          <w:tcPr>
            <w:tcW w:w="1039" w:type="dxa"/>
            <w:vAlign w:val="top"/>
          </w:tcPr>
          <w:p w14:paraId="7DF40A2E">
            <w:pPr>
              <w:spacing w:before="99" w:line="229" w:lineRule="auto"/>
              <w:ind w:left="324"/>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NH</w:t>
            </w:r>
            <w:r>
              <w:rPr>
                <w:rFonts w:ascii="Times New Roman" w:hAnsi="Times New Roman" w:eastAsia="Times New Roman" w:cs="Times New Roman"/>
                <w:spacing w:val="7"/>
                <w:sz w:val="13"/>
                <w:szCs w:val="13"/>
              </w:rPr>
              <w:t>3</w:t>
            </w:r>
          </w:p>
        </w:tc>
        <w:tc>
          <w:tcPr>
            <w:tcW w:w="1087" w:type="dxa"/>
            <w:vAlign w:val="top"/>
          </w:tcPr>
          <w:p w14:paraId="63EEB6FC">
            <w:pPr>
              <w:spacing w:before="29"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1465" w:type="dxa"/>
            <w:vAlign w:val="top"/>
          </w:tcPr>
          <w:p w14:paraId="463C7AEB">
            <w:pPr>
              <w:spacing w:before="29" w:line="274"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1.82E-03</w:t>
            </w:r>
          </w:p>
        </w:tc>
        <w:tc>
          <w:tcPr>
            <w:tcW w:w="1275" w:type="dxa"/>
            <w:vAlign w:val="top"/>
          </w:tcPr>
          <w:p w14:paraId="22D6DED1">
            <w:pPr>
              <w:spacing w:before="29" w:line="274"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418" w:type="dxa"/>
            <w:vAlign w:val="top"/>
          </w:tcPr>
          <w:p w14:paraId="30362FAE">
            <w:pPr>
              <w:spacing w:before="29" w:line="274"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0.91</w:t>
            </w:r>
          </w:p>
        </w:tc>
      </w:tr>
      <w:tr w14:paraId="0BEA2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11" w:type="dxa"/>
            <w:vMerge w:val="continue"/>
            <w:tcBorders>
              <w:top w:val="nil"/>
            </w:tcBorders>
            <w:vAlign w:val="top"/>
          </w:tcPr>
          <w:p w14:paraId="5B8B6478">
            <w:pPr>
              <w:rPr>
                <w:rFonts w:ascii="Arial"/>
                <w:sz w:val="21"/>
              </w:rPr>
            </w:pPr>
          </w:p>
        </w:tc>
        <w:tc>
          <w:tcPr>
            <w:tcW w:w="955" w:type="dxa"/>
            <w:vMerge w:val="continue"/>
            <w:tcBorders>
              <w:top w:val="nil"/>
            </w:tcBorders>
            <w:vAlign w:val="top"/>
          </w:tcPr>
          <w:p w14:paraId="2B0E4425">
            <w:pPr>
              <w:rPr>
                <w:rFonts w:ascii="Arial"/>
                <w:sz w:val="21"/>
              </w:rPr>
            </w:pPr>
          </w:p>
        </w:tc>
        <w:tc>
          <w:tcPr>
            <w:tcW w:w="1039" w:type="dxa"/>
            <w:vAlign w:val="top"/>
          </w:tcPr>
          <w:p w14:paraId="4019EABF">
            <w:pPr>
              <w:spacing w:before="97" w:line="232"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H</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4"/>
                <w:sz w:val="20"/>
                <w:szCs w:val="20"/>
              </w:rPr>
              <w:t>S</w:t>
            </w:r>
          </w:p>
        </w:tc>
        <w:tc>
          <w:tcPr>
            <w:tcW w:w="1087" w:type="dxa"/>
            <w:vAlign w:val="top"/>
          </w:tcPr>
          <w:p w14:paraId="65E529E1">
            <w:pPr>
              <w:spacing w:before="31" w:line="274"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w:t>
            </w:r>
          </w:p>
        </w:tc>
        <w:tc>
          <w:tcPr>
            <w:tcW w:w="1465" w:type="dxa"/>
            <w:vAlign w:val="top"/>
          </w:tcPr>
          <w:p w14:paraId="3832DD3D">
            <w:pPr>
              <w:spacing w:before="31" w:line="274"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1.82E-04</w:t>
            </w:r>
          </w:p>
        </w:tc>
        <w:tc>
          <w:tcPr>
            <w:tcW w:w="1275" w:type="dxa"/>
            <w:vAlign w:val="top"/>
          </w:tcPr>
          <w:p w14:paraId="5B2C3752">
            <w:pPr>
              <w:spacing w:before="31"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1418" w:type="dxa"/>
            <w:vAlign w:val="top"/>
          </w:tcPr>
          <w:p w14:paraId="6A215D6D">
            <w:pPr>
              <w:spacing w:before="31" w:line="274" w:lineRule="exact"/>
              <w:ind w:left="5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1.82</w:t>
            </w:r>
          </w:p>
        </w:tc>
      </w:tr>
      <w:tr w14:paraId="596B1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711" w:type="dxa"/>
            <w:vMerge w:val="restart"/>
            <w:tcBorders>
              <w:bottom w:val="nil"/>
            </w:tcBorders>
            <w:vAlign w:val="top"/>
          </w:tcPr>
          <w:p w14:paraId="03370FF1">
            <w:pPr>
              <w:pStyle w:val="6"/>
              <w:spacing w:before="232" w:line="228" w:lineRule="auto"/>
              <w:ind w:left="124"/>
            </w:pPr>
            <w:r>
              <w:rPr>
                <w:spacing w:val="8"/>
              </w:rPr>
              <w:t>有机肥发酵车间</w:t>
            </w:r>
          </w:p>
        </w:tc>
        <w:tc>
          <w:tcPr>
            <w:tcW w:w="955" w:type="dxa"/>
            <w:vMerge w:val="restart"/>
            <w:tcBorders>
              <w:bottom w:val="nil"/>
            </w:tcBorders>
            <w:vAlign w:val="top"/>
          </w:tcPr>
          <w:p w14:paraId="03C9A791">
            <w:pPr>
              <w:pStyle w:val="6"/>
              <w:spacing w:before="233" w:line="230" w:lineRule="auto"/>
              <w:ind w:left="268"/>
            </w:pPr>
            <w:r>
              <w:rPr>
                <w:spacing w:val="4"/>
              </w:rPr>
              <w:t>面源</w:t>
            </w:r>
          </w:p>
        </w:tc>
        <w:tc>
          <w:tcPr>
            <w:tcW w:w="1039" w:type="dxa"/>
            <w:vAlign w:val="top"/>
          </w:tcPr>
          <w:p w14:paraId="02A4D3B9">
            <w:pPr>
              <w:spacing w:before="101" w:line="227" w:lineRule="auto"/>
              <w:ind w:left="324"/>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NH</w:t>
            </w:r>
            <w:r>
              <w:rPr>
                <w:rFonts w:ascii="Times New Roman" w:hAnsi="Times New Roman" w:eastAsia="Times New Roman" w:cs="Times New Roman"/>
                <w:spacing w:val="7"/>
                <w:sz w:val="13"/>
                <w:szCs w:val="13"/>
              </w:rPr>
              <w:t>3</w:t>
            </w:r>
          </w:p>
        </w:tc>
        <w:tc>
          <w:tcPr>
            <w:tcW w:w="1087" w:type="dxa"/>
            <w:vAlign w:val="top"/>
          </w:tcPr>
          <w:p w14:paraId="330F7CF9">
            <w:pPr>
              <w:spacing w:before="32"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0.014</w:t>
            </w:r>
          </w:p>
        </w:tc>
        <w:tc>
          <w:tcPr>
            <w:tcW w:w="1465" w:type="dxa"/>
            <w:vAlign w:val="top"/>
          </w:tcPr>
          <w:p w14:paraId="6247726D">
            <w:pPr>
              <w:spacing w:before="32" w:line="274"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1.94E-03</w:t>
            </w:r>
          </w:p>
        </w:tc>
        <w:tc>
          <w:tcPr>
            <w:tcW w:w="1275" w:type="dxa"/>
            <w:vAlign w:val="top"/>
          </w:tcPr>
          <w:p w14:paraId="258AACE3">
            <w:pPr>
              <w:spacing w:before="32" w:line="274"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1418" w:type="dxa"/>
            <w:vAlign w:val="top"/>
          </w:tcPr>
          <w:p w14:paraId="5E662B77">
            <w:pPr>
              <w:spacing w:before="32" w:line="274"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0.97</w:t>
            </w:r>
          </w:p>
        </w:tc>
      </w:tr>
      <w:tr w14:paraId="5D6B5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711" w:type="dxa"/>
            <w:vMerge w:val="continue"/>
            <w:tcBorders>
              <w:top w:val="nil"/>
            </w:tcBorders>
            <w:vAlign w:val="top"/>
          </w:tcPr>
          <w:p w14:paraId="41D3F7E4">
            <w:pPr>
              <w:rPr>
                <w:rFonts w:ascii="Arial"/>
                <w:sz w:val="21"/>
              </w:rPr>
            </w:pPr>
          </w:p>
        </w:tc>
        <w:tc>
          <w:tcPr>
            <w:tcW w:w="955" w:type="dxa"/>
            <w:vMerge w:val="continue"/>
            <w:tcBorders>
              <w:top w:val="nil"/>
            </w:tcBorders>
            <w:vAlign w:val="top"/>
          </w:tcPr>
          <w:p w14:paraId="162ACBD9">
            <w:pPr>
              <w:rPr>
                <w:rFonts w:ascii="Arial"/>
                <w:sz w:val="21"/>
              </w:rPr>
            </w:pPr>
          </w:p>
        </w:tc>
        <w:tc>
          <w:tcPr>
            <w:tcW w:w="1039" w:type="dxa"/>
            <w:vAlign w:val="top"/>
          </w:tcPr>
          <w:p w14:paraId="30EBEB13">
            <w:pPr>
              <w:spacing w:before="100" w:line="229"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H</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4"/>
                <w:sz w:val="20"/>
                <w:szCs w:val="20"/>
              </w:rPr>
              <w:t>S</w:t>
            </w:r>
          </w:p>
        </w:tc>
        <w:tc>
          <w:tcPr>
            <w:tcW w:w="1087" w:type="dxa"/>
            <w:vAlign w:val="top"/>
          </w:tcPr>
          <w:p w14:paraId="722C4E00">
            <w:pPr>
              <w:spacing w:before="33" w:line="275" w:lineRule="exact"/>
              <w:ind w:left="2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465" w:type="dxa"/>
            <w:vAlign w:val="top"/>
          </w:tcPr>
          <w:p w14:paraId="749C7551">
            <w:pPr>
              <w:spacing w:before="33" w:line="275"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8.33E-04</w:t>
            </w:r>
          </w:p>
        </w:tc>
        <w:tc>
          <w:tcPr>
            <w:tcW w:w="1275" w:type="dxa"/>
            <w:vAlign w:val="top"/>
          </w:tcPr>
          <w:p w14:paraId="3ADFE6CF">
            <w:pPr>
              <w:spacing w:before="33" w:line="275"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1418" w:type="dxa"/>
            <w:vAlign w:val="top"/>
          </w:tcPr>
          <w:p w14:paraId="72B87906">
            <w:pPr>
              <w:spacing w:before="33" w:line="275" w:lineRule="exact"/>
              <w:ind w:left="53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8.33</w:t>
            </w:r>
          </w:p>
        </w:tc>
      </w:tr>
      <w:tr w14:paraId="2FC6D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711" w:type="dxa"/>
            <w:vAlign w:val="top"/>
          </w:tcPr>
          <w:p w14:paraId="537399D1">
            <w:pPr>
              <w:pStyle w:val="6"/>
              <w:spacing w:before="65" w:line="229" w:lineRule="auto"/>
              <w:ind w:left="331"/>
            </w:pPr>
            <w:r>
              <w:rPr>
                <w:spacing w:val="8"/>
              </w:rPr>
              <w:t>饲料加工房</w:t>
            </w:r>
          </w:p>
        </w:tc>
        <w:tc>
          <w:tcPr>
            <w:tcW w:w="955" w:type="dxa"/>
            <w:vAlign w:val="top"/>
          </w:tcPr>
          <w:p w14:paraId="23844679">
            <w:pPr>
              <w:pStyle w:val="6"/>
              <w:spacing w:before="65" w:line="230" w:lineRule="auto"/>
              <w:ind w:left="268"/>
            </w:pPr>
            <w:r>
              <w:rPr>
                <w:spacing w:val="4"/>
              </w:rPr>
              <w:t>面源</w:t>
            </w:r>
          </w:p>
        </w:tc>
        <w:tc>
          <w:tcPr>
            <w:tcW w:w="1039" w:type="dxa"/>
            <w:vAlign w:val="top"/>
          </w:tcPr>
          <w:p w14:paraId="01A158EE">
            <w:pPr>
              <w:spacing w:before="101"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087" w:type="dxa"/>
            <w:vAlign w:val="top"/>
          </w:tcPr>
          <w:p w14:paraId="092B2655">
            <w:pPr>
              <w:spacing w:before="34" w:line="274"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c>
          <w:tcPr>
            <w:tcW w:w="1465" w:type="dxa"/>
            <w:vAlign w:val="top"/>
          </w:tcPr>
          <w:p w14:paraId="4D33EE3E">
            <w:pPr>
              <w:spacing w:before="34" w:line="274"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1.17E-02</w:t>
            </w:r>
          </w:p>
        </w:tc>
        <w:tc>
          <w:tcPr>
            <w:tcW w:w="1275" w:type="dxa"/>
            <w:vAlign w:val="top"/>
          </w:tcPr>
          <w:p w14:paraId="70ECF7E4">
            <w:pPr>
              <w:spacing w:before="34" w:line="274"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0.9</w:t>
            </w:r>
          </w:p>
        </w:tc>
        <w:tc>
          <w:tcPr>
            <w:tcW w:w="1418" w:type="dxa"/>
            <w:vAlign w:val="top"/>
          </w:tcPr>
          <w:p w14:paraId="52356E1B">
            <w:pPr>
              <w:spacing w:before="34" w:line="274" w:lineRule="exact"/>
              <w:ind w:left="5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1.29</w:t>
            </w:r>
          </w:p>
        </w:tc>
      </w:tr>
    </w:tbl>
    <w:p w14:paraId="5FD51FA5">
      <w:pPr>
        <w:spacing w:before="124" w:line="368" w:lineRule="auto"/>
        <w:ind w:left="125" w:right="113" w:firstLine="480"/>
        <w:jc w:val="both"/>
        <w:rPr>
          <w:rFonts w:ascii="宋体" w:hAnsi="宋体" w:eastAsia="宋体" w:cs="宋体"/>
          <w:sz w:val="24"/>
          <w:szCs w:val="24"/>
        </w:rPr>
      </w:pPr>
      <w:r>
        <w:rPr>
          <w:rFonts w:ascii="宋体" w:hAnsi="宋体" w:eastAsia="宋体" w:cs="宋体"/>
          <w:spacing w:val="2"/>
          <w:sz w:val="24"/>
          <w:szCs w:val="24"/>
        </w:rPr>
        <w:t>根据估算模式预测结果可知：项目恶臭废气、饲料加工房粉尘废气正常工况下</w:t>
      </w:r>
      <w:r>
        <w:rPr>
          <w:rFonts w:ascii="宋体" w:hAnsi="宋体" w:eastAsia="宋体" w:cs="宋体"/>
          <w:spacing w:val="12"/>
          <w:sz w:val="24"/>
          <w:szCs w:val="24"/>
        </w:rPr>
        <w:t xml:space="preserve"> </w:t>
      </w:r>
      <w:r>
        <w:rPr>
          <w:rFonts w:ascii="宋体" w:hAnsi="宋体" w:eastAsia="宋体" w:cs="宋体"/>
          <w:sz w:val="24"/>
          <w:szCs w:val="24"/>
        </w:rPr>
        <w:t>排放，</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3</w:t>
      </w:r>
      <w:r>
        <w:rPr>
          <w:rFonts w:ascii="Times New Roman" w:hAnsi="Times New Roman" w:eastAsia="Times New Roman" w:cs="Times New Roman"/>
          <w:spacing w:val="12"/>
          <w:position w:val="-1"/>
          <w:sz w:val="15"/>
          <w:szCs w:val="15"/>
        </w:rPr>
        <w:t xml:space="preserve"> </w:t>
      </w:r>
      <w:r>
        <w:rPr>
          <w:rFonts w:ascii="宋体" w:hAnsi="宋体" w:eastAsia="宋体" w:cs="宋体"/>
          <w:sz w:val="24"/>
          <w:szCs w:val="24"/>
        </w:rPr>
        <w:t>排放浓度最大占标率为</w:t>
      </w:r>
      <w:r>
        <w:rPr>
          <w:rFonts w:ascii="Times New Roman" w:hAnsi="Times New Roman" w:eastAsia="Times New Roman" w:cs="Times New Roman"/>
          <w:sz w:val="24"/>
          <w:szCs w:val="24"/>
        </w:rPr>
        <w:t>0.97%</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H</w:t>
      </w:r>
      <w:r>
        <w:rPr>
          <w:rFonts w:ascii="Times New Roman" w:hAnsi="Times New Roman" w:eastAsia="Times New Roman" w:cs="Times New Roman"/>
          <w:position w:val="-1"/>
          <w:sz w:val="15"/>
          <w:szCs w:val="15"/>
        </w:rPr>
        <w:t>2</w:t>
      </w:r>
      <w:r>
        <w:rPr>
          <w:rFonts w:ascii="Times New Roman" w:hAnsi="Times New Roman" w:eastAsia="Times New Roman" w:cs="Times New Roman"/>
          <w:sz w:val="24"/>
          <w:szCs w:val="24"/>
        </w:rPr>
        <w:t>S</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排放浓度最大占标率为</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8.33%</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TSP</w:t>
      </w:r>
      <w:r>
        <w:rPr>
          <w:rFonts w:ascii="Times New Roman" w:hAnsi="Times New Roman" w:eastAsia="Times New Roman" w:cs="Times New Roman"/>
          <w:sz w:val="24"/>
          <w:szCs w:val="24"/>
        </w:rPr>
        <w:t xml:space="preserve">  </w:t>
      </w:r>
      <w:r>
        <w:rPr>
          <w:rFonts w:ascii="宋体" w:hAnsi="宋体" w:eastAsia="宋体" w:cs="宋体"/>
          <w:spacing w:val="-4"/>
          <w:sz w:val="24"/>
          <w:szCs w:val="24"/>
        </w:rPr>
        <w:t>排放浓度最大占标率为</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1.29%</w:t>
      </w:r>
      <w:r>
        <w:rPr>
          <w:rFonts w:ascii="宋体" w:hAnsi="宋体" w:eastAsia="宋体" w:cs="宋体"/>
          <w:spacing w:val="-4"/>
          <w:sz w:val="24"/>
          <w:szCs w:val="24"/>
        </w:rPr>
        <w:t>，项目评价等级为二级，不进行进一步预测与评价。且</w:t>
      </w:r>
      <w:r>
        <w:rPr>
          <w:rFonts w:ascii="宋体" w:hAnsi="宋体" w:eastAsia="宋体" w:cs="宋体"/>
          <w:sz w:val="24"/>
          <w:szCs w:val="24"/>
        </w:rPr>
        <w:t xml:space="preserve"> </w:t>
      </w:r>
      <w:r>
        <w:rPr>
          <w:rFonts w:ascii="宋体" w:hAnsi="宋体" w:eastAsia="宋体" w:cs="宋体"/>
          <w:spacing w:val="2"/>
          <w:sz w:val="24"/>
          <w:szCs w:val="24"/>
        </w:rPr>
        <w:t>根据评价区的现状监测结果可知，区域大气环境质量较好。因此项目正常工况下排</w:t>
      </w:r>
      <w:r>
        <w:rPr>
          <w:rFonts w:ascii="宋体" w:hAnsi="宋体" w:eastAsia="宋体" w:cs="宋体"/>
          <w:spacing w:val="6"/>
          <w:sz w:val="24"/>
          <w:szCs w:val="24"/>
        </w:rPr>
        <w:t xml:space="preserve"> </w:t>
      </w:r>
      <w:r>
        <w:rPr>
          <w:rFonts w:ascii="宋体" w:hAnsi="宋体" w:eastAsia="宋体" w:cs="宋体"/>
          <w:spacing w:val="-1"/>
          <w:sz w:val="24"/>
          <w:szCs w:val="24"/>
        </w:rPr>
        <w:t>放的大气污染物对大气环境影响较小。</w:t>
      </w:r>
    </w:p>
    <w:p w14:paraId="3383C59B">
      <w:pPr>
        <w:spacing w:before="20" w:line="366" w:lineRule="auto"/>
        <w:ind w:left="126" w:right="49" w:firstLine="480"/>
        <w:jc w:val="both"/>
        <w:rPr>
          <w:rFonts w:ascii="宋体" w:hAnsi="宋体" w:eastAsia="宋体" w:cs="宋体"/>
          <w:sz w:val="24"/>
          <w:szCs w:val="24"/>
        </w:rPr>
      </w:pPr>
      <w:r>
        <w:rPr>
          <w:rFonts w:ascii="宋体" w:hAnsi="宋体" w:eastAsia="宋体" w:cs="宋体"/>
          <w:sz w:val="24"/>
          <w:szCs w:val="24"/>
        </w:rPr>
        <w:t>本项目柴油发电机房使用时间短暂，且使用含硫量低于</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0</w:t>
      </w:r>
      <w:r>
        <w:rPr>
          <w:rFonts w:ascii="Times New Roman" w:hAnsi="Times New Roman" w:eastAsia="Times New Roman" w:cs="Times New Roman"/>
          <w:spacing w:val="-1"/>
          <w:sz w:val="24"/>
          <w:szCs w:val="24"/>
        </w:rPr>
        <w:t>.035%</w:t>
      </w:r>
      <w:r>
        <w:rPr>
          <w:rFonts w:ascii="宋体" w:hAnsi="宋体" w:eastAsia="宋体" w:cs="宋体"/>
          <w:spacing w:val="-1"/>
          <w:sz w:val="24"/>
          <w:szCs w:val="24"/>
        </w:rPr>
        <w:t>的柴油，项目设</w:t>
      </w:r>
      <w:r>
        <w:rPr>
          <w:rFonts w:ascii="宋体" w:hAnsi="宋体" w:eastAsia="宋体" w:cs="宋体"/>
          <w:sz w:val="24"/>
          <w:szCs w:val="24"/>
        </w:rPr>
        <w:t xml:space="preserve"> </w:t>
      </w:r>
      <w:r>
        <w:rPr>
          <w:rFonts w:ascii="宋体" w:hAnsi="宋体" w:eastAsia="宋体" w:cs="宋体"/>
          <w:spacing w:val="-5"/>
          <w:sz w:val="24"/>
          <w:szCs w:val="24"/>
        </w:rPr>
        <w:t>有尾气收集设备，柴油发电机尾气收集后引至高空排放（建</w:t>
      </w:r>
      <w:r>
        <w:rPr>
          <w:rFonts w:ascii="宋体" w:hAnsi="宋体" w:eastAsia="宋体" w:cs="宋体"/>
          <w:spacing w:val="-6"/>
          <w:sz w:val="24"/>
          <w:szCs w:val="24"/>
        </w:rPr>
        <w:t>议排放高度不低于</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15m</w:t>
      </w:r>
      <w:r>
        <w:rPr>
          <w:rFonts w:ascii="宋体" w:hAnsi="宋体" w:eastAsia="宋体" w:cs="宋体"/>
          <w:spacing w:val="-54"/>
          <w:w w:val="85"/>
          <w:sz w:val="24"/>
          <w:szCs w:val="24"/>
        </w:rPr>
        <w:t>），</w:t>
      </w:r>
      <w:r>
        <w:rPr>
          <w:rFonts w:ascii="宋体" w:hAnsi="宋体" w:eastAsia="宋体" w:cs="宋体"/>
          <w:sz w:val="24"/>
          <w:szCs w:val="24"/>
        </w:rPr>
        <w:t xml:space="preserve"> </w:t>
      </w:r>
      <w:r>
        <w:rPr>
          <w:rFonts w:ascii="宋体" w:hAnsi="宋体" w:eastAsia="宋体" w:cs="宋体"/>
          <w:spacing w:val="2"/>
          <w:sz w:val="24"/>
          <w:szCs w:val="24"/>
        </w:rPr>
        <w:t>其污染物浓度能够达到广东省《大气污染物排放限值》（</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44/27-2001</w:t>
      </w:r>
      <w:r>
        <w:rPr>
          <w:rFonts w:ascii="宋体" w:hAnsi="宋体" w:eastAsia="宋体" w:cs="宋体"/>
          <w:spacing w:val="2"/>
          <w:sz w:val="24"/>
          <w:szCs w:val="24"/>
        </w:rPr>
        <w:t>）第二时段</w:t>
      </w:r>
      <w:r>
        <w:rPr>
          <w:rFonts w:ascii="宋体" w:hAnsi="宋体" w:eastAsia="宋体" w:cs="宋体"/>
          <w:sz w:val="24"/>
          <w:szCs w:val="24"/>
        </w:rPr>
        <w:t xml:space="preserve"> 二级标准限值，因此，本项目备用发电机尾</w:t>
      </w:r>
      <w:r>
        <w:rPr>
          <w:rFonts w:ascii="宋体" w:hAnsi="宋体" w:eastAsia="宋体" w:cs="宋体"/>
          <w:spacing w:val="-1"/>
          <w:sz w:val="24"/>
          <w:szCs w:val="24"/>
        </w:rPr>
        <w:t>气对周围环境的影响较小。</w:t>
      </w:r>
    </w:p>
    <w:p w14:paraId="591963CD">
      <w:pPr>
        <w:spacing w:before="87" w:line="219" w:lineRule="auto"/>
        <w:ind w:left="608"/>
        <w:rPr>
          <w:rFonts w:ascii="宋体" w:hAnsi="宋体" w:eastAsia="宋体" w:cs="宋体"/>
          <w:sz w:val="24"/>
          <w:szCs w:val="24"/>
        </w:rPr>
      </w:pPr>
      <w:r>
        <w:rPr>
          <w:rFonts w:ascii="宋体" w:hAnsi="宋体" w:eastAsia="宋体" w:cs="宋体"/>
          <w:spacing w:val="-1"/>
          <w:sz w:val="24"/>
          <w:szCs w:val="24"/>
        </w:rPr>
        <w:t>综上，本项目废气产生的环境影响在可接受范围内。</w:t>
      </w:r>
    </w:p>
    <w:p w14:paraId="1B5C112F">
      <w:pPr>
        <w:spacing w:before="167" w:line="360" w:lineRule="exact"/>
        <w:ind w:left="605"/>
        <w:rPr>
          <w:rFonts w:ascii="宋体" w:hAnsi="宋体" w:eastAsia="宋体" w:cs="宋体"/>
          <w:sz w:val="24"/>
          <w:szCs w:val="24"/>
        </w:rPr>
      </w:pPr>
      <w:r>
        <w:rPr>
          <w:rFonts w:ascii="Times New Roman" w:hAnsi="Times New Roman" w:eastAsia="Times New Roman" w:cs="Times New Roman"/>
          <w:spacing w:val="-2"/>
          <w:position w:val="2"/>
          <w:sz w:val="24"/>
          <w:szCs w:val="24"/>
        </w:rPr>
        <w:t>3</w:t>
      </w:r>
      <w:r>
        <w:rPr>
          <w:rFonts w:ascii="Times New Roman" w:hAnsi="Times New Roman" w:eastAsia="Times New Roman" w:cs="Times New Roman"/>
          <w:spacing w:val="-29"/>
          <w:position w:val="2"/>
          <w:sz w:val="24"/>
          <w:szCs w:val="24"/>
        </w:rPr>
        <w:t xml:space="preserve"> </w:t>
      </w:r>
      <w:r>
        <w:rPr>
          <w:rFonts w:ascii="宋体" w:hAnsi="宋体" w:eastAsia="宋体" w:cs="宋体"/>
          <w:spacing w:val="-2"/>
          <w:position w:val="2"/>
          <w:sz w:val="24"/>
          <w:szCs w:val="24"/>
        </w:rPr>
        <w:t>、大气污染物排放对周边近距离敏感点的影响</w:t>
      </w:r>
    </w:p>
    <w:p w14:paraId="3940B6C6">
      <w:pPr>
        <w:spacing w:before="132" w:line="373" w:lineRule="auto"/>
        <w:ind w:left="126" w:right="110" w:firstLine="480"/>
        <w:rPr>
          <w:rFonts w:ascii="宋体" w:hAnsi="宋体" w:eastAsia="宋体" w:cs="宋体"/>
          <w:sz w:val="24"/>
          <w:szCs w:val="24"/>
        </w:rPr>
      </w:pPr>
      <w:r>
        <w:rPr>
          <w:rFonts w:ascii="宋体" w:hAnsi="宋体" w:eastAsia="宋体" w:cs="宋体"/>
          <w:spacing w:val="4"/>
          <w:sz w:val="24"/>
          <w:szCs w:val="24"/>
        </w:rPr>
        <w:t>本项目周围最近的环境敏感点是项目东北侧</w:t>
      </w:r>
      <w:r>
        <w:rPr>
          <w:rFonts w:ascii="Times New Roman" w:hAnsi="Times New Roman" w:eastAsia="Times New Roman" w:cs="Times New Roman"/>
          <w:spacing w:val="3"/>
          <w:sz w:val="24"/>
          <w:szCs w:val="24"/>
        </w:rPr>
        <w:t xml:space="preserve">292m  </w:t>
      </w:r>
      <w:r>
        <w:rPr>
          <w:rFonts w:ascii="宋体" w:hAnsi="宋体" w:eastAsia="宋体" w:cs="宋体"/>
          <w:spacing w:val="3"/>
          <w:sz w:val="24"/>
          <w:szCs w:val="24"/>
        </w:rPr>
        <w:t>处的龙岗村。项目产生的废</w:t>
      </w:r>
      <w:r>
        <w:rPr>
          <w:rFonts w:ascii="宋体" w:hAnsi="宋体" w:eastAsia="宋体" w:cs="宋体"/>
          <w:sz w:val="24"/>
          <w:szCs w:val="24"/>
        </w:rPr>
        <w:t xml:space="preserve"> 气污染物主要为</w:t>
      </w:r>
      <w:r>
        <w:rPr>
          <w:rFonts w:ascii="宋体" w:hAnsi="宋体" w:eastAsia="宋体" w:cs="宋体"/>
          <w:spacing w:val="-63"/>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3</w:t>
      </w:r>
      <w:r>
        <w:rPr>
          <w:rFonts w:ascii="Times New Roman" w:hAnsi="Times New Roman" w:eastAsia="Times New Roman" w:cs="Times New Roman"/>
          <w:spacing w:val="-8"/>
          <w:position w:val="-1"/>
          <w:sz w:val="15"/>
          <w:szCs w:val="15"/>
        </w:rPr>
        <w:t xml:space="preserve"> </w:t>
      </w:r>
      <w:r>
        <w:rPr>
          <w:rFonts w:ascii="宋体" w:hAnsi="宋体" w:eastAsia="宋体" w:cs="宋体"/>
          <w:sz w:val="24"/>
          <w:szCs w:val="24"/>
        </w:rPr>
        <w:t>、</w:t>
      </w:r>
      <w:r>
        <w:rPr>
          <w:rFonts w:ascii="Times New Roman" w:hAnsi="Times New Roman" w:eastAsia="Times New Roman" w:cs="Times New Roman"/>
          <w:sz w:val="24"/>
          <w:szCs w:val="24"/>
        </w:rPr>
        <w:t>H</w:t>
      </w:r>
      <w:r>
        <w:rPr>
          <w:rFonts w:ascii="Times New Roman" w:hAnsi="Times New Roman" w:eastAsia="Times New Roman" w:cs="Times New Roman"/>
          <w:position w:val="-1"/>
          <w:sz w:val="15"/>
          <w:szCs w:val="15"/>
        </w:rPr>
        <w:t>2</w:t>
      </w:r>
      <w:r>
        <w:rPr>
          <w:rFonts w:ascii="Times New Roman" w:hAnsi="Times New Roman" w:eastAsia="Times New Roman" w:cs="Times New Roman"/>
          <w:sz w:val="24"/>
          <w:szCs w:val="24"/>
        </w:rPr>
        <w:t>S</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TSP</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3</w:t>
      </w:r>
      <w:r>
        <w:rPr>
          <w:rFonts w:ascii="Times New Roman" w:hAnsi="Times New Roman" w:eastAsia="Times New Roman" w:cs="Times New Roman"/>
          <w:spacing w:val="-10"/>
          <w:position w:val="-1"/>
          <w:sz w:val="15"/>
          <w:szCs w:val="15"/>
        </w:rPr>
        <w:t xml:space="preserve"> </w:t>
      </w:r>
      <w:r>
        <w:rPr>
          <w:rFonts w:ascii="宋体" w:hAnsi="宋体" w:eastAsia="宋体" w:cs="宋体"/>
          <w:sz w:val="24"/>
          <w:szCs w:val="24"/>
        </w:rPr>
        <w:t>、</w:t>
      </w:r>
      <w:r>
        <w:rPr>
          <w:rFonts w:ascii="Times New Roman" w:hAnsi="Times New Roman" w:eastAsia="Times New Roman" w:cs="Times New Roman"/>
          <w:sz w:val="24"/>
          <w:szCs w:val="24"/>
        </w:rPr>
        <w:t>H</w:t>
      </w:r>
      <w:r>
        <w:rPr>
          <w:rFonts w:ascii="Times New Roman" w:hAnsi="Times New Roman" w:eastAsia="Times New Roman" w:cs="Times New Roman"/>
          <w:position w:val="-1"/>
          <w:sz w:val="15"/>
          <w:szCs w:val="15"/>
        </w:rPr>
        <w:t>2</w:t>
      </w:r>
      <w:r>
        <w:rPr>
          <w:rFonts w:ascii="Times New Roman" w:hAnsi="Times New Roman" w:eastAsia="Times New Roman" w:cs="Times New Roman"/>
          <w:sz w:val="24"/>
          <w:szCs w:val="24"/>
        </w:rPr>
        <w:t xml:space="preserve">S </w:t>
      </w:r>
      <w:r>
        <w:rPr>
          <w:rFonts w:ascii="宋体" w:hAnsi="宋体" w:eastAsia="宋体" w:cs="宋体"/>
          <w:sz w:val="24"/>
          <w:szCs w:val="24"/>
        </w:rPr>
        <w:t>废气经喷</w:t>
      </w:r>
      <w:r>
        <w:rPr>
          <w:rFonts w:ascii="宋体" w:hAnsi="宋体" w:eastAsia="宋体" w:cs="宋体"/>
          <w:spacing w:val="-1"/>
          <w:sz w:val="24"/>
          <w:szCs w:val="24"/>
        </w:rPr>
        <w:t>洒除臭剂等措施处理后无组</w:t>
      </w:r>
      <w:r>
        <w:rPr>
          <w:rFonts w:ascii="宋体" w:hAnsi="宋体" w:eastAsia="宋体" w:cs="宋体"/>
          <w:sz w:val="24"/>
          <w:szCs w:val="24"/>
        </w:rPr>
        <w:t xml:space="preserve"> </w:t>
      </w:r>
      <w:r>
        <w:rPr>
          <w:rFonts w:ascii="宋体" w:hAnsi="宋体" w:eastAsia="宋体" w:cs="宋体"/>
          <w:spacing w:val="1"/>
          <w:sz w:val="24"/>
          <w:szCs w:val="24"/>
        </w:rPr>
        <w:t>织排放。废气经治理后能够达到《恶臭污染物排放标准</w:t>
      </w:r>
      <w:r>
        <w:rPr>
          <w:rFonts w:ascii="宋体" w:hAnsi="宋体" w:eastAsia="宋体" w:cs="宋体"/>
          <w:sz w:val="24"/>
          <w:szCs w:val="24"/>
        </w:rPr>
        <w:t>》（</w:t>
      </w:r>
      <w:r>
        <w:rPr>
          <w:rFonts w:ascii="Times New Roman" w:hAnsi="Times New Roman" w:eastAsia="Times New Roman" w:cs="Times New Roman"/>
          <w:sz w:val="24"/>
          <w:szCs w:val="24"/>
        </w:rPr>
        <w:t>GB14554-93</w:t>
      </w:r>
      <w:r>
        <w:rPr>
          <w:rFonts w:ascii="宋体" w:hAnsi="宋体" w:eastAsia="宋体" w:cs="宋体"/>
          <w:sz w:val="24"/>
          <w:szCs w:val="24"/>
        </w:rPr>
        <w:t xml:space="preserve">）中的厂界 </w:t>
      </w:r>
      <w:r>
        <w:rPr>
          <w:rFonts w:ascii="宋体" w:hAnsi="宋体" w:eastAsia="宋体" w:cs="宋体"/>
          <w:spacing w:val="-6"/>
          <w:sz w:val="24"/>
          <w:szCs w:val="24"/>
        </w:rPr>
        <w:t>二级标准。饲料加工房</w:t>
      </w:r>
      <w:r>
        <w:rPr>
          <w:rFonts w:ascii="宋体" w:hAnsi="宋体" w:eastAsia="宋体" w:cs="宋体"/>
          <w:spacing w:val="-40"/>
          <w:sz w:val="24"/>
          <w:szCs w:val="24"/>
        </w:rPr>
        <w:t xml:space="preserve"> </w:t>
      </w:r>
      <w:r>
        <w:rPr>
          <w:rFonts w:ascii="Times New Roman" w:hAnsi="Times New Roman" w:eastAsia="Times New Roman" w:cs="Times New Roman"/>
          <w:spacing w:val="-6"/>
          <w:sz w:val="24"/>
          <w:szCs w:val="24"/>
        </w:rPr>
        <w:t xml:space="preserve">TSP </w:t>
      </w:r>
      <w:r>
        <w:rPr>
          <w:rFonts w:ascii="宋体" w:hAnsi="宋体" w:eastAsia="宋体" w:cs="宋体"/>
          <w:spacing w:val="-6"/>
          <w:sz w:val="24"/>
          <w:szCs w:val="24"/>
        </w:rPr>
        <w:t>产生量较少，呈无组织排放，其排放能够达到广东省《大</w:t>
      </w:r>
      <w:r>
        <w:rPr>
          <w:rFonts w:ascii="宋体" w:hAnsi="宋体" w:eastAsia="宋体" w:cs="宋体"/>
          <w:sz w:val="24"/>
          <w:szCs w:val="24"/>
        </w:rPr>
        <w:t xml:space="preserve"> </w:t>
      </w:r>
      <w:r>
        <w:rPr>
          <w:rFonts w:ascii="宋体" w:hAnsi="宋体" w:eastAsia="宋体" w:cs="宋体"/>
          <w:spacing w:val="2"/>
          <w:sz w:val="24"/>
          <w:szCs w:val="24"/>
        </w:rPr>
        <w:t>气污染物排放限值》（</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44/27-2001</w:t>
      </w:r>
      <w:r>
        <w:rPr>
          <w:rFonts w:ascii="宋体" w:hAnsi="宋体" w:eastAsia="宋体" w:cs="宋体"/>
          <w:spacing w:val="2"/>
          <w:sz w:val="24"/>
          <w:szCs w:val="24"/>
        </w:rPr>
        <w:t>）第二时段无组织排放周界外浓度最高</w:t>
      </w:r>
      <w:r>
        <w:rPr>
          <w:rFonts w:ascii="宋体" w:hAnsi="宋体" w:eastAsia="宋体" w:cs="宋体"/>
          <w:spacing w:val="1"/>
          <w:sz w:val="24"/>
          <w:szCs w:val="24"/>
        </w:rPr>
        <w:t>点监控</w:t>
      </w:r>
      <w:r>
        <w:rPr>
          <w:rFonts w:ascii="宋体" w:hAnsi="宋体" w:eastAsia="宋体" w:cs="宋体"/>
          <w:sz w:val="24"/>
          <w:szCs w:val="24"/>
        </w:rPr>
        <w:t xml:space="preserve"> </w:t>
      </w:r>
      <w:r>
        <w:rPr>
          <w:rFonts w:ascii="宋体" w:hAnsi="宋体" w:eastAsia="宋体" w:cs="宋体"/>
          <w:spacing w:val="-4"/>
          <w:sz w:val="24"/>
          <w:szCs w:val="24"/>
        </w:rPr>
        <w:t>限值。</w:t>
      </w:r>
    </w:p>
    <w:p w14:paraId="3316B93B">
      <w:pPr>
        <w:spacing w:before="23" w:line="374" w:lineRule="auto"/>
        <w:ind w:left="125" w:right="32" w:firstLine="480"/>
        <w:jc w:val="both"/>
        <w:rPr>
          <w:rFonts w:ascii="宋体" w:hAnsi="宋体" w:eastAsia="宋体" w:cs="宋体"/>
          <w:sz w:val="24"/>
          <w:szCs w:val="24"/>
        </w:rPr>
      </w:pPr>
      <w:r>
        <w:rPr>
          <w:rFonts w:ascii="宋体" w:hAnsi="宋体" w:eastAsia="宋体" w:cs="宋体"/>
          <w:spacing w:val="1"/>
          <w:sz w:val="24"/>
          <w:szCs w:val="24"/>
        </w:rPr>
        <w:t>根据前文预测分析，</w:t>
      </w:r>
      <w:r>
        <w:rPr>
          <w:rFonts w:ascii="Times New Roman" w:hAnsi="Times New Roman" w:eastAsia="Times New Roman" w:cs="Times New Roman"/>
          <w:sz w:val="24"/>
          <w:szCs w:val="24"/>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position w:val="-1"/>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TSP</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在下风向</w:t>
      </w:r>
      <w:r>
        <w:rPr>
          <w:rFonts w:ascii="Times New Roman" w:hAnsi="Times New Roman" w:eastAsia="Times New Roman" w:cs="Times New Roman"/>
          <w:spacing w:val="1"/>
          <w:sz w:val="24"/>
          <w:szCs w:val="24"/>
        </w:rPr>
        <w:t>292m</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处的最大落地浓度分别为</w:t>
      </w:r>
      <w:r>
        <w:rPr>
          <w:rFonts w:ascii="宋体" w:hAnsi="宋体" w:eastAsia="宋体" w:cs="宋体"/>
          <w:sz w:val="24"/>
          <w:szCs w:val="24"/>
        </w:rPr>
        <w:t xml:space="preserve"> </w:t>
      </w:r>
      <w:r>
        <w:rPr>
          <w:rFonts w:ascii="Times New Roman" w:hAnsi="Times New Roman" w:eastAsia="Times New Roman" w:cs="Times New Roman"/>
          <w:spacing w:val="-1"/>
          <w:sz w:val="24"/>
          <w:szCs w:val="24"/>
        </w:rPr>
        <w:t>1.82E-03mg/m</w:t>
      </w:r>
      <w:r>
        <w:rPr>
          <w:rFonts w:ascii="Times New Roman" w:hAnsi="Times New Roman" w:eastAsia="Times New Roman" w:cs="Times New Roman"/>
          <w:spacing w:val="-1"/>
          <w:position w:val="7"/>
          <w:sz w:val="15"/>
          <w:szCs w:val="15"/>
        </w:rPr>
        <w:t>3</w:t>
      </w:r>
      <w:r>
        <w:rPr>
          <w:rFonts w:ascii="宋体" w:hAnsi="宋体" w:eastAsia="宋体" w:cs="宋体"/>
          <w:spacing w:val="-9"/>
          <w:sz w:val="24"/>
          <w:szCs w:val="24"/>
        </w:rPr>
        <w:t>，</w:t>
      </w:r>
      <w:r>
        <w:rPr>
          <w:rFonts w:ascii="Times New Roman" w:hAnsi="Times New Roman" w:eastAsia="Times New Roman" w:cs="Times New Roman"/>
          <w:spacing w:val="-9"/>
          <w:sz w:val="24"/>
          <w:szCs w:val="24"/>
        </w:rPr>
        <w:t>4.47E-05mg/m</w:t>
      </w:r>
      <w:r>
        <w:rPr>
          <w:rFonts w:ascii="Times New Roman" w:hAnsi="Times New Roman" w:eastAsia="Times New Roman" w:cs="Times New Roman"/>
          <w:spacing w:val="10"/>
          <w:position w:val="7"/>
          <w:sz w:val="15"/>
          <w:szCs w:val="15"/>
        </w:rPr>
        <w:t>3</w:t>
      </w:r>
      <w:r>
        <w:rPr>
          <w:rFonts w:ascii="宋体" w:hAnsi="宋体" w:eastAsia="宋体" w:cs="宋体"/>
          <w:spacing w:val="-9"/>
          <w:sz w:val="24"/>
          <w:szCs w:val="24"/>
        </w:rPr>
        <w:t>、</w:t>
      </w:r>
      <w:r>
        <w:rPr>
          <w:rFonts w:ascii="Times New Roman" w:hAnsi="Times New Roman" w:eastAsia="Times New Roman" w:cs="Times New Roman"/>
          <w:spacing w:val="-9"/>
          <w:sz w:val="24"/>
          <w:szCs w:val="24"/>
        </w:rPr>
        <w:t>3.55E-04 mg/m</w:t>
      </w:r>
      <w:r>
        <w:rPr>
          <w:rFonts w:ascii="Times New Roman" w:hAnsi="Times New Roman" w:eastAsia="Times New Roman" w:cs="Times New Roman"/>
          <w:spacing w:val="13"/>
          <w:position w:val="7"/>
          <w:sz w:val="15"/>
          <w:szCs w:val="15"/>
        </w:rPr>
        <w:t>3</w:t>
      </w:r>
      <w:r>
        <w:rPr>
          <w:rFonts w:ascii="宋体" w:hAnsi="宋体" w:eastAsia="宋体" w:cs="宋体"/>
          <w:spacing w:val="-16"/>
          <w:sz w:val="24"/>
          <w:szCs w:val="24"/>
        </w:rPr>
        <w:t>，占标率分别为</w:t>
      </w:r>
      <w:r>
        <w:rPr>
          <w:rFonts w:ascii="宋体" w:hAnsi="宋体" w:eastAsia="宋体" w:cs="宋体"/>
          <w:spacing w:val="-48"/>
          <w:sz w:val="24"/>
          <w:szCs w:val="24"/>
        </w:rPr>
        <w:t xml:space="preserve"> </w:t>
      </w:r>
      <w:r>
        <w:rPr>
          <w:rFonts w:ascii="Times New Roman" w:hAnsi="Times New Roman" w:eastAsia="Times New Roman" w:cs="Times New Roman"/>
          <w:spacing w:val="-16"/>
          <w:sz w:val="24"/>
          <w:szCs w:val="24"/>
        </w:rPr>
        <w:t>0.09%</w:t>
      </w:r>
      <w:r>
        <w:rPr>
          <w:rFonts w:ascii="宋体" w:hAnsi="宋体" w:eastAsia="宋体" w:cs="宋体"/>
          <w:spacing w:val="-16"/>
          <w:sz w:val="24"/>
          <w:szCs w:val="24"/>
        </w:rPr>
        <w:t>，</w:t>
      </w:r>
      <w:r>
        <w:rPr>
          <w:rFonts w:ascii="Times New Roman" w:hAnsi="Times New Roman" w:eastAsia="Times New Roman" w:cs="Times New Roman"/>
          <w:spacing w:val="-16"/>
          <w:sz w:val="24"/>
          <w:szCs w:val="24"/>
        </w:rPr>
        <w:t>0.45%</w:t>
      </w:r>
      <w:r>
        <w:rPr>
          <w:rFonts w:ascii="宋体" w:hAnsi="宋体" w:eastAsia="宋体" w:cs="宋体"/>
          <w:spacing w:val="-16"/>
          <w:sz w:val="24"/>
          <w:szCs w:val="24"/>
        </w:rPr>
        <w:t>、</w:t>
      </w:r>
      <w:r>
        <w:rPr>
          <w:rFonts w:ascii="Times New Roman" w:hAnsi="Times New Roman" w:eastAsia="Times New Roman" w:cs="Times New Roman"/>
          <w:spacing w:val="-16"/>
          <w:sz w:val="24"/>
          <w:szCs w:val="24"/>
        </w:rPr>
        <w:t>0.0</w:t>
      </w:r>
      <w:r>
        <w:rPr>
          <w:rFonts w:ascii="Times New Roman" w:hAnsi="Times New Roman" w:eastAsia="Times New Roman" w:cs="Times New Roman"/>
          <w:spacing w:val="-17"/>
          <w:sz w:val="24"/>
          <w:szCs w:val="24"/>
        </w:rPr>
        <w:t>4%</w:t>
      </w:r>
      <w:r>
        <w:rPr>
          <w:rFonts w:ascii="宋体" w:hAnsi="宋体" w:eastAsia="宋体" w:cs="宋体"/>
          <w:spacing w:val="-17"/>
          <w:sz w:val="24"/>
          <w:szCs w:val="24"/>
        </w:rPr>
        <w:t>，</w:t>
      </w:r>
      <w:r>
        <w:rPr>
          <w:rFonts w:ascii="宋体" w:hAnsi="宋体" w:eastAsia="宋体" w:cs="宋体"/>
          <w:sz w:val="24"/>
          <w:szCs w:val="24"/>
        </w:rPr>
        <w:t xml:space="preserve"> </w:t>
      </w:r>
      <w:r>
        <w:rPr>
          <w:rFonts w:ascii="宋体" w:hAnsi="宋体" w:eastAsia="宋体" w:cs="宋体"/>
          <w:spacing w:val="2"/>
          <w:sz w:val="24"/>
          <w:szCs w:val="24"/>
        </w:rPr>
        <w:t>可见项目废气经过大气的扩散稀释，在最近敏感点处落地浓度已非常小，对敏感点</w:t>
      </w:r>
      <w:r>
        <w:rPr>
          <w:rFonts w:ascii="宋体" w:hAnsi="宋体" w:eastAsia="宋体" w:cs="宋体"/>
          <w:spacing w:val="6"/>
          <w:sz w:val="24"/>
          <w:szCs w:val="24"/>
        </w:rPr>
        <w:t xml:space="preserve"> </w:t>
      </w:r>
      <w:r>
        <w:rPr>
          <w:rFonts w:ascii="宋体" w:hAnsi="宋体" w:eastAsia="宋体" w:cs="宋体"/>
          <w:spacing w:val="-2"/>
          <w:sz w:val="24"/>
          <w:szCs w:val="24"/>
        </w:rPr>
        <w:t>影响很小。</w:t>
      </w:r>
    </w:p>
    <w:p w14:paraId="3DA13FFC">
      <w:pPr>
        <w:spacing w:before="47" w:line="219" w:lineRule="auto"/>
        <w:ind w:left="624"/>
        <w:rPr>
          <w:rFonts w:ascii="宋体" w:hAnsi="宋体" w:eastAsia="宋体" w:cs="宋体"/>
          <w:sz w:val="24"/>
          <w:szCs w:val="24"/>
        </w:rPr>
      </w:pPr>
      <w:r>
        <w:rPr>
          <w:rFonts w:ascii="宋体" w:hAnsi="宋体" w:eastAsia="宋体" w:cs="宋体"/>
          <w:spacing w:val="-1"/>
          <w:sz w:val="24"/>
          <w:szCs w:val="24"/>
        </w:rPr>
        <w:t>因此，本项目的投产、运营对周围环境敏感点</w:t>
      </w:r>
      <w:r>
        <w:rPr>
          <w:rFonts w:ascii="宋体" w:hAnsi="宋体" w:eastAsia="宋体" w:cs="宋体"/>
          <w:spacing w:val="-2"/>
          <w:sz w:val="24"/>
          <w:szCs w:val="24"/>
        </w:rPr>
        <w:t>影响很小。</w:t>
      </w:r>
    </w:p>
    <w:p w14:paraId="116DFAAA">
      <w:pPr>
        <w:spacing w:line="219" w:lineRule="auto"/>
        <w:rPr>
          <w:rFonts w:ascii="宋体" w:hAnsi="宋体" w:eastAsia="宋体" w:cs="宋体"/>
          <w:sz w:val="24"/>
          <w:szCs w:val="24"/>
        </w:rPr>
        <w:sectPr>
          <w:footerReference r:id="rId139" w:type="default"/>
          <w:pgSz w:w="11906" w:h="16839"/>
          <w:pgMar w:top="400" w:right="1472" w:bottom="1485" w:left="1472" w:header="0" w:footer="1249" w:gutter="0"/>
          <w:cols w:space="720" w:num="1"/>
        </w:sectPr>
      </w:pPr>
    </w:p>
    <w:p w14:paraId="04ED5520">
      <w:pPr>
        <w:pStyle w:val="2"/>
        <w:spacing w:line="255" w:lineRule="auto"/>
      </w:pPr>
    </w:p>
    <w:p w14:paraId="5B669D7B">
      <w:pPr>
        <w:pStyle w:val="2"/>
        <w:spacing w:line="255" w:lineRule="auto"/>
      </w:pPr>
    </w:p>
    <w:p w14:paraId="289ECF2D">
      <w:pPr>
        <w:pStyle w:val="2"/>
        <w:spacing w:line="256" w:lineRule="auto"/>
      </w:pPr>
    </w:p>
    <w:p w14:paraId="32061682">
      <w:pPr>
        <w:pStyle w:val="2"/>
        <w:spacing w:line="256" w:lineRule="auto"/>
      </w:pPr>
    </w:p>
    <w:p w14:paraId="4E90B109">
      <w:pPr>
        <w:spacing w:before="78" w:line="360" w:lineRule="exact"/>
        <w:ind w:left="630"/>
        <w:rPr>
          <w:rFonts w:ascii="宋体" w:hAnsi="宋体" w:eastAsia="宋体" w:cs="宋体"/>
          <w:sz w:val="24"/>
          <w:szCs w:val="24"/>
        </w:rPr>
      </w:pPr>
      <w:r>
        <w:rPr>
          <w:rFonts w:ascii="Times New Roman" w:hAnsi="Times New Roman" w:eastAsia="Times New Roman" w:cs="Times New Roman"/>
          <w:spacing w:val="-3"/>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3"/>
          <w:position w:val="2"/>
          <w:sz w:val="24"/>
          <w:szCs w:val="24"/>
        </w:rPr>
        <w:t>、污染物排放量核算</w:t>
      </w:r>
    </w:p>
    <w:p w14:paraId="23F79DD6">
      <w:pPr>
        <w:spacing w:before="129" w:line="359" w:lineRule="exact"/>
        <w:ind w:left="636"/>
        <w:rPr>
          <w:rFonts w:ascii="宋体" w:hAnsi="宋体" w:eastAsia="宋体" w:cs="宋体"/>
          <w:sz w:val="24"/>
          <w:szCs w:val="24"/>
        </w:rPr>
      </w:pPr>
      <w:r>
        <w:rPr>
          <w:rFonts w:ascii="宋体" w:hAnsi="宋体" w:eastAsia="宋体" w:cs="宋体"/>
          <w:spacing w:val="-1"/>
          <w:position w:val="2"/>
          <w:sz w:val="24"/>
          <w:szCs w:val="24"/>
        </w:rPr>
        <w:t>本项目正常工况下大气污染物排放量核算表详见表</w:t>
      </w:r>
      <w:r>
        <w:rPr>
          <w:rFonts w:ascii="宋体" w:hAnsi="宋体" w:eastAsia="宋体" w:cs="宋体"/>
          <w:spacing w:val="-48"/>
          <w:position w:val="2"/>
          <w:sz w:val="24"/>
          <w:szCs w:val="24"/>
        </w:rPr>
        <w:t xml:space="preserve"> </w:t>
      </w:r>
      <w:r>
        <w:rPr>
          <w:rFonts w:ascii="Times New Roman" w:hAnsi="Times New Roman" w:eastAsia="Times New Roman" w:cs="Times New Roman"/>
          <w:spacing w:val="-1"/>
          <w:position w:val="2"/>
          <w:sz w:val="24"/>
          <w:szCs w:val="24"/>
        </w:rPr>
        <w:t>5.2-14~</w:t>
      </w:r>
      <w:r>
        <w:rPr>
          <w:rFonts w:ascii="宋体" w:hAnsi="宋体" w:eastAsia="宋体" w:cs="宋体"/>
          <w:spacing w:val="-1"/>
          <w:position w:val="2"/>
          <w:sz w:val="24"/>
          <w:szCs w:val="24"/>
        </w:rPr>
        <w:t>表</w:t>
      </w:r>
      <w:r>
        <w:rPr>
          <w:rFonts w:ascii="宋体" w:hAnsi="宋体" w:eastAsia="宋体" w:cs="宋体"/>
          <w:spacing w:val="-49"/>
          <w:position w:val="2"/>
          <w:sz w:val="24"/>
          <w:szCs w:val="24"/>
        </w:rPr>
        <w:t xml:space="preserve"> </w:t>
      </w:r>
      <w:r>
        <w:rPr>
          <w:rFonts w:ascii="Times New Roman" w:hAnsi="Times New Roman" w:eastAsia="Times New Roman" w:cs="Times New Roman"/>
          <w:spacing w:val="-1"/>
          <w:position w:val="2"/>
          <w:sz w:val="24"/>
          <w:szCs w:val="24"/>
        </w:rPr>
        <w:t>5.2-16</w:t>
      </w:r>
      <w:r>
        <w:rPr>
          <w:rFonts w:ascii="宋体" w:hAnsi="宋体" w:eastAsia="宋体" w:cs="宋体"/>
          <w:spacing w:val="-1"/>
          <w:position w:val="2"/>
          <w:sz w:val="24"/>
          <w:szCs w:val="24"/>
        </w:rPr>
        <w:t>。</w:t>
      </w:r>
    </w:p>
    <w:p w14:paraId="48075CD1">
      <w:pPr>
        <w:spacing w:before="179" w:line="228" w:lineRule="auto"/>
        <w:ind w:left="2489"/>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6"/>
          <w:sz w:val="20"/>
          <w:szCs w:val="20"/>
        </w:rPr>
        <w:t xml:space="preserve"> </w:t>
      </w:r>
      <w:r>
        <w:rPr>
          <w:rFonts w:ascii="Times New Roman" w:hAnsi="Times New Roman" w:eastAsia="Times New Roman" w:cs="Times New Roman"/>
          <w:b/>
          <w:bCs/>
          <w:spacing w:val="6"/>
          <w:sz w:val="20"/>
          <w:szCs w:val="20"/>
        </w:rPr>
        <w:t xml:space="preserve">5.2-14  </w:t>
      </w:r>
      <w:r>
        <w:rPr>
          <w:rFonts w:ascii="宋体" w:hAnsi="宋体" w:eastAsia="宋体" w:cs="宋体"/>
          <w:b/>
          <w:bCs/>
          <w:spacing w:val="6"/>
          <w:sz w:val="20"/>
          <w:szCs w:val="20"/>
        </w:rPr>
        <w:t>本项目大气污染物有组织排放量核算表</w:t>
      </w:r>
    </w:p>
    <w:p w14:paraId="13FA9B2D">
      <w:pPr>
        <w:spacing w:line="113" w:lineRule="exact"/>
      </w:pPr>
    </w:p>
    <w:tbl>
      <w:tblPr>
        <w:tblStyle w:val="5"/>
        <w:tblW w:w="89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3"/>
        <w:gridCol w:w="1182"/>
        <w:gridCol w:w="793"/>
        <w:gridCol w:w="2254"/>
        <w:gridCol w:w="2135"/>
        <w:gridCol w:w="1986"/>
      </w:tblGrid>
      <w:tr w14:paraId="406D3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603" w:type="dxa"/>
            <w:vAlign w:val="top"/>
          </w:tcPr>
          <w:p w14:paraId="4DE73F8D">
            <w:pPr>
              <w:pStyle w:val="6"/>
              <w:spacing w:before="225" w:line="230" w:lineRule="auto"/>
              <w:ind w:left="207"/>
            </w:pPr>
            <w:r>
              <w:rPr>
                <w:b/>
                <w:bCs/>
                <w:spacing w:val="-3"/>
              </w:rPr>
              <w:t>号</w:t>
            </w:r>
          </w:p>
        </w:tc>
        <w:tc>
          <w:tcPr>
            <w:tcW w:w="1182" w:type="dxa"/>
            <w:vAlign w:val="top"/>
          </w:tcPr>
          <w:p w14:paraId="6C9DBF51">
            <w:pPr>
              <w:pStyle w:val="6"/>
              <w:spacing w:before="64" w:line="228" w:lineRule="auto"/>
              <w:ind w:left="175"/>
            </w:pPr>
            <w:r>
              <w:rPr>
                <w:b/>
                <w:bCs/>
                <w:spacing w:val="6"/>
              </w:rPr>
              <w:t>排放口编</w:t>
            </w:r>
          </w:p>
          <w:p w14:paraId="36BACFC5">
            <w:pPr>
              <w:pStyle w:val="6"/>
              <w:spacing w:before="76" w:line="230" w:lineRule="auto"/>
              <w:ind w:left="494"/>
            </w:pPr>
            <w:r>
              <w:rPr>
                <w:b/>
                <w:bCs/>
                <w:spacing w:val="-3"/>
              </w:rPr>
              <w:t>号</w:t>
            </w:r>
          </w:p>
        </w:tc>
        <w:tc>
          <w:tcPr>
            <w:tcW w:w="793" w:type="dxa"/>
            <w:vAlign w:val="top"/>
          </w:tcPr>
          <w:p w14:paraId="79D67188">
            <w:pPr>
              <w:pStyle w:val="6"/>
              <w:spacing w:before="63" w:line="271" w:lineRule="auto"/>
              <w:ind w:left="295" w:right="184" w:hanging="103"/>
            </w:pPr>
            <w:r>
              <w:rPr>
                <w:b/>
                <w:bCs/>
                <w:spacing w:val="3"/>
              </w:rPr>
              <w:t>污染</w:t>
            </w:r>
            <w:r>
              <w:t xml:space="preserve"> </w:t>
            </w:r>
            <w:r>
              <w:rPr>
                <w:b/>
                <w:bCs/>
                <w:spacing w:val="-2"/>
              </w:rPr>
              <w:t>物</w:t>
            </w:r>
          </w:p>
        </w:tc>
        <w:tc>
          <w:tcPr>
            <w:tcW w:w="2254" w:type="dxa"/>
            <w:vAlign w:val="top"/>
          </w:tcPr>
          <w:p w14:paraId="5C461A67">
            <w:pPr>
              <w:pStyle w:val="6"/>
              <w:spacing w:before="225" w:line="221" w:lineRule="auto"/>
              <w:ind w:right="5"/>
              <w:jc w:val="right"/>
            </w:pPr>
            <w:r>
              <w:rPr>
                <w:b/>
                <w:bCs/>
                <w:spacing w:val="8"/>
              </w:rPr>
              <w:t>核算排放浓度(</w:t>
            </w:r>
            <w:r>
              <w:rPr>
                <w:rFonts w:ascii="Times New Roman" w:hAnsi="Times New Roman" w:eastAsia="Times New Roman" w:cs="Times New Roman"/>
                <w:b/>
                <w:bCs/>
                <w:spacing w:val="8"/>
              </w:rPr>
              <w:t>μg/m</w:t>
            </w:r>
            <w:r>
              <w:rPr>
                <w:rFonts w:ascii="Times New Roman" w:hAnsi="Times New Roman" w:eastAsia="Times New Roman" w:cs="Times New Roman"/>
                <w:b/>
                <w:bCs/>
                <w:spacing w:val="8"/>
                <w:position w:val="6"/>
                <w:sz w:val="13"/>
                <w:szCs w:val="13"/>
              </w:rPr>
              <w:t>3</w:t>
            </w:r>
            <w:r>
              <w:rPr>
                <w:b/>
                <w:bCs/>
                <w:spacing w:val="8"/>
              </w:rPr>
              <w:t>）</w:t>
            </w:r>
          </w:p>
        </w:tc>
        <w:tc>
          <w:tcPr>
            <w:tcW w:w="2135" w:type="dxa"/>
            <w:vAlign w:val="top"/>
          </w:tcPr>
          <w:p w14:paraId="776B4194">
            <w:pPr>
              <w:pStyle w:val="6"/>
              <w:spacing w:before="225" w:line="221" w:lineRule="auto"/>
              <w:ind w:right="7"/>
              <w:jc w:val="right"/>
            </w:pPr>
            <w:r>
              <w:rPr>
                <w:b/>
                <w:bCs/>
              </w:rPr>
              <w:t>核算排放速率（</w:t>
            </w:r>
            <w:r>
              <w:rPr>
                <w:rFonts w:ascii="Times New Roman" w:hAnsi="Times New Roman" w:eastAsia="Times New Roman" w:cs="Times New Roman"/>
                <w:b/>
                <w:bCs/>
              </w:rPr>
              <w:t>kg/h</w:t>
            </w:r>
            <w:r>
              <w:rPr>
                <w:b/>
                <w:bCs/>
              </w:rPr>
              <w:t>）</w:t>
            </w:r>
          </w:p>
        </w:tc>
        <w:tc>
          <w:tcPr>
            <w:tcW w:w="1986" w:type="dxa"/>
            <w:vAlign w:val="top"/>
          </w:tcPr>
          <w:p w14:paraId="4AA9B8A6">
            <w:pPr>
              <w:pStyle w:val="6"/>
              <w:spacing w:before="225" w:line="228" w:lineRule="auto"/>
              <w:ind w:right="10"/>
              <w:jc w:val="right"/>
            </w:pPr>
            <w:r>
              <w:rPr>
                <w:b/>
                <w:bCs/>
              </w:rPr>
              <w:t>核算年排放量（</w:t>
            </w:r>
            <w:r>
              <w:rPr>
                <w:rFonts w:ascii="Times New Roman" w:hAnsi="Times New Roman" w:eastAsia="Times New Roman" w:cs="Times New Roman"/>
                <w:b/>
                <w:bCs/>
              </w:rPr>
              <w:t>t/a</w:t>
            </w:r>
            <w:r>
              <w:rPr>
                <w:b/>
                <w:bCs/>
              </w:rPr>
              <w:t>）</w:t>
            </w:r>
          </w:p>
        </w:tc>
      </w:tr>
      <w:tr w14:paraId="08656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953" w:type="dxa"/>
            <w:gridSpan w:val="6"/>
            <w:vAlign w:val="top"/>
          </w:tcPr>
          <w:p w14:paraId="5101C3E9">
            <w:pPr>
              <w:pStyle w:val="6"/>
              <w:spacing w:before="65" w:line="230" w:lineRule="auto"/>
              <w:ind w:left="4199"/>
            </w:pPr>
            <w:r>
              <w:rPr>
                <w:spacing w:val="7"/>
              </w:rPr>
              <w:t>一般排放口</w:t>
            </w:r>
          </w:p>
        </w:tc>
      </w:tr>
      <w:tr w14:paraId="5867B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3" w:type="dxa"/>
            <w:vMerge w:val="restart"/>
            <w:tcBorders>
              <w:bottom w:val="nil"/>
            </w:tcBorders>
            <w:vAlign w:val="top"/>
          </w:tcPr>
          <w:p w14:paraId="2DFF40D7">
            <w:pPr>
              <w:spacing w:line="244" w:lineRule="auto"/>
              <w:rPr>
                <w:rFonts w:ascii="Arial"/>
                <w:sz w:val="21"/>
              </w:rPr>
            </w:pPr>
          </w:p>
          <w:p w14:paraId="0DF53ED6">
            <w:pPr>
              <w:spacing w:line="245" w:lineRule="auto"/>
              <w:rPr>
                <w:rFonts w:ascii="Arial"/>
                <w:sz w:val="21"/>
              </w:rPr>
            </w:pPr>
          </w:p>
          <w:p w14:paraId="0B3DB68E">
            <w:pPr>
              <w:spacing w:before="57" w:line="275" w:lineRule="exact"/>
              <w:ind w:left="27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82" w:type="dxa"/>
            <w:vMerge w:val="restart"/>
            <w:tcBorders>
              <w:bottom w:val="nil"/>
            </w:tcBorders>
            <w:vAlign w:val="top"/>
          </w:tcPr>
          <w:p w14:paraId="4394E2D6">
            <w:pPr>
              <w:spacing w:line="319" w:lineRule="auto"/>
              <w:rPr>
                <w:rFonts w:ascii="Arial"/>
                <w:sz w:val="21"/>
              </w:rPr>
            </w:pPr>
          </w:p>
          <w:p w14:paraId="2C4E6A0F">
            <w:pPr>
              <w:pStyle w:val="6"/>
              <w:spacing w:before="65" w:line="274" w:lineRule="exact"/>
              <w:ind w:left="125"/>
              <w:rPr>
                <w:rFonts w:ascii="Times New Roman" w:hAnsi="Times New Roman" w:eastAsia="Times New Roman" w:cs="Times New Roman"/>
              </w:rPr>
            </w:pPr>
            <w:r>
              <w:rPr>
                <w:spacing w:val="3"/>
                <w:position w:val="1"/>
              </w:rPr>
              <w:t>排气筒</w:t>
            </w:r>
            <w:r>
              <w:rPr>
                <w:spacing w:val="-37"/>
                <w:position w:val="1"/>
              </w:rPr>
              <w:t xml:space="preserve"> </w:t>
            </w:r>
            <w:r>
              <w:rPr>
                <w:rFonts w:ascii="Times New Roman" w:hAnsi="Times New Roman" w:eastAsia="Times New Roman" w:cs="Times New Roman"/>
                <w:spacing w:val="3"/>
                <w:position w:val="1"/>
              </w:rPr>
              <w:t>G</w:t>
            </w:r>
            <w:r>
              <w:rPr>
                <w:rFonts w:ascii="Times New Roman" w:hAnsi="Times New Roman" w:eastAsia="Times New Roman" w:cs="Times New Roman"/>
                <w:spacing w:val="-25"/>
                <w:position w:val="1"/>
              </w:rPr>
              <w:t xml:space="preserve"> </w:t>
            </w:r>
            <w:r>
              <w:rPr>
                <w:rFonts w:ascii="Times New Roman" w:hAnsi="Times New Roman" w:eastAsia="Times New Roman" w:cs="Times New Roman"/>
                <w:spacing w:val="3"/>
                <w:position w:val="1"/>
              </w:rPr>
              <w:t>1</w:t>
            </w:r>
          </w:p>
        </w:tc>
        <w:tc>
          <w:tcPr>
            <w:tcW w:w="793" w:type="dxa"/>
            <w:vAlign w:val="top"/>
          </w:tcPr>
          <w:p w14:paraId="0F805F21">
            <w:pPr>
              <w:spacing w:before="103" w:line="241" w:lineRule="auto"/>
              <w:ind w:left="239"/>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sz w:val="13"/>
                <w:szCs w:val="13"/>
              </w:rPr>
              <w:t>2</w:t>
            </w:r>
          </w:p>
        </w:tc>
        <w:tc>
          <w:tcPr>
            <w:tcW w:w="2254" w:type="dxa"/>
            <w:vAlign w:val="top"/>
          </w:tcPr>
          <w:p w14:paraId="5977AD55">
            <w:pPr>
              <w:spacing w:line="262" w:lineRule="exact"/>
              <w:ind w:left="10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35</w:t>
            </w:r>
          </w:p>
        </w:tc>
        <w:tc>
          <w:tcPr>
            <w:tcW w:w="2135" w:type="dxa"/>
            <w:vAlign w:val="top"/>
          </w:tcPr>
          <w:p w14:paraId="3C0E1FF3">
            <w:pPr>
              <w:spacing w:before="36" w:line="274" w:lineRule="exact"/>
              <w:ind w:left="8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0.056</w:t>
            </w:r>
          </w:p>
        </w:tc>
        <w:tc>
          <w:tcPr>
            <w:tcW w:w="1986" w:type="dxa"/>
            <w:vAlign w:val="top"/>
          </w:tcPr>
          <w:p w14:paraId="661281DC">
            <w:pPr>
              <w:spacing w:before="19"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0.00056</w:t>
            </w:r>
          </w:p>
        </w:tc>
      </w:tr>
      <w:tr w14:paraId="4A11F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3" w:type="dxa"/>
            <w:vMerge w:val="continue"/>
            <w:tcBorders>
              <w:top w:val="nil"/>
              <w:bottom w:val="nil"/>
            </w:tcBorders>
            <w:vAlign w:val="top"/>
          </w:tcPr>
          <w:p w14:paraId="091C6D0B">
            <w:pPr>
              <w:rPr>
                <w:rFonts w:ascii="Arial"/>
                <w:sz w:val="21"/>
              </w:rPr>
            </w:pPr>
          </w:p>
        </w:tc>
        <w:tc>
          <w:tcPr>
            <w:tcW w:w="1182" w:type="dxa"/>
            <w:vMerge w:val="continue"/>
            <w:tcBorders>
              <w:top w:val="nil"/>
              <w:bottom w:val="nil"/>
            </w:tcBorders>
            <w:vAlign w:val="top"/>
          </w:tcPr>
          <w:p w14:paraId="76DFD685">
            <w:pPr>
              <w:rPr>
                <w:rFonts w:ascii="Arial"/>
                <w:sz w:val="21"/>
              </w:rPr>
            </w:pPr>
          </w:p>
        </w:tc>
        <w:tc>
          <w:tcPr>
            <w:tcW w:w="793" w:type="dxa"/>
            <w:vAlign w:val="top"/>
          </w:tcPr>
          <w:p w14:paraId="45BA8196">
            <w:pPr>
              <w:spacing w:before="104" w:line="202" w:lineRule="auto"/>
              <w:ind w:left="190"/>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2254" w:type="dxa"/>
            <w:vAlign w:val="top"/>
          </w:tcPr>
          <w:p w14:paraId="14D6D18D">
            <w:pPr>
              <w:spacing w:line="263" w:lineRule="exact"/>
              <w:ind w:left="103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83</w:t>
            </w:r>
          </w:p>
        </w:tc>
        <w:tc>
          <w:tcPr>
            <w:tcW w:w="2135" w:type="dxa"/>
            <w:vAlign w:val="top"/>
          </w:tcPr>
          <w:p w14:paraId="52CB7ABF">
            <w:pPr>
              <w:spacing w:before="37" w:line="274" w:lineRule="exact"/>
              <w:ind w:left="8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0.133</w:t>
            </w:r>
          </w:p>
        </w:tc>
        <w:tc>
          <w:tcPr>
            <w:tcW w:w="1986" w:type="dxa"/>
            <w:vAlign w:val="top"/>
          </w:tcPr>
          <w:p w14:paraId="04FFC96F">
            <w:pPr>
              <w:spacing w:before="18"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0.00133</w:t>
            </w:r>
          </w:p>
        </w:tc>
      </w:tr>
      <w:tr w14:paraId="5C11D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03" w:type="dxa"/>
            <w:vMerge w:val="continue"/>
            <w:tcBorders>
              <w:top w:val="nil"/>
            </w:tcBorders>
            <w:vAlign w:val="top"/>
          </w:tcPr>
          <w:p w14:paraId="22AD7A1F">
            <w:pPr>
              <w:rPr>
                <w:rFonts w:ascii="Arial"/>
                <w:sz w:val="21"/>
              </w:rPr>
            </w:pPr>
          </w:p>
        </w:tc>
        <w:tc>
          <w:tcPr>
            <w:tcW w:w="1182" w:type="dxa"/>
            <w:vMerge w:val="continue"/>
            <w:tcBorders>
              <w:top w:val="nil"/>
            </w:tcBorders>
            <w:vAlign w:val="top"/>
          </w:tcPr>
          <w:p w14:paraId="14CFD970">
            <w:pPr>
              <w:rPr>
                <w:rFonts w:ascii="Arial"/>
                <w:sz w:val="21"/>
              </w:rPr>
            </w:pPr>
          </w:p>
        </w:tc>
        <w:tc>
          <w:tcPr>
            <w:tcW w:w="793" w:type="dxa"/>
            <w:vAlign w:val="top"/>
          </w:tcPr>
          <w:p w14:paraId="2B78D9C6">
            <w:pPr>
              <w:pStyle w:val="6"/>
              <w:spacing w:before="69" w:line="230" w:lineRule="auto"/>
              <w:ind w:left="191"/>
            </w:pPr>
            <w:r>
              <w:rPr>
                <w:spacing w:val="4"/>
              </w:rPr>
              <w:t>烟尘</w:t>
            </w:r>
          </w:p>
        </w:tc>
        <w:tc>
          <w:tcPr>
            <w:tcW w:w="2254" w:type="dxa"/>
            <w:vAlign w:val="top"/>
          </w:tcPr>
          <w:p w14:paraId="78EB2020">
            <w:pPr>
              <w:spacing w:before="58" w:line="192" w:lineRule="auto"/>
              <w:ind w:left="10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35" w:type="dxa"/>
            <w:vAlign w:val="top"/>
          </w:tcPr>
          <w:p w14:paraId="74A7D432">
            <w:pPr>
              <w:spacing w:before="39" w:line="274" w:lineRule="exact"/>
              <w:ind w:left="8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0.008</w:t>
            </w:r>
          </w:p>
        </w:tc>
        <w:tc>
          <w:tcPr>
            <w:tcW w:w="1986" w:type="dxa"/>
            <w:vAlign w:val="top"/>
          </w:tcPr>
          <w:p w14:paraId="1A2D86B8">
            <w:pPr>
              <w:spacing w:before="19" w:line="275"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0.00008</w:t>
            </w:r>
          </w:p>
        </w:tc>
      </w:tr>
      <w:tr w14:paraId="722DD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5" w:type="dxa"/>
            <w:gridSpan w:val="2"/>
            <w:vMerge w:val="restart"/>
            <w:tcBorders>
              <w:bottom w:val="nil"/>
            </w:tcBorders>
            <w:vAlign w:val="top"/>
          </w:tcPr>
          <w:p w14:paraId="38CC5019">
            <w:pPr>
              <w:pStyle w:val="6"/>
              <w:spacing w:before="245" w:line="230" w:lineRule="auto"/>
              <w:ind w:left="167"/>
            </w:pPr>
            <w:r>
              <w:rPr>
                <w:spacing w:val="8"/>
              </w:rPr>
              <w:t>一般排放口合计</w:t>
            </w:r>
          </w:p>
        </w:tc>
        <w:tc>
          <w:tcPr>
            <w:tcW w:w="5182" w:type="dxa"/>
            <w:gridSpan w:val="3"/>
            <w:vAlign w:val="top"/>
          </w:tcPr>
          <w:p w14:paraId="56274D52">
            <w:pPr>
              <w:spacing w:before="105" w:line="239" w:lineRule="auto"/>
              <w:ind w:left="2435"/>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sz w:val="13"/>
                <w:szCs w:val="13"/>
              </w:rPr>
              <w:t>2</w:t>
            </w:r>
          </w:p>
        </w:tc>
        <w:tc>
          <w:tcPr>
            <w:tcW w:w="1986" w:type="dxa"/>
            <w:vAlign w:val="top"/>
          </w:tcPr>
          <w:p w14:paraId="1AF9A04E">
            <w:pPr>
              <w:spacing w:before="20"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0.00056</w:t>
            </w:r>
          </w:p>
        </w:tc>
      </w:tr>
      <w:tr w14:paraId="4857C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5" w:type="dxa"/>
            <w:gridSpan w:val="2"/>
            <w:vMerge w:val="continue"/>
            <w:tcBorders>
              <w:top w:val="nil"/>
            </w:tcBorders>
            <w:vAlign w:val="top"/>
          </w:tcPr>
          <w:p w14:paraId="05B6C2D2">
            <w:pPr>
              <w:rPr>
                <w:rFonts w:ascii="Arial"/>
                <w:sz w:val="21"/>
              </w:rPr>
            </w:pPr>
          </w:p>
        </w:tc>
        <w:tc>
          <w:tcPr>
            <w:tcW w:w="5182" w:type="dxa"/>
            <w:gridSpan w:val="3"/>
            <w:vAlign w:val="top"/>
          </w:tcPr>
          <w:p w14:paraId="014581CE">
            <w:pPr>
              <w:spacing w:before="103" w:line="205" w:lineRule="auto"/>
              <w:ind w:left="2386"/>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986" w:type="dxa"/>
            <w:vAlign w:val="top"/>
          </w:tcPr>
          <w:p w14:paraId="0A4ACE94">
            <w:pPr>
              <w:spacing w:before="20"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0.00133</w:t>
            </w:r>
          </w:p>
        </w:tc>
      </w:tr>
      <w:tr w14:paraId="77D18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785" w:type="dxa"/>
            <w:gridSpan w:val="2"/>
            <w:vAlign w:val="top"/>
          </w:tcPr>
          <w:p w14:paraId="1E74B31C">
            <w:pPr>
              <w:rPr>
                <w:rFonts w:ascii="Arial"/>
                <w:sz w:val="21"/>
              </w:rPr>
            </w:pPr>
          </w:p>
        </w:tc>
        <w:tc>
          <w:tcPr>
            <w:tcW w:w="5182" w:type="dxa"/>
            <w:gridSpan w:val="3"/>
            <w:vAlign w:val="top"/>
          </w:tcPr>
          <w:p w14:paraId="0E6B662C">
            <w:pPr>
              <w:pStyle w:val="6"/>
              <w:spacing w:before="142" w:line="230" w:lineRule="auto"/>
              <w:ind w:left="2387"/>
            </w:pPr>
            <w:r>
              <w:rPr>
                <w:spacing w:val="4"/>
              </w:rPr>
              <w:t>烟尘</w:t>
            </w:r>
          </w:p>
        </w:tc>
        <w:tc>
          <w:tcPr>
            <w:tcW w:w="1986" w:type="dxa"/>
            <w:vAlign w:val="top"/>
          </w:tcPr>
          <w:p w14:paraId="5F12489A">
            <w:pPr>
              <w:spacing w:before="95"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0.00008</w:t>
            </w:r>
          </w:p>
        </w:tc>
      </w:tr>
      <w:tr w14:paraId="004B3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53" w:type="dxa"/>
            <w:gridSpan w:val="6"/>
            <w:vAlign w:val="top"/>
          </w:tcPr>
          <w:p w14:paraId="297CD4D8">
            <w:pPr>
              <w:pStyle w:val="6"/>
              <w:spacing w:before="69" w:line="229" w:lineRule="auto"/>
              <w:ind w:left="3988"/>
            </w:pPr>
            <w:r>
              <w:rPr>
                <w:spacing w:val="8"/>
              </w:rPr>
              <w:t>有组织排放总计</w:t>
            </w:r>
          </w:p>
        </w:tc>
      </w:tr>
      <w:tr w14:paraId="7E2A6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5" w:type="dxa"/>
            <w:gridSpan w:val="2"/>
            <w:vMerge w:val="restart"/>
            <w:tcBorders>
              <w:bottom w:val="nil"/>
            </w:tcBorders>
            <w:vAlign w:val="top"/>
          </w:tcPr>
          <w:p w14:paraId="38F5A296">
            <w:pPr>
              <w:pStyle w:val="6"/>
              <w:spacing w:before="245" w:line="229" w:lineRule="auto"/>
              <w:ind w:left="164"/>
            </w:pPr>
            <w:r>
              <w:rPr>
                <w:spacing w:val="8"/>
              </w:rPr>
              <w:t>有组织排放总计</w:t>
            </w:r>
          </w:p>
        </w:tc>
        <w:tc>
          <w:tcPr>
            <w:tcW w:w="5182" w:type="dxa"/>
            <w:gridSpan w:val="3"/>
            <w:vAlign w:val="top"/>
          </w:tcPr>
          <w:p w14:paraId="0C5FE3AB">
            <w:pPr>
              <w:spacing w:before="105" w:line="239" w:lineRule="auto"/>
              <w:ind w:left="2435"/>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sz w:val="13"/>
                <w:szCs w:val="13"/>
              </w:rPr>
              <w:t>2</w:t>
            </w:r>
          </w:p>
        </w:tc>
        <w:tc>
          <w:tcPr>
            <w:tcW w:w="1986" w:type="dxa"/>
            <w:vAlign w:val="top"/>
          </w:tcPr>
          <w:p w14:paraId="2A85F5ED">
            <w:pPr>
              <w:spacing w:before="22"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0.00056</w:t>
            </w:r>
          </w:p>
        </w:tc>
      </w:tr>
      <w:tr w14:paraId="547F3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5" w:type="dxa"/>
            <w:gridSpan w:val="2"/>
            <w:vMerge w:val="continue"/>
            <w:tcBorders>
              <w:top w:val="nil"/>
            </w:tcBorders>
            <w:vAlign w:val="top"/>
          </w:tcPr>
          <w:p w14:paraId="42E0395B">
            <w:pPr>
              <w:rPr>
                <w:rFonts w:ascii="Arial"/>
                <w:sz w:val="21"/>
              </w:rPr>
            </w:pPr>
          </w:p>
        </w:tc>
        <w:tc>
          <w:tcPr>
            <w:tcW w:w="5182" w:type="dxa"/>
            <w:gridSpan w:val="3"/>
            <w:vAlign w:val="top"/>
          </w:tcPr>
          <w:p w14:paraId="63A5D6AD">
            <w:pPr>
              <w:spacing w:before="106" w:line="202" w:lineRule="auto"/>
              <w:ind w:left="2386"/>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986" w:type="dxa"/>
            <w:vAlign w:val="top"/>
          </w:tcPr>
          <w:p w14:paraId="56FB198C">
            <w:pPr>
              <w:spacing w:before="20"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0.00133</w:t>
            </w:r>
          </w:p>
        </w:tc>
      </w:tr>
      <w:tr w14:paraId="2497D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785" w:type="dxa"/>
            <w:gridSpan w:val="2"/>
            <w:vAlign w:val="top"/>
          </w:tcPr>
          <w:p w14:paraId="4A9717FC">
            <w:pPr>
              <w:rPr>
                <w:rFonts w:ascii="Arial"/>
                <w:sz w:val="21"/>
              </w:rPr>
            </w:pPr>
          </w:p>
        </w:tc>
        <w:tc>
          <w:tcPr>
            <w:tcW w:w="5182" w:type="dxa"/>
            <w:gridSpan w:val="3"/>
            <w:vAlign w:val="top"/>
          </w:tcPr>
          <w:p w14:paraId="0F07D48C">
            <w:pPr>
              <w:pStyle w:val="6"/>
              <w:spacing w:before="145" w:line="230" w:lineRule="auto"/>
              <w:ind w:left="2387"/>
            </w:pPr>
            <w:r>
              <w:rPr>
                <w:spacing w:val="4"/>
              </w:rPr>
              <w:t>烟尘</w:t>
            </w:r>
          </w:p>
        </w:tc>
        <w:tc>
          <w:tcPr>
            <w:tcW w:w="1986" w:type="dxa"/>
            <w:vAlign w:val="top"/>
          </w:tcPr>
          <w:p w14:paraId="4AFD8005">
            <w:pPr>
              <w:spacing w:before="95"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0.00008</w:t>
            </w:r>
          </w:p>
        </w:tc>
      </w:tr>
    </w:tbl>
    <w:p w14:paraId="68A3B2AF">
      <w:pPr>
        <w:spacing w:before="141" w:line="228" w:lineRule="auto"/>
        <w:ind w:left="2724"/>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3"/>
          <w:sz w:val="20"/>
          <w:szCs w:val="20"/>
        </w:rPr>
        <w:t xml:space="preserve"> </w:t>
      </w:r>
      <w:r>
        <w:rPr>
          <w:rFonts w:ascii="Times New Roman" w:hAnsi="Times New Roman" w:eastAsia="Times New Roman" w:cs="Times New Roman"/>
          <w:b/>
          <w:bCs/>
          <w:spacing w:val="6"/>
          <w:sz w:val="20"/>
          <w:szCs w:val="20"/>
        </w:rPr>
        <w:t xml:space="preserve">5.2-15 </w:t>
      </w:r>
      <w:r>
        <w:rPr>
          <w:rFonts w:ascii="宋体" w:hAnsi="宋体" w:eastAsia="宋体" w:cs="宋体"/>
          <w:b/>
          <w:bCs/>
          <w:spacing w:val="6"/>
          <w:sz w:val="20"/>
          <w:szCs w:val="20"/>
        </w:rPr>
        <w:t>本项目大气污染物无组织排放量核算表</w:t>
      </w:r>
    </w:p>
    <w:p w14:paraId="4D58F129">
      <w:pPr>
        <w:spacing w:line="103" w:lineRule="exact"/>
      </w:pPr>
    </w:p>
    <w:tbl>
      <w:tblPr>
        <w:tblStyle w:val="5"/>
        <w:tblW w:w="8950" w:type="dxa"/>
        <w:tblInd w:w="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
        <w:gridCol w:w="849"/>
        <w:gridCol w:w="983"/>
        <w:gridCol w:w="651"/>
        <w:gridCol w:w="1344"/>
        <w:gridCol w:w="2264"/>
        <w:gridCol w:w="1275"/>
        <w:gridCol w:w="1158"/>
      </w:tblGrid>
      <w:tr w14:paraId="49D5B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26" w:type="dxa"/>
            <w:vMerge w:val="restart"/>
            <w:tcBorders>
              <w:bottom w:val="nil"/>
            </w:tcBorders>
            <w:textDirection w:val="tbRlV"/>
            <w:vAlign w:val="top"/>
          </w:tcPr>
          <w:p w14:paraId="33F3326B">
            <w:pPr>
              <w:pStyle w:val="6"/>
              <w:spacing w:before="103" w:line="218" w:lineRule="auto"/>
              <w:ind w:left="209"/>
            </w:pPr>
            <w:r>
              <w:rPr>
                <w:b/>
                <w:bCs/>
                <w:spacing w:val="7"/>
              </w:rPr>
              <w:t>序</w:t>
            </w:r>
            <w:r>
              <w:rPr>
                <w:spacing w:val="-36"/>
              </w:rPr>
              <w:t xml:space="preserve"> </w:t>
            </w:r>
            <w:r>
              <w:rPr>
                <w:b/>
                <w:bCs/>
                <w:spacing w:val="7"/>
              </w:rPr>
              <w:t>号</w:t>
            </w:r>
          </w:p>
        </w:tc>
        <w:tc>
          <w:tcPr>
            <w:tcW w:w="849" w:type="dxa"/>
            <w:vMerge w:val="restart"/>
            <w:tcBorders>
              <w:bottom w:val="nil"/>
            </w:tcBorders>
            <w:vAlign w:val="top"/>
          </w:tcPr>
          <w:p w14:paraId="35CA2750">
            <w:pPr>
              <w:pStyle w:val="6"/>
              <w:spacing w:before="209" w:line="254" w:lineRule="auto"/>
              <w:ind w:left="220" w:right="107" w:hanging="107"/>
            </w:pPr>
            <w:r>
              <w:rPr>
                <w:b/>
                <w:bCs/>
                <w:spacing w:val="5"/>
              </w:rPr>
              <w:t>排放口</w:t>
            </w:r>
            <w:r>
              <w:t xml:space="preserve"> </w:t>
            </w:r>
            <w:r>
              <w:rPr>
                <w:b/>
                <w:bCs/>
                <w:spacing w:val="3"/>
              </w:rPr>
              <w:t>编号</w:t>
            </w:r>
          </w:p>
        </w:tc>
        <w:tc>
          <w:tcPr>
            <w:tcW w:w="983" w:type="dxa"/>
            <w:vMerge w:val="restart"/>
            <w:tcBorders>
              <w:bottom w:val="nil"/>
            </w:tcBorders>
            <w:vAlign w:val="top"/>
          </w:tcPr>
          <w:p w14:paraId="5B62FD77">
            <w:pPr>
              <w:pStyle w:val="6"/>
              <w:spacing w:before="210" w:line="254" w:lineRule="auto"/>
              <w:ind w:left="388" w:right="173" w:hanging="208"/>
            </w:pPr>
            <w:r>
              <w:rPr>
                <w:b/>
                <w:bCs/>
                <w:spacing w:val="5"/>
              </w:rPr>
              <w:t>产污环</w:t>
            </w:r>
            <w:r>
              <w:t xml:space="preserve"> </w:t>
            </w:r>
            <w:r>
              <w:rPr>
                <w:b/>
                <w:bCs/>
                <w:spacing w:val="-2"/>
              </w:rPr>
              <w:t>节</w:t>
            </w:r>
          </w:p>
        </w:tc>
        <w:tc>
          <w:tcPr>
            <w:tcW w:w="651" w:type="dxa"/>
            <w:vMerge w:val="restart"/>
            <w:tcBorders>
              <w:bottom w:val="nil"/>
            </w:tcBorders>
            <w:vAlign w:val="top"/>
          </w:tcPr>
          <w:p w14:paraId="78F71D2F">
            <w:pPr>
              <w:pStyle w:val="6"/>
              <w:spacing w:before="208" w:line="255" w:lineRule="auto"/>
              <w:ind w:left="224" w:right="114" w:hanging="103"/>
            </w:pPr>
            <w:r>
              <w:rPr>
                <w:b/>
                <w:bCs/>
                <w:spacing w:val="3"/>
              </w:rPr>
              <w:t>污染</w:t>
            </w:r>
            <w:r>
              <w:t xml:space="preserve"> </w:t>
            </w:r>
            <w:r>
              <w:rPr>
                <w:b/>
                <w:bCs/>
                <w:spacing w:val="-2"/>
              </w:rPr>
              <w:t>物</w:t>
            </w:r>
          </w:p>
        </w:tc>
        <w:tc>
          <w:tcPr>
            <w:tcW w:w="1344" w:type="dxa"/>
            <w:vMerge w:val="restart"/>
            <w:tcBorders>
              <w:bottom w:val="nil"/>
            </w:tcBorders>
            <w:vAlign w:val="top"/>
          </w:tcPr>
          <w:p w14:paraId="1B540313">
            <w:pPr>
              <w:pStyle w:val="6"/>
              <w:spacing w:before="209" w:line="229" w:lineRule="auto"/>
              <w:ind w:left="154"/>
            </w:pPr>
            <w:r>
              <w:rPr>
                <w:b/>
                <w:bCs/>
                <w:spacing w:val="6"/>
              </w:rPr>
              <w:t>主要污染防</w:t>
            </w:r>
          </w:p>
          <w:p w14:paraId="21FA0FDF">
            <w:pPr>
              <w:pStyle w:val="6"/>
              <w:spacing w:before="25" w:line="229" w:lineRule="auto"/>
              <w:ind w:left="366"/>
            </w:pPr>
            <w:r>
              <w:rPr>
                <w:b/>
                <w:bCs/>
                <w:spacing w:val="3"/>
              </w:rPr>
              <w:t>治措施</w:t>
            </w:r>
          </w:p>
        </w:tc>
        <w:tc>
          <w:tcPr>
            <w:tcW w:w="3539" w:type="dxa"/>
            <w:gridSpan w:val="2"/>
            <w:vAlign w:val="top"/>
          </w:tcPr>
          <w:p w14:paraId="34274FA5">
            <w:pPr>
              <w:pStyle w:val="6"/>
              <w:spacing w:before="70" w:line="229" w:lineRule="auto"/>
              <w:ind w:left="535"/>
            </w:pPr>
            <w:r>
              <w:rPr>
                <w:b/>
                <w:bCs/>
                <w:spacing w:val="6"/>
              </w:rPr>
              <w:t>国家或地方污染物排放标准</w:t>
            </w:r>
          </w:p>
        </w:tc>
        <w:tc>
          <w:tcPr>
            <w:tcW w:w="1158" w:type="dxa"/>
            <w:vMerge w:val="restart"/>
            <w:tcBorders>
              <w:bottom w:val="nil"/>
            </w:tcBorders>
            <w:vAlign w:val="top"/>
          </w:tcPr>
          <w:p w14:paraId="5B10F51D">
            <w:pPr>
              <w:pStyle w:val="6"/>
              <w:spacing w:before="210" w:line="228" w:lineRule="auto"/>
              <w:ind w:left="166"/>
            </w:pPr>
            <w:r>
              <w:rPr>
                <w:b/>
                <w:bCs/>
                <w:spacing w:val="6"/>
              </w:rPr>
              <w:t>年排放量</w:t>
            </w:r>
          </w:p>
          <w:p w14:paraId="3A97CBEF">
            <w:pPr>
              <w:pStyle w:val="6"/>
              <w:spacing w:before="25" w:line="241" w:lineRule="auto"/>
              <w:ind w:left="269"/>
            </w:pPr>
            <w:r>
              <w:rPr>
                <w:b/>
                <w:bCs/>
                <w:spacing w:val="-1"/>
              </w:rPr>
              <w:t>（</w:t>
            </w:r>
            <w:r>
              <w:rPr>
                <w:rFonts w:ascii="Times New Roman" w:hAnsi="Times New Roman" w:eastAsia="Times New Roman" w:cs="Times New Roman"/>
                <w:b/>
                <w:bCs/>
                <w:spacing w:val="-1"/>
              </w:rPr>
              <w:t>t/a</w:t>
            </w:r>
            <w:r>
              <w:rPr>
                <w:b/>
                <w:bCs/>
                <w:spacing w:val="-1"/>
              </w:rPr>
              <w:t>）</w:t>
            </w:r>
          </w:p>
        </w:tc>
      </w:tr>
      <w:tr w14:paraId="34D0C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26" w:type="dxa"/>
            <w:vMerge w:val="continue"/>
            <w:tcBorders>
              <w:top w:val="nil"/>
            </w:tcBorders>
            <w:textDirection w:val="tbRlV"/>
            <w:vAlign w:val="top"/>
          </w:tcPr>
          <w:p w14:paraId="1ED66D5D">
            <w:pPr>
              <w:rPr>
                <w:rFonts w:ascii="Arial"/>
                <w:sz w:val="21"/>
              </w:rPr>
            </w:pPr>
          </w:p>
        </w:tc>
        <w:tc>
          <w:tcPr>
            <w:tcW w:w="849" w:type="dxa"/>
            <w:vMerge w:val="continue"/>
            <w:tcBorders>
              <w:top w:val="nil"/>
            </w:tcBorders>
            <w:vAlign w:val="top"/>
          </w:tcPr>
          <w:p w14:paraId="664C4490">
            <w:pPr>
              <w:rPr>
                <w:rFonts w:ascii="Arial"/>
                <w:sz w:val="21"/>
              </w:rPr>
            </w:pPr>
          </w:p>
        </w:tc>
        <w:tc>
          <w:tcPr>
            <w:tcW w:w="983" w:type="dxa"/>
            <w:vMerge w:val="continue"/>
            <w:tcBorders>
              <w:top w:val="nil"/>
            </w:tcBorders>
            <w:vAlign w:val="top"/>
          </w:tcPr>
          <w:p w14:paraId="15608D3D">
            <w:pPr>
              <w:rPr>
                <w:rFonts w:ascii="Arial"/>
                <w:sz w:val="21"/>
              </w:rPr>
            </w:pPr>
          </w:p>
        </w:tc>
        <w:tc>
          <w:tcPr>
            <w:tcW w:w="651" w:type="dxa"/>
            <w:vMerge w:val="continue"/>
            <w:tcBorders>
              <w:top w:val="nil"/>
            </w:tcBorders>
            <w:vAlign w:val="top"/>
          </w:tcPr>
          <w:p w14:paraId="1F10B934">
            <w:pPr>
              <w:rPr>
                <w:rFonts w:ascii="Arial"/>
                <w:sz w:val="21"/>
              </w:rPr>
            </w:pPr>
          </w:p>
        </w:tc>
        <w:tc>
          <w:tcPr>
            <w:tcW w:w="1344" w:type="dxa"/>
            <w:vMerge w:val="continue"/>
            <w:tcBorders>
              <w:top w:val="nil"/>
            </w:tcBorders>
            <w:vAlign w:val="top"/>
          </w:tcPr>
          <w:p w14:paraId="77BE9C42">
            <w:pPr>
              <w:rPr>
                <w:rFonts w:ascii="Arial"/>
                <w:sz w:val="21"/>
              </w:rPr>
            </w:pPr>
          </w:p>
        </w:tc>
        <w:tc>
          <w:tcPr>
            <w:tcW w:w="2264" w:type="dxa"/>
            <w:vAlign w:val="top"/>
          </w:tcPr>
          <w:p w14:paraId="65770489">
            <w:pPr>
              <w:pStyle w:val="6"/>
              <w:spacing w:before="167" w:line="229" w:lineRule="auto"/>
              <w:ind w:left="719"/>
            </w:pPr>
            <w:r>
              <w:rPr>
                <w:b/>
                <w:bCs/>
                <w:spacing w:val="6"/>
              </w:rPr>
              <w:t>标准名称</w:t>
            </w:r>
          </w:p>
        </w:tc>
        <w:tc>
          <w:tcPr>
            <w:tcW w:w="1275" w:type="dxa"/>
            <w:vAlign w:val="top"/>
          </w:tcPr>
          <w:p w14:paraId="49742601">
            <w:pPr>
              <w:pStyle w:val="6"/>
              <w:spacing w:before="33" w:line="228" w:lineRule="auto"/>
              <w:ind w:left="223"/>
            </w:pPr>
            <w:r>
              <w:rPr>
                <w:b/>
                <w:bCs/>
                <w:spacing w:val="6"/>
              </w:rPr>
              <w:t>浓度限值</w:t>
            </w:r>
          </w:p>
          <w:p w14:paraId="3E0C2061">
            <w:pPr>
              <w:pStyle w:val="6"/>
              <w:spacing w:before="24" w:line="216" w:lineRule="auto"/>
              <w:ind w:left="283"/>
            </w:pPr>
            <w:r>
              <w:rPr>
                <w:b/>
                <w:bCs/>
                <w:spacing w:val="1"/>
              </w:rPr>
              <w:t>(</w:t>
            </w:r>
            <w:r>
              <w:rPr>
                <w:rFonts w:ascii="Times New Roman" w:hAnsi="Times New Roman" w:eastAsia="Times New Roman" w:cs="Times New Roman"/>
                <w:b/>
                <w:bCs/>
                <w:spacing w:val="1"/>
              </w:rPr>
              <w:t>μg/m</w:t>
            </w:r>
            <w:r>
              <w:rPr>
                <w:rFonts w:ascii="Times New Roman" w:hAnsi="Times New Roman" w:eastAsia="Times New Roman" w:cs="Times New Roman"/>
                <w:b/>
                <w:bCs/>
                <w:spacing w:val="1"/>
                <w:position w:val="6"/>
                <w:sz w:val="13"/>
                <w:szCs w:val="13"/>
              </w:rPr>
              <w:t>3</w:t>
            </w:r>
            <w:r>
              <w:rPr>
                <w:b/>
                <w:bCs/>
                <w:spacing w:val="1"/>
              </w:rPr>
              <w:t>）</w:t>
            </w:r>
          </w:p>
        </w:tc>
        <w:tc>
          <w:tcPr>
            <w:tcW w:w="1158" w:type="dxa"/>
            <w:vMerge w:val="continue"/>
            <w:tcBorders>
              <w:top w:val="nil"/>
            </w:tcBorders>
            <w:vAlign w:val="top"/>
          </w:tcPr>
          <w:p w14:paraId="7EA9FD9D">
            <w:pPr>
              <w:rPr>
                <w:rFonts w:ascii="Arial"/>
                <w:sz w:val="21"/>
              </w:rPr>
            </w:pPr>
          </w:p>
        </w:tc>
      </w:tr>
      <w:tr w14:paraId="78BB1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26" w:type="dxa"/>
            <w:vMerge w:val="restart"/>
            <w:tcBorders>
              <w:bottom w:val="nil"/>
            </w:tcBorders>
            <w:vAlign w:val="top"/>
          </w:tcPr>
          <w:p w14:paraId="444E3E5C">
            <w:pPr>
              <w:spacing w:before="211" w:line="274" w:lineRule="exact"/>
              <w:ind w:left="18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849" w:type="dxa"/>
            <w:vMerge w:val="restart"/>
            <w:tcBorders>
              <w:bottom w:val="nil"/>
            </w:tcBorders>
            <w:vAlign w:val="top"/>
          </w:tcPr>
          <w:p w14:paraId="000AF82C">
            <w:pPr>
              <w:spacing w:before="211" w:line="274" w:lineRule="exact"/>
              <w:ind w:left="3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83" w:type="dxa"/>
            <w:vMerge w:val="restart"/>
            <w:tcBorders>
              <w:bottom w:val="nil"/>
            </w:tcBorders>
            <w:vAlign w:val="top"/>
          </w:tcPr>
          <w:p w14:paraId="62876D8F">
            <w:pPr>
              <w:pStyle w:val="6"/>
              <w:spacing w:before="240" w:line="228" w:lineRule="auto"/>
              <w:ind w:left="287"/>
            </w:pPr>
            <w:r>
              <w:rPr>
                <w:spacing w:val="4"/>
              </w:rPr>
              <w:t>养猪</w:t>
            </w:r>
          </w:p>
        </w:tc>
        <w:tc>
          <w:tcPr>
            <w:tcW w:w="651" w:type="dxa"/>
            <w:vAlign w:val="top"/>
          </w:tcPr>
          <w:p w14:paraId="63528951">
            <w:pPr>
              <w:spacing w:before="105" w:line="238" w:lineRule="auto"/>
              <w:ind w:left="135"/>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344" w:type="dxa"/>
            <w:vMerge w:val="restart"/>
            <w:tcBorders>
              <w:bottom w:val="nil"/>
            </w:tcBorders>
            <w:vAlign w:val="top"/>
          </w:tcPr>
          <w:p w14:paraId="29B15CC4">
            <w:pPr>
              <w:pStyle w:val="6"/>
              <w:spacing w:before="239" w:line="228" w:lineRule="auto"/>
              <w:ind w:left="160"/>
            </w:pPr>
            <w:r>
              <w:rPr>
                <w:spacing w:val="6"/>
              </w:rPr>
              <w:t>喷洒除臭剂</w:t>
            </w:r>
          </w:p>
        </w:tc>
        <w:tc>
          <w:tcPr>
            <w:tcW w:w="2264" w:type="dxa"/>
            <w:vMerge w:val="restart"/>
            <w:tcBorders>
              <w:bottom w:val="nil"/>
            </w:tcBorders>
            <w:vAlign w:val="top"/>
          </w:tcPr>
          <w:p w14:paraId="4D807BB8">
            <w:pPr>
              <w:spacing w:line="293" w:lineRule="auto"/>
              <w:rPr>
                <w:rFonts w:ascii="Arial"/>
                <w:sz w:val="21"/>
              </w:rPr>
            </w:pPr>
          </w:p>
          <w:p w14:paraId="0C32CF79">
            <w:pPr>
              <w:pStyle w:val="6"/>
              <w:spacing w:before="65" w:line="222" w:lineRule="auto"/>
              <w:ind w:left="198"/>
            </w:pPr>
            <w:r>
              <w:rPr>
                <w:spacing w:val="8"/>
              </w:rPr>
              <w:t>《恶臭污染物排放标</w:t>
            </w:r>
          </w:p>
          <w:p w14:paraId="3DC1196E">
            <w:pPr>
              <w:pStyle w:val="6"/>
              <w:spacing w:line="274" w:lineRule="exact"/>
              <w:ind w:left="115"/>
            </w:pPr>
            <w:r>
              <w:rPr>
                <w:spacing w:val="1"/>
                <w:position w:val="1"/>
              </w:rPr>
              <w:t>准》（</w:t>
            </w:r>
            <w:r>
              <w:rPr>
                <w:rFonts w:ascii="Times New Roman" w:hAnsi="Times New Roman" w:eastAsia="Times New Roman" w:cs="Times New Roman"/>
                <w:position w:val="1"/>
              </w:rPr>
              <w:t>GB</w:t>
            </w:r>
            <w:r>
              <w:rPr>
                <w:rFonts w:ascii="Times New Roman" w:hAnsi="Times New Roman" w:eastAsia="Times New Roman" w:cs="Times New Roman"/>
                <w:spacing w:val="1"/>
                <w:position w:val="1"/>
              </w:rPr>
              <w:t>14554-93</w:t>
            </w:r>
            <w:r>
              <w:rPr>
                <w:spacing w:val="1"/>
                <w:position w:val="1"/>
              </w:rPr>
              <w:t>）中</w:t>
            </w:r>
          </w:p>
          <w:p w14:paraId="630B754E">
            <w:pPr>
              <w:pStyle w:val="6"/>
              <w:spacing w:before="30" w:line="229" w:lineRule="auto"/>
              <w:ind w:left="419"/>
            </w:pPr>
            <w:r>
              <w:rPr>
                <w:spacing w:val="6"/>
              </w:rPr>
              <w:t>的厂界二级标准</w:t>
            </w:r>
          </w:p>
        </w:tc>
        <w:tc>
          <w:tcPr>
            <w:tcW w:w="1275" w:type="dxa"/>
            <w:vAlign w:val="top"/>
          </w:tcPr>
          <w:p w14:paraId="3BD3B13E">
            <w:pPr>
              <w:spacing w:before="36" w:line="274" w:lineRule="exact"/>
              <w:ind w:left="4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1500</w:t>
            </w:r>
          </w:p>
        </w:tc>
        <w:tc>
          <w:tcPr>
            <w:tcW w:w="1158" w:type="dxa"/>
            <w:vAlign w:val="top"/>
          </w:tcPr>
          <w:p w14:paraId="3C305DEA">
            <w:pPr>
              <w:spacing w:before="36" w:line="274" w:lineRule="exact"/>
              <w:ind w:left="4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r>
      <w:tr w14:paraId="73F4B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26" w:type="dxa"/>
            <w:vMerge w:val="continue"/>
            <w:tcBorders>
              <w:top w:val="nil"/>
            </w:tcBorders>
            <w:vAlign w:val="top"/>
          </w:tcPr>
          <w:p w14:paraId="7D0E9806">
            <w:pPr>
              <w:rPr>
                <w:rFonts w:ascii="Arial"/>
                <w:sz w:val="21"/>
              </w:rPr>
            </w:pPr>
          </w:p>
        </w:tc>
        <w:tc>
          <w:tcPr>
            <w:tcW w:w="849" w:type="dxa"/>
            <w:vMerge w:val="continue"/>
            <w:tcBorders>
              <w:top w:val="nil"/>
            </w:tcBorders>
            <w:vAlign w:val="top"/>
          </w:tcPr>
          <w:p w14:paraId="042DB4F6">
            <w:pPr>
              <w:rPr>
                <w:rFonts w:ascii="Arial"/>
                <w:sz w:val="21"/>
              </w:rPr>
            </w:pPr>
          </w:p>
        </w:tc>
        <w:tc>
          <w:tcPr>
            <w:tcW w:w="983" w:type="dxa"/>
            <w:vMerge w:val="continue"/>
            <w:tcBorders>
              <w:top w:val="nil"/>
            </w:tcBorders>
            <w:vAlign w:val="top"/>
          </w:tcPr>
          <w:p w14:paraId="2709230D">
            <w:pPr>
              <w:rPr>
                <w:rFonts w:ascii="Arial"/>
                <w:sz w:val="21"/>
              </w:rPr>
            </w:pPr>
          </w:p>
        </w:tc>
        <w:tc>
          <w:tcPr>
            <w:tcW w:w="651" w:type="dxa"/>
            <w:vAlign w:val="top"/>
          </w:tcPr>
          <w:p w14:paraId="3BCFB9B6">
            <w:pPr>
              <w:spacing w:before="102" w:line="232"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position w:val="1"/>
                <w:sz w:val="20"/>
                <w:szCs w:val="20"/>
              </w:rPr>
              <w:t>S</w:t>
            </w:r>
          </w:p>
        </w:tc>
        <w:tc>
          <w:tcPr>
            <w:tcW w:w="1344" w:type="dxa"/>
            <w:vMerge w:val="continue"/>
            <w:tcBorders>
              <w:top w:val="nil"/>
            </w:tcBorders>
            <w:vAlign w:val="top"/>
          </w:tcPr>
          <w:p w14:paraId="6CB0C150">
            <w:pPr>
              <w:rPr>
                <w:rFonts w:ascii="Arial"/>
                <w:sz w:val="21"/>
              </w:rPr>
            </w:pPr>
          </w:p>
        </w:tc>
        <w:tc>
          <w:tcPr>
            <w:tcW w:w="2264" w:type="dxa"/>
            <w:vMerge w:val="continue"/>
            <w:tcBorders>
              <w:top w:val="nil"/>
              <w:bottom w:val="nil"/>
            </w:tcBorders>
            <w:vAlign w:val="top"/>
          </w:tcPr>
          <w:p w14:paraId="2A8500A9">
            <w:pPr>
              <w:rPr>
                <w:rFonts w:ascii="Arial"/>
                <w:sz w:val="21"/>
              </w:rPr>
            </w:pPr>
          </w:p>
        </w:tc>
        <w:tc>
          <w:tcPr>
            <w:tcW w:w="1275" w:type="dxa"/>
            <w:vAlign w:val="top"/>
          </w:tcPr>
          <w:p w14:paraId="6AE0FD46">
            <w:pPr>
              <w:spacing w:before="35" w:line="274" w:lineRule="exact"/>
              <w:ind w:left="54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158" w:type="dxa"/>
            <w:vAlign w:val="top"/>
          </w:tcPr>
          <w:p w14:paraId="7263833F">
            <w:pPr>
              <w:spacing w:before="35"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r>
      <w:tr w14:paraId="3DFE7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26" w:type="dxa"/>
            <w:vMerge w:val="restart"/>
            <w:tcBorders>
              <w:bottom w:val="nil"/>
            </w:tcBorders>
            <w:vAlign w:val="top"/>
          </w:tcPr>
          <w:p w14:paraId="58CA9570">
            <w:pPr>
              <w:spacing w:before="254" w:line="274" w:lineRule="exact"/>
              <w:ind w:left="16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849" w:type="dxa"/>
            <w:vMerge w:val="restart"/>
            <w:tcBorders>
              <w:bottom w:val="nil"/>
            </w:tcBorders>
            <w:vAlign w:val="top"/>
          </w:tcPr>
          <w:p w14:paraId="753AF9E2">
            <w:pPr>
              <w:spacing w:before="254" w:line="274" w:lineRule="exact"/>
              <w:ind w:left="3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83" w:type="dxa"/>
            <w:vMerge w:val="restart"/>
            <w:tcBorders>
              <w:bottom w:val="nil"/>
            </w:tcBorders>
            <w:vAlign w:val="top"/>
          </w:tcPr>
          <w:p w14:paraId="1734D4B4">
            <w:pPr>
              <w:pStyle w:val="6"/>
              <w:spacing w:before="148" w:line="252" w:lineRule="auto"/>
              <w:ind w:left="286" w:right="176" w:hanging="105"/>
            </w:pPr>
            <w:r>
              <w:rPr>
                <w:spacing w:val="6"/>
              </w:rPr>
              <w:t>有机肥</w:t>
            </w:r>
            <w:r>
              <w:t xml:space="preserve"> </w:t>
            </w:r>
            <w:r>
              <w:rPr>
                <w:spacing w:val="4"/>
              </w:rPr>
              <w:t>制造</w:t>
            </w:r>
          </w:p>
        </w:tc>
        <w:tc>
          <w:tcPr>
            <w:tcW w:w="651" w:type="dxa"/>
            <w:vAlign w:val="top"/>
          </w:tcPr>
          <w:p w14:paraId="5B99B7B8">
            <w:pPr>
              <w:spacing w:before="105" w:line="239" w:lineRule="auto"/>
              <w:ind w:left="135"/>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344" w:type="dxa"/>
            <w:vMerge w:val="restart"/>
            <w:tcBorders>
              <w:bottom w:val="nil"/>
            </w:tcBorders>
            <w:vAlign w:val="top"/>
          </w:tcPr>
          <w:p w14:paraId="1F857DB5">
            <w:pPr>
              <w:pStyle w:val="6"/>
              <w:spacing w:before="282" w:line="228" w:lineRule="auto"/>
              <w:ind w:left="160"/>
            </w:pPr>
            <w:r>
              <w:rPr>
                <w:spacing w:val="6"/>
              </w:rPr>
              <w:t>喷洒除臭剂</w:t>
            </w:r>
          </w:p>
        </w:tc>
        <w:tc>
          <w:tcPr>
            <w:tcW w:w="2264" w:type="dxa"/>
            <w:vMerge w:val="continue"/>
            <w:tcBorders>
              <w:top w:val="nil"/>
              <w:bottom w:val="nil"/>
            </w:tcBorders>
            <w:vAlign w:val="top"/>
          </w:tcPr>
          <w:p w14:paraId="1B8F2E49">
            <w:pPr>
              <w:rPr>
                <w:rFonts w:ascii="Arial"/>
                <w:sz w:val="21"/>
              </w:rPr>
            </w:pPr>
          </w:p>
        </w:tc>
        <w:tc>
          <w:tcPr>
            <w:tcW w:w="1275" w:type="dxa"/>
            <w:vAlign w:val="top"/>
          </w:tcPr>
          <w:p w14:paraId="26412D35">
            <w:pPr>
              <w:spacing w:before="35" w:line="275" w:lineRule="exact"/>
              <w:ind w:left="4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1500</w:t>
            </w:r>
          </w:p>
        </w:tc>
        <w:tc>
          <w:tcPr>
            <w:tcW w:w="1158" w:type="dxa"/>
            <w:vAlign w:val="top"/>
          </w:tcPr>
          <w:p w14:paraId="73974357">
            <w:pPr>
              <w:spacing w:before="35" w:line="275"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0.012</w:t>
            </w:r>
          </w:p>
        </w:tc>
      </w:tr>
      <w:tr w14:paraId="2EF8C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426" w:type="dxa"/>
            <w:vMerge w:val="continue"/>
            <w:tcBorders>
              <w:top w:val="nil"/>
            </w:tcBorders>
            <w:vAlign w:val="top"/>
          </w:tcPr>
          <w:p w14:paraId="5D8ADE18">
            <w:pPr>
              <w:rPr>
                <w:rFonts w:ascii="Arial"/>
                <w:sz w:val="21"/>
              </w:rPr>
            </w:pPr>
          </w:p>
        </w:tc>
        <w:tc>
          <w:tcPr>
            <w:tcW w:w="849" w:type="dxa"/>
            <w:vMerge w:val="continue"/>
            <w:tcBorders>
              <w:top w:val="nil"/>
            </w:tcBorders>
            <w:vAlign w:val="top"/>
          </w:tcPr>
          <w:p w14:paraId="387ED231">
            <w:pPr>
              <w:rPr>
                <w:rFonts w:ascii="Arial"/>
                <w:sz w:val="21"/>
              </w:rPr>
            </w:pPr>
          </w:p>
        </w:tc>
        <w:tc>
          <w:tcPr>
            <w:tcW w:w="983" w:type="dxa"/>
            <w:vMerge w:val="continue"/>
            <w:tcBorders>
              <w:top w:val="nil"/>
            </w:tcBorders>
            <w:vAlign w:val="top"/>
          </w:tcPr>
          <w:p w14:paraId="2BD45F91">
            <w:pPr>
              <w:rPr>
                <w:rFonts w:ascii="Arial"/>
                <w:sz w:val="21"/>
              </w:rPr>
            </w:pPr>
          </w:p>
        </w:tc>
        <w:tc>
          <w:tcPr>
            <w:tcW w:w="651" w:type="dxa"/>
            <w:vAlign w:val="top"/>
          </w:tcPr>
          <w:p w14:paraId="5F142318">
            <w:pPr>
              <w:spacing w:before="146" w:line="242"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1344" w:type="dxa"/>
            <w:vMerge w:val="continue"/>
            <w:tcBorders>
              <w:top w:val="nil"/>
            </w:tcBorders>
            <w:vAlign w:val="top"/>
          </w:tcPr>
          <w:p w14:paraId="32CFC278">
            <w:pPr>
              <w:rPr>
                <w:rFonts w:ascii="Arial"/>
                <w:sz w:val="21"/>
              </w:rPr>
            </w:pPr>
          </w:p>
        </w:tc>
        <w:tc>
          <w:tcPr>
            <w:tcW w:w="2264" w:type="dxa"/>
            <w:vMerge w:val="continue"/>
            <w:tcBorders>
              <w:top w:val="nil"/>
            </w:tcBorders>
            <w:vAlign w:val="top"/>
          </w:tcPr>
          <w:p w14:paraId="58F7AC2E">
            <w:pPr>
              <w:rPr>
                <w:rFonts w:ascii="Arial"/>
                <w:sz w:val="21"/>
              </w:rPr>
            </w:pPr>
          </w:p>
        </w:tc>
        <w:tc>
          <w:tcPr>
            <w:tcW w:w="1275" w:type="dxa"/>
            <w:vAlign w:val="top"/>
          </w:tcPr>
          <w:p w14:paraId="1FE1E67D">
            <w:pPr>
              <w:spacing w:before="79" w:line="274" w:lineRule="exact"/>
              <w:ind w:left="54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158" w:type="dxa"/>
            <w:vAlign w:val="top"/>
          </w:tcPr>
          <w:p w14:paraId="339DEDFA">
            <w:pPr>
              <w:spacing w:before="79"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r>
      <w:tr w14:paraId="54F0C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26" w:type="dxa"/>
            <w:vAlign w:val="top"/>
          </w:tcPr>
          <w:p w14:paraId="7895A860">
            <w:pPr>
              <w:spacing w:line="352" w:lineRule="auto"/>
              <w:rPr>
                <w:rFonts w:ascii="Arial"/>
                <w:sz w:val="21"/>
              </w:rPr>
            </w:pPr>
          </w:p>
          <w:p w14:paraId="4893C9D7">
            <w:pPr>
              <w:spacing w:before="57" w:line="275" w:lineRule="exact"/>
              <w:ind w:left="16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849" w:type="dxa"/>
            <w:vAlign w:val="top"/>
          </w:tcPr>
          <w:p w14:paraId="23597306">
            <w:pPr>
              <w:spacing w:line="352" w:lineRule="auto"/>
              <w:rPr>
                <w:rFonts w:ascii="Arial"/>
                <w:sz w:val="21"/>
              </w:rPr>
            </w:pPr>
          </w:p>
          <w:p w14:paraId="3EE76E4C">
            <w:pPr>
              <w:spacing w:before="57" w:line="275" w:lineRule="exact"/>
              <w:ind w:left="3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83" w:type="dxa"/>
            <w:vAlign w:val="top"/>
          </w:tcPr>
          <w:p w14:paraId="494F4464">
            <w:pPr>
              <w:pStyle w:val="6"/>
              <w:spacing w:before="306" w:line="229" w:lineRule="auto"/>
              <w:ind w:left="180"/>
            </w:pPr>
            <w:r>
              <w:rPr>
                <w:spacing w:val="7"/>
              </w:rPr>
              <w:t>饲料加</w:t>
            </w:r>
          </w:p>
          <w:p w14:paraId="3130E83E">
            <w:pPr>
              <w:pStyle w:val="6"/>
              <w:spacing w:before="22" w:line="265" w:lineRule="exact"/>
              <w:ind w:left="392"/>
            </w:pPr>
            <w:r>
              <w:rPr>
                <w:position w:val="1"/>
              </w:rPr>
              <w:t>工</w:t>
            </w:r>
          </w:p>
        </w:tc>
        <w:tc>
          <w:tcPr>
            <w:tcW w:w="651" w:type="dxa"/>
            <w:vAlign w:val="top"/>
          </w:tcPr>
          <w:p w14:paraId="757EAD1A">
            <w:pPr>
              <w:spacing w:line="418" w:lineRule="auto"/>
              <w:rPr>
                <w:rFonts w:ascii="Arial"/>
                <w:sz w:val="21"/>
              </w:rPr>
            </w:pPr>
          </w:p>
          <w:p w14:paraId="1DFBFC7E">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p>
        </w:tc>
        <w:tc>
          <w:tcPr>
            <w:tcW w:w="1344" w:type="dxa"/>
            <w:vAlign w:val="top"/>
          </w:tcPr>
          <w:p w14:paraId="18D83501">
            <w:pPr>
              <w:pStyle w:val="6"/>
              <w:spacing w:before="305" w:line="230" w:lineRule="auto"/>
              <w:ind w:left="152"/>
            </w:pPr>
            <w:r>
              <w:rPr>
                <w:spacing w:val="8"/>
              </w:rPr>
              <w:t>加工设备密</w:t>
            </w:r>
          </w:p>
          <w:p w14:paraId="7582777E">
            <w:pPr>
              <w:pStyle w:val="6"/>
              <w:spacing w:before="22" w:line="232" w:lineRule="auto"/>
              <w:ind w:left="593"/>
            </w:pPr>
            <w:r>
              <w:t>闭</w:t>
            </w:r>
          </w:p>
        </w:tc>
        <w:tc>
          <w:tcPr>
            <w:tcW w:w="2264" w:type="dxa"/>
            <w:vAlign w:val="top"/>
          </w:tcPr>
          <w:p w14:paraId="64C9B586">
            <w:pPr>
              <w:pStyle w:val="6"/>
              <w:spacing w:before="35" w:line="228" w:lineRule="auto"/>
              <w:ind w:left="114"/>
            </w:pPr>
            <w:r>
              <w:rPr>
                <w:spacing w:val="3"/>
              </w:rPr>
              <w:t>广东省《大气污染物排</w:t>
            </w:r>
          </w:p>
          <w:p w14:paraId="7723AFE1">
            <w:pPr>
              <w:pStyle w:val="6"/>
              <w:spacing w:before="23" w:line="222" w:lineRule="auto"/>
              <w:ind w:left="718"/>
            </w:pPr>
            <w:r>
              <w:rPr>
                <w:spacing w:val="5"/>
              </w:rPr>
              <w:t>放限值》</w:t>
            </w:r>
          </w:p>
          <w:p w14:paraId="63B8EDF7">
            <w:pPr>
              <w:pStyle w:val="6"/>
              <w:spacing w:line="274" w:lineRule="exact"/>
              <w:ind w:left="124"/>
            </w:pPr>
            <w:r>
              <w:rPr>
                <w:spacing w:val="2"/>
                <w:position w:val="1"/>
              </w:rPr>
              <w:t>（</w:t>
            </w:r>
            <w:r>
              <w:rPr>
                <w:rFonts w:ascii="Times New Roman" w:hAnsi="Times New Roman" w:eastAsia="Times New Roman" w:cs="Times New Roman"/>
                <w:position w:val="1"/>
              </w:rPr>
              <w:t>DB</w:t>
            </w:r>
            <w:r>
              <w:rPr>
                <w:rFonts w:ascii="Times New Roman" w:hAnsi="Times New Roman" w:eastAsia="Times New Roman" w:cs="Times New Roman"/>
                <w:spacing w:val="2"/>
                <w:position w:val="1"/>
              </w:rPr>
              <w:t>44/27-2001</w:t>
            </w:r>
            <w:r>
              <w:rPr>
                <w:spacing w:val="2"/>
                <w:position w:val="1"/>
              </w:rPr>
              <w:t>）第二</w:t>
            </w:r>
          </w:p>
          <w:p w14:paraId="0752B200">
            <w:pPr>
              <w:pStyle w:val="6"/>
              <w:spacing w:before="30" w:line="214" w:lineRule="auto"/>
              <w:ind w:left="411"/>
            </w:pPr>
            <w:r>
              <w:rPr>
                <w:spacing w:val="7"/>
              </w:rPr>
              <w:t>时段无组织标准</w:t>
            </w:r>
          </w:p>
        </w:tc>
        <w:tc>
          <w:tcPr>
            <w:tcW w:w="1275" w:type="dxa"/>
            <w:vAlign w:val="top"/>
          </w:tcPr>
          <w:p w14:paraId="62F9E62C">
            <w:pPr>
              <w:spacing w:line="352" w:lineRule="auto"/>
              <w:rPr>
                <w:rFonts w:ascii="Arial"/>
                <w:sz w:val="21"/>
              </w:rPr>
            </w:pPr>
          </w:p>
          <w:p w14:paraId="306863BB">
            <w:pPr>
              <w:spacing w:before="57" w:line="275" w:lineRule="exact"/>
              <w:ind w:left="4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1000</w:t>
            </w:r>
          </w:p>
        </w:tc>
        <w:tc>
          <w:tcPr>
            <w:tcW w:w="1158" w:type="dxa"/>
            <w:vAlign w:val="top"/>
          </w:tcPr>
          <w:p w14:paraId="13100F0D">
            <w:pPr>
              <w:spacing w:line="352" w:lineRule="auto"/>
              <w:rPr>
                <w:rFonts w:ascii="Arial"/>
                <w:sz w:val="21"/>
              </w:rPr>
            </w:pPr>
          </w:p>
          <w:p w14:paraId="49CC978B">
            <w:pPr>
              <w:spacing w:before="57" w:line="275"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w:t>
            </w:r>
          </w:p>
        </w:tc>
      </w:tr>
      <w:tr w14:paraId="1176F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50" w:type="dxa"/>
            <w:gridSpan w:val="8"/>
            <w:vAlign w:val="top"/>
          </w:tcPr>
          <w:p w14:paraId="74802A8B">
            <w:pPr>
              <w:pStyle w:val="6"/>
              <w:spacing w:before="69" w:line="229" w:lineRule="auto"/>
              <w:ind w:left="3747"/>
            </w:pPr>
            <w:r>
              <w:rPr>
                <w:spacing w:val="8"/>
              </w:rPr>
              <w:t>无组织排放总计</w:t>
            </w:r>
          </w:p>
        </w:tc>
      </w:tr>
      <w:tr w14:paraId="107C6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909" w:type="dxa"/>
            <w:gridSpan w:val="4"/>
            <w:vMerge w:val="restart"/>
            <w:tcBorders>
              <w:bottom w:val="nil"/>
            </w:tcBorders>
            <w:vAlign w:val="top"/>
          </w:tcPr>
          <w:p w14:paraId="317EB4FC">
            <w:pPr>
              <w:spacing w:line="353" w:lineRule="auto"/>
              <w:rPr>
                <w:rFonts w:ascii="Arial"/>
                <w:sz w:val="21"/>
              </w:rPr>
            </w:pPr>
          </w:p>
          <w:p w14:paraId="0DC47A38">
            <w:pPr>
              <w:pStyle w:val="6"/>
              <w:spacing w:before="65" w:line="229" w:lineRule="auto"/>
              <w:ind w:left="728"/>
            </w:pPr>
            <w:r>
              <w:rPr>
                <w:spacing w:val="8"/>
              </w:rPr>
              <w:t>无组织排放总计</w:t>
            </w:r>
          </w:p>
        </w:tc>
        <w:tc>
          <w:tcPr>
            <w:tcW w:w="4883" w:type="dxa"/>
            <w:gridSpan w:val="3"/>
            <w:vAlign w:val="top"/>
          </w:tcPr>
          <w:p w14:paraId="298CE573">
            <w:pPr>
              <w:spacing w:before="108" w:line="236" w:lineRule="auto"/>
              <w:ind w:left="2251"/>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NH</w:t>
            </w:r>
            <w:r>
              <w:rPr>
                <w:rFonts w:ascii="Times New Roman" w:hAnsi="Times New Roman" w:eastAsia="Times New Roman" w:cs="Times New Roman"/>
                <w:spacing w:val="7"/>
                <w:sz w:val="13"/>
                <w:szCs w:val="13"/>
              </w:rPr>
              <w:t>3</w:t>
            </w:r>
          </w:p>
        </w:tc>
        <w:tc>
          <w:tcPr>
            <w:tcW w:w="1158" w:type="dxa"/>
            <w:vAlign w:val="top"/>
          </w:tcPr>
          <w:p w14:paraId="50E427E9">
            <w:pPr>
              <w:spacing w:before="39"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0.032</w:t>
            </w:r>
          </w:p>
        </w:tc>
      </w:tr>
      <w:tr w14:paraId="6E7FE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909" w:type="dxa"/>
            <w:gridSpan w:val="4"/>
            <w:vMerge w:val="continue"/>
            <w:tcBorders>
              <w:top w:val="nil"/>
              <w:bottom w:val="nil"/>
            </w:tcBorders>
            <w:vAlign w:val="top"/>
          </w:tcPr>
          <w:p w14:paraId="72177B57">
            <w:pPr>
              <w:rPr>
                <w:rFonts w:ascii="Arial"/>
                <w:sz w:val="21"/>
              </w:rPr>
            </w:pPr>
          </w:p>
        </w:tc>
        <w:tc>
          <w:tcPr>
            <w:tcW w:w="4883" w:type="dxa"/>
            <w:gridSpan w:val="3"/>
            <w:vAlign w:val="top"/>
          </w:tcPr>
          <w:p w14:paraId="39E6F4DC">
            <w:pPr>
              <w:spacing w:before="105" w:line="239" w:lineRule="auto"/>
              <w:ind w:left="22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H</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4"/>
                <w:sz w:val="20"/>
                <w:szCs w:val="20"/>
              </w:rPr>
              <w:t>S</w:t>
            </w:r>
          </w:p>
        </w:tc>
        <w:tc>
          <w:tcPr>
            <w:tcW w:w="1158" w:type="dxa"/>
            <w:vAlign w:val="top"/>
          </w:tcPr>
          <w:p w14:paraId="44E55855">
            <w:pPr>
              <w:spacing w:before="39"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w:t>
            </w:r>
          </w:p>
        </w:tc>
      </w:tr>
      <w:tr w14:paraId="31CA1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909" w:type="dxa"/>
            <w:gridSpan w:val="4"/>
            <w:vMerge w:val="continue"/>
            <w:tcBorders>
              <w:top w:val="nil"/>
            </w:tcBorders>
            <w:vAlign w:val="top"/>
          </w:tcPr>
          <w:p w14:paraId="32F7074B">
            <w:pPr>
              <w:rPr>
                <w:rFonts w:ascii="Arial"/>
                <w:sz w:val="21"/>
              </w:rPr>
            </w:pPr>
          </w:p>
        </w:tc>
        <w:tc>
          <w:tcPr>
            <w:tcW w:w="4883" w:type="dxa"/>
            <w:gridSpan w:val="3"/>
            <w:vAlign w:val="top"/>
          </w:tcPr>
          <w:p w14:paraId="2266BEE6">
            <w:pPr>
              <w:spacing w:before="106" w:line="195" w:lineRule="auto"/>
              <w:ind w:left="22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p>
        </w:tc>
        <w:tc>
          <w:tcPr>
            <w:tcW w:w="1158" w:type="dxa"/>
            <w:vAlign w:val="top"/>
          </w:tcPr>
          <w:p w14:paraId="2039DCED">
            <w:pPr>
              <w:spacing w:before="40" w:line="274"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w:t>
            </w:r>
          </w:p>
        </w:tc>
      </w:tr>
    </w:tbl>
    <w:p w14:paraId="524B35BA">
      <w:pPr>
        <w:pStyle w:val="2"/>
        <w:spacing w:line="319" w:lineRule="auto"/>
      </w:pPr>
    </w:p>
    <w:p w14:paraId="2877183F">
      <w:pPr>
        <w:spacing w:before="65" w:line="228" w:lineRule="auto"/>
        <w:ind w:left="3041"/>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 xml:space="preserve">5.2-16 </w:t>
      </w:r>
      <w:r>
        <w:rPr>
          <w:rFonts w:ascii="宋体" w:hAnsi="宋体" w:eastAsia="宋体" w:cs="宋体"/>
          <w:b/>
          <w:bCs/>
          <w:spacing w:val="6"/>
          <w:sz w:val="20"/>
          <w:szCs w:val="20"/>
        </w:rPr>
        <w:t>大气污染物年排放量核算表</w:t>
      </w:r>
    </w:p>
    <w:p w14:paraId="38A6BD66">
      <w:pPr>
        <w:spacing w:line="19" w:lineRule="exact"/>
      </w:pPr>
    </w:p>
    <w:tbl>
      <w:tblPr>
        <w:tblStyle w:val="5"/>
        <w:tblW w:w="8950" w:type="dxa"/>
        <w:tblInd w:w="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0"/>
        <w:gridCol w:w="2975"/>
        <w:gridCol w:w="2995"/>
      </w:tblGrid>
      <w:tr w14:paraId="00D6B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980" w:type="dxa"/>
            <w:vAlign w:val="top"/>
          </w:tcPr>
          <w:p w14:paraId="159ED06E">
            <w:pPr>
              <w:pStyle w:val="6"/>
              <w:spacing w:before="69" w:line="230" w:lineRule="auto"/>
              <w:ind w:left="1284"/>
            </w:pPr>
            <w:r>
              <w:rPr>
                <w:b/>
                <w:bCs/>
                <w:spacing w:val="4"/>
              </w:rPr>
              <w:t>序号</w:t>
            </w:r>
          </w:p>
        </w:tc>
        <w:tc>
          <w:tcPr>
            <w:tcW w:w="2975" w:type="dxa"/>
            <w:vAlign w:val="top"/>
          </w:tcPr>
          <w:p w14:paraId="5E38AE0A">
            <w:pPr>
              <w:pStyle w:val="6"/>
              <w:spacing w:before="69" w:line="229" w:lineRule="auto"/>
              <w:ind w:left="1180"/>
            </w:pPr>
            <w:r>
              <w:rPr>
                <w:b/>
                <w:bCs/>
                <w:spacing w:val="5"/>
              </w:rPr>
              <w:t>污染物</w:t>
            </w:r>
          </w:p>
        </w:tc>
        <w:tc>
          <w:tcPr>
            <w:tcW w:w="2995" w:type="dxa"/>
            <w:vAlign w:val="top"/>
          </w:tcPr>
          <w:p w14:paraId="4F53A6F3">
            <w:pPr>
              <w:pStyle w:val="6"/>
              <w:spacing w:before="69" w:line="228" w:lineRule="auto"/>
              <w:ind w:left="757"/>
            </w:pPr>
            <w:r>
              <w:rPr>
                <w:b/>
                <w:bCs/>
                <w:spacing w:val="4"/>
              </w:rPr>
              <w:t>年排放量（</w:t>
            </w:r>
            <w:r>
              <w:rPr>
                <w:rFonts w:ascii="Times New Roman" w:hAnsi="Times New Roman" w:eastAsia="Times New Roman" w:cs="Times New Roman"/>
                <w:b/>
                <w:bCs/>
                <w:spacing w:val="4"/>
              </w:rPr>
              <w:t>t/a</w:t>
            </w:r>
            <w:r>
              <w:rPr>
                <w:b/>
                <w:bCs/>
                <w:spacing w:val="4"/>
              </w:rPr>
              <w:t>）</w:t>
            </w:r>
          </w:p>
        </w:tc>
      </w:tr>
      <w:tr w14:paraId="66144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80" w:type="dxa"/>
            <w:vAlign w:val="top"/>
          </w:tcPr>
          <w:p w14:paraId="4309CC2C">
            <w:pPr>
              <w:spacing w:before="35" w:line="275" w:lineRule="exact"/>
              <w:ind w:left="146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975" w:type="dxa"/>
            <w:vAlign w:val="top"/>
          </w:tcPr>
          <w:p w14:paraId="4E0BA051">
            <w:pPr>
              <w:spacing w:before="105" w:line="238" w:lineRule="auto"/>
              <w:ind w:left="1297"/>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2995" w:type="dxa"/>
            <w:vAlign w:val="top"/>
          </w:tcPr>
          <w:p w14:paraId="0C2EC30C">
            <w:pPr>
              <w:spacing w:before="35" w:line="275" w:lineRule="exact"/>
              <w:ind w:left="126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0.032</w:t>
            </w:r>
          </w:p>
        </w:tc>
      </w:tr>
      <w:tr w14:paraId="3D60A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80" w:type="dxa"/>
            <w:vAlign w:val="top"/>
          </w:tcPr>
          <w:p w14:paraId="2808918F">
            <w:pPr>
              <w:spacing w:before="37" w:line="274" w:lineRule="exact"/>
              <w:ind w:left="144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975" w:type="dxa"/>
            <w:vAlign w:val="top"/>
          </w:tcPr>
          <w:p w14:paraId="3D29C201">
            <w:pPr>
              <w:spacing w:before="104"/>
              <w:ind w:left="13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H</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4"/>
                <w:sz w:val="20"/>
                <w:szCs w:val="20"/>
              </w:rPr>
              <w:t>S</w:t>
            </w:r>
          </w:p>
        </w:tc>
        <w:tc>
          <w:tcPr>
            <w:tcW w:w="2995" w:type="dxa"/>
            <w:vAlign w:val="top"/>
          </w:tcPr>
          <w:p w14:paraId="24A9BFE3">
            <w:pPr>
              <w:spacing w:before="37" w:line="274" w:lineRule="exact"/>
              <w:ind w:left="126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w:t>
            </w:r>
          </w:p>
        </w:tc>
      </w:tr>
      <w:tr w14:paraId="0E398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980" w:type="dxa"/>
            <w:vAlign w:val="top"/>
          </w:tcPr>
          <w:p w14:paraId="7103336A">
            <w:pPr>
              <w:spacing w:before="38" w:line="274" w:lineRule="exact"/>
              <w:ind w:left="144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975" w:type="dxa"/>
            <w:vAlign w:val="top"/>
          </w:tcPr>
          <w:p w14:paraId="45AA33A5">
            <w:pPr>
              <w:spacing w:before="105" w:line="195" w:lineRule="auto"/>
              <w:ind w:left="1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2995" w:type="dxa"/>
            <w:vAlign w:val="top"/>
          </w:tcPr>
          <w:p w14:paraId="511D0AD4">
            <w:pPr>
              <w:spacing w:before="38" w:line="274" w:lineRule="exact"/>
              <w:ind w:left="1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0.00768</w:t>
            </w:r>
          </w:p>
        </w:tc>
      </w:tr>
    </w:tbl>
    <w:p w14:paraId="13E5E614">
      <w:pPr>
        <w:pStyle w:val="2"/>
        <w:spacing w:line="179" w:lineRule="exact"/>
        <w:rPr>
          <w:sz w:val="15"/>
        </w:rPr>
      </w:pPr>
    </w:p>
    <w:p w14:paraId="5A4BE92E">
      <w:pPr>
        <w:spacing w:line="179" w:lineRule="exact"/>
        <w:rPr>
          <w:sz w:val="15"/>
          <w:szCs w:val="15"/>
        </w:rPr>
        <w:sectPr>
          <w:footerReference r:id="rId140" w:type="default"/>
          <w:pgSz w:w="11906" w:h="16839"/>
          <w:pgMar w:top="400" w:right="1475" w:bottom="1485" w:left="1442" w:header="0" w:footer="1249" w:gutter="0"/>
          <w:cols w:space="720" w:num="1"/>
        </w:sectPr>
      </w:pPr>
    </w:p>
    <w:p w14:paraId="190F4C62">
      <w:pPr>
        <w:spacing w:before="13"/>
      </w:pPr>
    </w:p>
    <w:p w14:paraId="6428C5C5">
      <w:pPr>
        <w:spacing w:before="13"/>
      </w:pPr>
    </w:p>
    <w:p w14:paraId="2C5DFE9D">
      <w:pPr>
        <w:spacing w:before="13"/>
      </w:pPr>
    </w:p>
    <w:p w14:paraId="166A215A">
      <w:pPr>
        <w:spacing w:before="13"/>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0"/>
        <w:gridCol w:w="2975"/>
        <w:gridCol w:w="2995"/>
      </w:tblGrid>
      <w:tr w14:paraId="7CB6C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980" w:type="dxa"/>
            <w:vAlign w:val="top"/>
          </w:tcPr>
          <w:p w14:paraId="30922A61">
            <w:pPr>
              <w:spacing w:before="40" w:line="274" w:lineRule="exact"/>
              <w:ind w:left="143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975" w:type="dxa"/>
            <w:vAlign w:val="top"/>
          </w:tcPr>
          <w:p w14:paraId="380C8E92">
            <w:pPr>
              <w:spacing w:before="107"/>
              <w:ind w:left="1329"/>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sz w:val="13"/>
                <w:szCs w:val="13"/>
              </w:rPr>
              <w:t>2</w:t>
            </w:r>
          </w:p>
        </w:tc>
        <w:tc>
          <w:tcPr>
            <w:tcW w:w="2995" w:type="dxa"/>
            <w:vAlign w:val="top"/>
          </w:tcPr>
          <w:p w14:paraId="6CBA6370">
            <w:pPr>
              <w:spacing w:before="21" w:line="274" w:lineRule="exact"/>
              <w:ind w:left="1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0.00056</w:t>
            </w:r>
          </w:p>
        </w:tc>
      </w:tr>
      <w:tr w14:paraId="4E73B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980" w:type="dxa"/>
            <w:vAlign w:val="top"/>
          </w:tcPr>
          <w:p w14:paraId="5F705F19">
            <w:pPr>
              <w:spacing w:before="106" w:line="192" w:lineRule="auto"/>
              <w:ind w:left="144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975" w:type="dxa"/>
            <w:vAlign w:val="top"/>
          </w:tcPr>
          <w:p w14:paraId="69ACC9E2">
            <w:pPr>
              <w:spacing w:before="102" w:line="205" w:lineRule="auto"/>
              <w:ind w:left="1282"/>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2995" w:type="dxa"/>
            <w:vAlign w:val="top"/>
          </w:tcPr>
          <w:p w14:paraId="18872D65">
            <w:pPr>
              <w:spacing w:before="19" w:line="274" w:lineRule="exact"/>
              <w:ind w:left="11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0.00133</w:t>
            </w:r>
          </w:p>
        </w:tc>
      </w:tr>
    </w:tbl>
    <w:p w14:paraId="719D3E36">
      <w:pPr>
        <w:pStyle w:val="2"/>
        <w:spacing w:line="341" w:lineRule="auto"/>
      </w:pPr>
    </w:p>
    <w:p w14:paraId="5681C1FE">
      <w:pPr>
        <w:spacing w:before="78" w:line="219" w:lineRule="auto"/>
        <w:ind w:left="121"/>
        <w:outlineLvl w:val="2"/>
        <w:rPr>
          <w:rFonts w:ascii="宋体" w:hAnsi="宋体" w:eastAsia="宋体" w:cs="宋体"/>
          <w:sz w:val="24"/>
          <w:szCs w:val="24"/>
        </w:rPr>
      </w:pPr>
      <w:r>
        <w:rPr>
          <w:rFonts w:ascii="Times New Roman" w:hAnsi="Times New Roman" w:eastAsia="Times New Roman" w:cs="Times New Roman"/>
          <w:b/>
          <w:bCs/>
          <w:spacing w:val="-2"/>
          <w:sz w:val="24"/>
          <w:szCs w:val="24"/>
        </w:rPr>
        <w:t>5.2.4</w:t>
      </w:r>
      <w:r>
        <w:rPr>
          <w:rFonts w:ascii="宋体" w:hAnsi="宋体" w:eastAsia="宋体" w:cs="宋体"/>
          <w:b/>
          <w:bCs/>
          <w:spacing w:val="-2"/>
          <w:sz w:val="24"/>
          <w:szCs w:val="24"/>
        </w:rPr>
        <w:t>声环境影响评价</w:t>
      </w:r>
    </w:p>
    <w:p w14:paraId="08B4F60A">
      <w:pPr>
        <w:pStyle w:val="2"/>
        <w:spacing w:line="319" w:lineRule="auto"/>
      </w:pPr>
    </w:p>
    <w:p w14:paraId="33AC9C72">
      <w:pPr>
        <w:spacing w:before="78" w:line="221" w:lineRule="auto"/>
        <w:ind w:left="697"/>
        <w:outlineLvl w:val="2"/>
        <w:rPr>
          <w:rFonts w:ascii="宋体" w:hAnsi="宋体" w:eastAsia="宋体" w:cs="宋体"/>
          <w:sz w:val="24"/>
          <w:szCs w:val="24"/>
        </w:rPr>
      </w:pPr>
      <w:r>
        <w:rPr>
          <w:rFonts w:ascii="Calibri" w:hAnsi="Calibri" w:eastAsia="Calibri" w:cs="Calibri"/>
          <w:b/>
          <w:bCs/>
          <w:spacing w:val="-9"/>
          <w:sz w:val="24"/>
          <w:szCs w:val="24"/>
        </w:rPr>
        <w:t>1</w:t>
      </w:r>
      <w:r>
        <w:rPr>
          <w:rFonts w:ascii="Calibri" w:hAnsi="Calibri" w:eastAsia="Calibri" w:cs="Calibri"/>
          <w:b/>
          <w:bCs/>
          <w:spacing w:val="-28"/>
          <w:sz w:val="24"/>
          <w:szCs w:val="24"/>
        </w:rPr>
        <w:t xml:space="preserve"> </w:t>
      </w:r>
      <w:r>
        <w:rPr>
          <w:rFonts w:ascii="宋体" w:hAnsi="宋体" w:eastAsia="宋体" w:cs="宋体"/>
          <w:b/>
          <w:bCs/>
          <w:spacing w:val="-9"/>
          <w:sz w:val="24"/>
          <w:szCs w:val="24"/>
        </w:rPr>
        <w:t>、噪声源强</w:t>
      </w:r>
    </w:p>
    <w:p w14:paraId="4F98A6B3">
      <w:pPr>
        <w:pStyle w:val="2"/>
        <w:spacing w:line="277" w:lineRule="auto"/>
      </w:pPr>
    </w:p>
    <w:p w14:paraId="4973DCCA">
      <w:pPr>
        <w:spacing w:before="78" w:line="379" w:lineRule="auto"/>
        <w:ind w:left="122" w:right="113" w:firstLine="480"/>
        <w:rPr>
          <w:rFonts w:ascii="宋体" w:hAnsi="宋体" w:eastAsia="宋体" w:cs="宋体"/>
          <w:sz w:val="24"/>
          <w:szCs w:val="24"/>
        </w:rPr>
      </w:pPr>
      <w:r>
        <w:rPr>
          <w:rFonts w:ascii="宋体" w:hAnsi="宋体" w:eastAsia="宋体" w:cs="宋体"/>
          <w:spacing w:val="2"/>
          <w:sz w:val="24"/>
          <w:szCs w:val="24"/>
        </w:rPr>
        <w:t>本项目噪声主要为猪只叫声、排气扇、水泵等设备噪声，本项目噪声污染源排</w:t>
      </w:r>
      <w:r>
        <w:rPr>
          <w:rFonts w:ascii="宋体" w:hAnsi="宋体" w:eastAsia="宋体" w:cs="宋体"/>
          <w:spacing w:val="9"/>
          <w:sz w:val="24"/>
          <w:szCs w:val="24"/>
        </w:rPr>
        <w:t xml:space="preserve"> </w:t>
      </w:r>
      <w:r>
        <w:rPr>
          <w:rFonts w:ascii="宋体" w:hAnsi="宋体" w:eastAsia="宋体" w:cs="宋体"/>
          <w:spacing w:val="-2"/>
          <w:sz w:val="24"/>
          <w:szCs w:val="24"/>
        </w:rPr>
        <w:t>放情况见下表。</w:t>
      </w:r>
    </w:p>
    <w:p w14:paraId="49AB114A">
      <w:pPr>
        <w:spacing w:before="9" w:line="221" w:lineRule="auto"/>
        <w:ind w:left="2523"/>
        <w:rPr>
          <w:rFonts w:ascii="Times New Roman" w:hAnsi="Times New Roman" w:eastAsia="Times New Roman" w:cs="Times New Roman"/>
          <w:sz w:val="20"/>
          <w:szCs w:val="20"/>
        </w:rPr>
      </w:pPr>
      <w:r>
        <w:rPr>
          <w:rFonts w:ascii="宋体" w:hAnsi="宋体" w:eastAsia="宋体" w:cs="宋体"/>
          <w:b/>
          <w:bCs/>
          <w:spacing w:val="6"/>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b/>
          <w:bCs/>
          <w:spacing w:val="6"/>
          <w:sz w:val="20"/>
          <w:szCs w:val="20"/>
        </w:rPr>
        <w:t xml:space="preserve">5.2-17 </w:t>
      </w:r>
      <w:r>
        <w:rPr>
          <w:rFonts w:ascii="宋体" w:hAnsi="宋体" w:eastAsia="宋体" w:cs="宋体"/>
          <w:b/>
          <w:bCs/>
          <w:spacing w:val="6"/>
          <w:sz w:val="20"/>
          <w:szCs w:val="20"/>
        </w:rPr>
        <w:t>项目主要噪声源强表单位：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(A)</w:t>
      </w:r>
    </w:p>
    <w:p w14:paraId="45D9087F">
      <w:pPr>
        <w:spacing w:line="109"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445"/>
        <w:gridCol w:w="1104"/>
        <w:gridCol w:w="993"/>
        <w:gridCol w:w="1558"/>
        <w:gridCol w:w="2887"/>
      </w:tblGrid>
      <w:tr w14:paraId="7529D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63" w:type="dxa"/>
            <w:vAlign w:val="top"/>
          </w:tcPr>
          <w:p w14:paraId="4FF0E5C6">
            <w:pPr>
              <w:pStyle w:val="6"/>
              <w:spacing w:before="64" w:line="228" w:lineRule="auto"/>
              <w:ind w:left="277"/>
            </w:pPr>
            <w:r>
              <w:rPr>
                <w:b/>
                <w:bCs/>
                <w:spacing w:val="3"/>
              </w:rPr>
              <w:t>种类</w:t>
            </w:r>
          </w:p>
        </w:tc>
        <w:tc>
          <w:tcPr>
            <w:tcW w:w="1445" w:type="dxa"/>
            <w:vAlign w:val="top"/>
          </w:tcPr>
          <w:p w14:paraId="4FBD6781">
            <w:pPr>
              <w:pStyle w:val="6"/>
              <w:spacing w:before="64" w:line="228" w:lineRule="auto"/>
              <w:ind w:left="517"/>
            </w:pPr>
            <w:r>
              <w:rPr>
                <w:b/>
                <w:bCs/>
                <w:spacing w:val="3"/>
              </w:rPr>
              <w:t>来源</w:t>
            </w:r>
          </w:p>
        </w:tc>
        <w:tc>
          <w:tcPr>
            <w:tcW w:w="1104" w:type="dxa"/>
            <w:vAlign w:val="top"/>
          </w:tcPr>
          <w:p w14:paraId="3B3BCB3A">
            <w:pPr>
              <w:pStyle w:val="6"/>
              <w:spacing w:before="64" w:line="228" w:lineRule="auto"/>
              <w:ind w:left="137"/>
            </w:pPr>
            <w:r>
              <w:rPr>
                <w:b/>
                <w:bCs/>
                <w:spacing w:val="6"/>
              </w:rPr>
              <w:t>产生方式</w:t>
            </w:r>
          </w:p>
        </w:tc>
        <w:tc>
          <w:tcPr>
            <w:tcW w:w="993" w:type="dxa"/>
            <w:vAlign w:val="top"/>
          </w:tcPr>
          <w:p w14:paraId="708B6802">
            <w:pPr>
              <w:pStyle w:val="6"/>
              <w:spacing w:before="64" w:line="228" w:lineRule="auto"/>
              <w:ind w:left="187"/>
            </w:pPr>
            <w:r>
              <w:rPr>
                <w:b/>
                <w:bCs/>
                <w:spacing w:val="5"/>
              </w:rPr>
              <w:t>产生量</w:t>
            </w:r>
          </w:p>
        </w:tc>
        <w:tc>
          <w:tcPr>
            <w:tcW w:w="1558" w:type="dxa"/>
            <w:vAlign w:val="top"/>
          </w:tcPr>
          <w:p w14:paraId="509672A5">
            <w:pPr>
              <w:pStyle w:val="6"/>
              <w:spacing w:before="64" w:line="228" w:lineRule="auto"/>
              <w:ind w:left="126"/>
            </w:pPr>
            <w:r>
              <w:rPr>
                <w:rFonts w:ascii="Times New Roman" w:hAnsi="Times New Roman" w:eastAsia="Times New Roman" w:cs="Times New Roman"/>
                <w:b/>
                <w:bCs/>
                <w:spacing w:val="5"/>
              </w:rPr>
              <w:t>1m</w:t>
            </w:r>
            <w:r>
              <w:rPr>
                <w:b/>
                <w:bCs/>
                <w:spacing w:val="5"/>
              </w:rPr>
              <w:t>处噪声级值</w:t>
            </w:r>
          </w:p>
        </w:tc>
        <w:tc>
          <w:tcPr>
            <w:tcW w:w="2887" w:type="dxa"/>
            <w:vAlign w:val="top"/>
          </w:tcPr>
          <w:p w14:paraId="0BD77CAB">
            <w:pPr>
              <w:pStyle w:val="6"/>
              <w:spacing w:before="64" w:line="229" w:lineRule="auto"/>
              <w:ind w:left="1033"/>
            </w:pPr>
            <w:r>
              <w:rPr>
                <w:b/>
                <w:bCs/>
                <w:spacing w:val="5"/>
              </w:rPr>
              <w:t>治理措施</w:t>
            </w:r>
          </w:p>
        </w:tc>
      </w:tr>
      <w:tr w14:paraId="2AF8E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963" w:type="dxa"/>
            <w:vAlign w:val="top"/>
          </w:tcPr>
          <w:p w14:paraId="01F627BA">
            <w:pPr>
              <w:pStyle w:val="6"/>
              <w:spacing w:before="223" w:line="229" w:lineRule="auto"/>
              <w:ind w:left="293"/>
            </w:pPr>
            <w:r>
              <w:rPr>
                <w:spacing w:val="-3"/>
              </w:rPr>
              <w:t>叫声</w:t>
            </w:r>
          </w:p>
        </w:tc>
        <w:tc>
          <w:tcPr>
            <w:tcW w:w="1445" w:type="dxa"/>
            <w:vAlign w:val="top"/>
          </w:tcPr>
          <w:p w14:paraId="387FA67A">
            <w:pPr>
              <w:pStyle w:val="6"/>
              <w:spacing w:before="223" w:line="229" w:lineRule="auto"/>
              <w:ind w:left="516"/>
            </w:pPr>
            <w:r>
              <w:rPr>
                <w:spacing w:val="4"/>
              </w:rPr>
              <w:t>猪舍</w:t>
            </w:r>
          </w:p>
        </w:tc>
        <w:tc>
          <w:tcPr>
            <w:tcW w:w="1104" w:type="dxa"/>
            <w:vAlign w:val="top"/>
          </w:tcPr>
          <w:p w14:paraId="1C8357F3">
            <w:pPr>
              <w:pStyle w:val="6"/>
              <w:spacing w:before="223" w:line="228" w:lineRule="auto"/>
              <w:ind w:left="362"/>
            </w:pPr>
            <w:r>
              <w:rPr>
                <w:spacing w:val="-4"/>
              </w:rPr>
              <w:t>间断</w:t>
            </w:r>
          </w:p>
        </w:tc>
        <w:tc>
          <w:tcPr>
            <w:tcW w:w="993" w:type="dxa"/>
            <w:vAlign w:val="top"/>
          </w:tcPr>
          <w:p w14:paraId="61D140F5">
            <w:pPr>
              <w:spacing w:before="192" w:line="274" w:lineRule="exact"/>
              <w:ind w:left="2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70-80</w:t>
            </w:r>
          </w:p>
        </w:tc>
        <w:tc>
          <w:tcPr>
            <w:tcW w:w="1558" w:type="dxa"/>
            <w:vAlign w:val="top"/>
          </w:tcPr>
          <w:p w14:paraId="22048E3E">
            <w:pPr>
              <w:spacing w:before="262" w:line="192" w:lineRule="auto"/>
              <w:ind w:left="6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887" w:type="dxa"/>
            <w:vAlign w:val="top"/>
          </w:tcPr>
          <w:p w14:paraId="25100561">
            <w:pPr>
              <w:pStyle w:val="6"/>
              <w:spacing w:before="60" w:line="228" w:lineRule="auto"/>
              <w:ind w:left="124"/>
            </w:pPr>
            <w:r>
              <w:rPr>
                <w:spacing w:val="3"/>
              </w:rPr>
              <w:t>喂足饲料和水，避免饥渴发出</w:t>
            </w:r>
          </w:p>
          <w:p w14:paraId="3ACF8D57">
            <w:pPr>
              <w:pStyle w:val="6"/>
              <w:spacing w:before="79" w:line="229" w:lineRule="auto"/>
              <w:ind w:left="1249"/>
            </w:pPr>
            <w:r>
              <w:rPr>
                <w:spacing w:val="-1"/>
              </w:rPr>
              <w:t>噪声</w:t>
            </w:r>
          </w:p>
        </w:tc>
      </w:tr>
      <w:tr w14:paraId="7D52C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63" w:type="dxa"/>
            <w:vAlign w:val="top"/>
          </w:tcPr>
          <w:p w14:paraId="3B680918">
            <w:pPr>
              <w:pStyle w:val="6"/>
              <w:spacing w:before="62" w:line="230" w:lineRule="auto"/>
              <w:ind w:left="171"/>
            </w:pPr>
            <w:r>
              <w:rPr>
                <w:spacing w:val="6"/>
              </w:rPr>
              <w:t>排气扇</w:t>
            </w:r>
          </w:p>
        </w:tc>
        <w:tc>
          <w:tcPr>
            <w:tcW w:w="1445" w:type="dxa"/>
            <w:vAlign w:val="top"/>
          </w:tcPr>
          <w:p w14:paraId="02845F28">
            <w:pPr>
              <w:pStyle w:val="6"/>
              <w:spacing w:before="62" w:line="229" w:lineRule="auto"/>
              <w:ind w:left="516"/>
            </w:pPr>
            <w:r>
              <w:rPr>
                <w:spacing w:val="4"/>
              </w:rPr>
              <w:t>猪舍</w:t>
            </w:r>
          </w:p>
        </w:tc>
        <w:tc>
          <w:tcPr>
            <w:tcW w:w="1104" w:type="dxa"/>
            <w:vAlign w:val="top"/>
          </w:tcPr>
          <w:p w14:paraId="7DAA243F">
            <w:pPr>
              <w:pStyle w:val="6"/>
              <w:spacing w:before="62" w:line="229" w:lineRule="auto"/>
              <w:ind w:left="347"/>
            </w:pPr>
            <w:r>
              <w:rPr>
                <w:spacing w:val="4"/>
              </w:rPr>
              <w:t>连续</w:t>
            </w:r>
          </w:p>
        </w:tc>
        <w:tc>
          <w:tcPr>
            <w:tcW w:w="993" w:type="dxa"/>
            <w:vAlign w:val="top"/>
          </w:tcPr>
          <w:p w14:paraId="74C1EBD4">
            <w:pPr>
              <w:spacing w:before="31" w:line="274" w:lineRule="exact"/>
              <w:ind w:left="2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75-85</w:t>
            </w:r>
          </w:p>
        </w:tc>
        <w:tc>
          <w:tcPr>
            <w:tcW w:w="1558" w:type="dxa"/>
            <w:vAlign w:val="top"/>
          </w:tcPr>
          <w:p w14:paraId="15A6DF25">
            <w:pPr>
              <w:spacing w:before="31" w:line="274" w:lineRule="exact"/>
              <w:ind w:left="6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2887" w:type="dxa"/>
            <w:vAlign w:val="top"/>
          </w:tcPr>
          <w:p w14:paraId="4B2212FF">
            <w:pPr>
              <w:pStyle w:val="6"/>
              <w:spacing w:before="62" w:line="229" w:lineRule="auto"/>
              <w:ind w:left="504"/>
            </w:pPr>
            <w:r>
              <w:rPr>
                <w:spacing w:val="9"/>
              </w:rPr>
              <w:t>选低噪声设备、减振</w:t>
            </w:r>
          </w:p>
        </w:tc>
      </w:tr>
      <w:tr w14:paraId="1E93D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63" w:type="dxa"/>
            <w:vAlign w:val="top"/>
          </w:tcPr>
          <w:p w14:paraId="7ECEAD45">
            <w:pPr>
              <w:pStyle w:val="6"/>
              <w:spacing w:before="224" w:line="228" w:lineRule="auto"/>
              <w:ind w:left="280"/>
            </w:pPr>
            <w:r>
              <w:rPr>
                <w:spacing w:val="3"/>
              </w:rPr>
              <w:t>水泵</w:t>
            </w:r>
          </w:p>
        </w:tc>
        <w:tc>
          <w:tcPr>
            <w:tcW w:w="1445" w:type="dxa"/>
            <w:vAlign w:val="top"/>
          </w:tcPr>
          <w:p w14:paraId="564D6F65">
            <w:pPr>
              <w:pStyle w:val="6"/>
              <w:spacing w:before="63" w:line="228" w:lineRule="auto"/>
              <w:ind w:left="203"/>
            </w:pPr>
            <w:r>
              <w:rPr>
                <w:spacing w:val="7"/>
              </w:rPr>
              <w:t>有机肥发酵</w:t>
            </w:r>
          </w:p>
          <w:p w14:paraId="02EAB3DB">
            <w:pPr>
              <w:pStyle w:val="6"/>
              <w:spacing w:before="77" w:line="228" w:lineRule="auto"/>
              <w:ind w:left="518"/>
            </w:pPr>
            <w:r>
              <w:rPr>
                <w:spacing w:val="3"/>
              </w:rPr>
              <w:t>车间</w:t>
            </w:r>
          </w:p>
        </w:tc>
        <w:tc>
          <w:tcPr>
            <w:tcW w:w="1104" w:type="dxa"/>
            <w:vAlign w:val="top"/>
          </w:tcPr>
          <w:p w14:paraId="65E4DF1B">
            <w:pPr>
              <w:pStyle w:val="6"/>
              <w:spacing w:before="224" w:line="229" w:lineRule="auto"/>
              <w:ind w:left="347"/>
            </w:pPr>
            <w:r>
              <w:rPr>
                <w:spacing w:val="4"/>
              </w:rPr>
              <w:t>连续</w:t>
            </w:r>
          </w:p>
        </w:tc>
        <w:tc>
          <w:tcPr>
            <w:tcW w:w="993" w:type="dxa"/>
            <w:vAlign w:val="top"/>
          </w:tcPr>
          <w:p w14:paraId="2A2B03A7">
            <w:pPr>
              <w:spacing w:before="193" w:line="274"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80-90</w:t>
            </w:r>
          </w:p>
        </w:tc>
        <w:tc>
          <w:tcPr>
            <w:tcW w:w="1558" w:type="dxa"/>
            <w:vAlign w:val="top"/>
          </w:tcPr>
          <w:p w14:paraId="083C50B1">
            <w:pPr>
              <w:spacing w:before="193" w:line="274" w:lineRule="exact"/>
              <w:ind w:left="6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2887" w:type="dxa"/>
            <w:vAlign w:val="top"/>
          </w:tcPr>
          <w:p w14:paraId="64BDDD3B">
            <w:pPr>
              <w:pStyle w:val="6"/>
              <w:spacing w:before="224" w:line="229" w:lineRule="auto"/>
              <w:ind w:left="187"/>
            </w:pPr>
            <w:r>
              <w:rPr>
                <w:spacing w:val="9"/>
              </w:rPr>
              <w:t>选低噪声设备、减振、隔声</w:t>
            </w:r>
          </w:p>
        </w:tc>
      </w:tr>
      <w:tr w14:paraId="43146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63" w:type="dxa"/>
            <w:vAlign w:val="top"/>
          </w:tcPr>
          <w:p w14:paraId="4909592F">
            <w:pPr>
              <w:pStyle w:val="6"/>
              <w:spacing w:before="62" w:line="228" w:lineRule="auto"/>
              <w:ind w:left="175"/>
            </w:pPr>
            <w:r>
              <w:rPr>
                <w:spacing w:val="5"/>
              </w:rPr>
              <w:t>发电机</w:t>
            </w:r>
          </w:p>
        </w:tc>
        <w:tc>
          <w:tcPr>
            <w:tcW w:w="1445" w:type="dxa"/>
            <w:vAlign w:val="top"/>
          </w:tcPr>
          <w:p w14:paraId="5F24CF96">
            <w:pPr>
              <w:pStyle w:val="6"/>
              <w:spacing w:before="62" w:line="229" w:lineRule="auto"/>
              <w:ind w:left="411"/>
            </w:pPr>
            <w:r>
              <w:rPr>
                <w:spacing w:val="6"/>
              </w:rPr>
              <w:t>配电房</w:t>
            </w:r>
          </w:p>
        </w:tc>
        <w:tc>
          <w:tcPr>
            <w:tcW w:w="1104" w:type="dxa"/>
            <w:vAlign w:val="top"/>
          </w:tcPr>
          <w:p w14:paraId="1B040A07">
            <w:pPr>
              <w:pStyle w:val="6"/>
              <w:spacing w:before="62" w:line="229" w:lineRule="auto"/>
              <w:ind w:left="347"/>
            </w:pPr>
            <w:r>
              <w:rPr>
                <w:spacing w:val="4"/>
              </w:rPr>
              <w:t>连续</w:t>
            </w:r>
          </w:p>
        </w:tc>
        <w:tc>
          <w:tcPr>
            <w:tcW w:w="993" w:type="dxa"/>
            <w:vAlign w:val="top"/>
          </w:tcPr>
          <w:p w14:paraId="4A275785">
            <w:pPr>
              <w:pStyle w:val="6"/>
              <w:spacing w:before="31" w:line="274" w:lineRule="exact"/>
              <w:ind w:left="192"/>
              <w:rPr>
                <w:rFonts w:ascii="Times New Roman" w:hAnsi="Times New Roman" w:eastAsia="Times New Roman" w:cs="Times New Roman"/>
              </w:rPr>
            </w:pPr>
            <w:r>
              <w:rPr>
                <w:rFonts w:ascii="Times New Roman" w:hAnsi="Times New Roman" w:eastAsia="Times New Roman" w:cs="Times New Roman"/>
                <w:spacing w:val="3"/>
                <w:position w:val="2"/>
              </w:rPr>
              <w:t>80</w:t>
            </w:r>
            <w:r>
              <w:rPr>
                <w:spacing w:val="3"/>
                <w:position w:val="2"/>
              </w:rPr>
              <w:t>～</w:t>
            </w:r>
            <w:r>
              <w:rPr>
                <w:rFonts w:ascii="Times New Roman" w:hAnsi="Times New Roman" w:eastAsia="Times New Roman" w:cs="Times New Roman"/>
                <w:spacing w:val="3"/>
                <w:position w:val="2"/>
              </w:rPr>
              <w:t>90</w:t>
            </w:r>
          </w:p>
        </w:tc>
        <w:tc>
          <w:tcPr>
            <w:tcW w:w="1558" w:type="dxa"/>
            <w:vAlign w:val="top"/>
          </w:tcPr>
          <w:p w14:paraId="55D5EC3B">
            <w:pPr>
              <w:spacing w:before="31" w:line="274" w:lineRule="exact"/>
              <w:ind w:left="6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2887" w:type="dxa"/>
            <w:vAlign w:val="top"/>
          </w:tcPr>
          <w:p w14:paraId="6D612039">
            <w:pPr>
              <w:pStyle w:val="6"/>
              <w:spacing w:before="62" w:line="229" w:lineRule="auto"/>
              <w:ind w:left="112"/>
            </w:pPr>
            <w:r>
              <w:rPr>
                <w:spacing w:val="4"/>
              </w:rPr>
              <w:t>选择低噪声设备、减振、隔声</w:t>
            </w:r>
          </w:p>
        </w:tc>
      </w:tr>
    </w:tbl>
    <w:p w14:paraId="2BC06A22">
      <w:pPr>
        <w:spacing w:before="257" w:line="352" w:lineRule="exact"/>
        <w:ind w:left="690"/>
        <w:outlineLvl w:val="2"/>
        <w:rPr>
          <w:rFonts w:ascii="宋体" w:hAnsi="宋体" w:eastAsia="宋体" w:cs="宋体"/>
          <w:sz w:val="24"/>
          <w:szCs w:val="24"/>
        </w:rPr>
      </w:pPr>
      <w:r>
        <w:rPr>
          <w:rFonts w:ascii="Calibri" w:hAnsi="Calibri" w:eastAsia="Calibri" w:cs="Calibri"/>
          <w:b/>
          <w:bCs/>
          <w:spacing w:val="-5"/>
          <w:position w:val="2"/>
          <w:sz w:val="24"/>
          <w:szCs w:val="24"/>
        </w:rPr>
        <w:t>2</w:t>
      </w:r>
      <w:r>
        <w:rPr>
          <w:rFonts w:ascii="Calibri" w:hAnsi="Calibri" w:eastAsia="Calibri" w:cs="Calibri"/>
          <w:b/>
          <w:bCs/>
          <w:spacing w:val="-28"/>
          <w:position w:val="2"/>
          <w:sz w:val="24"/>
          <w:szCs w:val="24"/>
        </w:rPr>
        <w:t xml:space="preserve"> </w:t>
      </w:r>
      <w:r>
        <w:rPr>
          <w:rFonts w:ascii="宋体" w:hAnsi="宋体" w:eastAsia="宋体" w:cs="宋体"/>
          <w:b/>
          <w:bCs/>
          <w:spacing w:val="-5"/>
          <w:position w:val="2"/>
          <w:sz w:val="24"/>
          <w:szCs w:val="24"/>
        </w:rPr>
        <w:t>、声环境影响预测模式</w:t>
      </w:r>
    </w:p>
    <w:p w14:paraId="07B85B55">
      <w:pPr>
        <w:pStyle w:val="2"/>
      </w:pPr>
    </w:p>
    <w:p w14:paraId="42B149A9">
      <w:pPr>
        <w:spacing w:before="78" w:line="377" w:lineRule="auto"/>
        <w:ind w:left="127" w:right="113" w:firstLine="476"/>
        <w:rPr>
          <w:rFonts w:ascii="宋体" w:hAnsi="宋体" w:eastAsia="宋体" w:cs="宋体"/>
          <w:sz w:val="24"/>
          <w:szCs w:val="24"/>
        </w:rPr>
      </w:pPr>
      <w:r>
        <w:rPr>
          <w:rFonts w:ascii="宋体" w:hAnsi="宋体" w:eastAsia="宋体" w:cs="宋体"/>
          <w:spacing w:val="2"/>
          <w:sz w:val="24"/>
          <w:szCs w:val="24"/>
        </w:rPr>
        <w:t>本项目中噪声源可视为点声源，并在半自由空间向外辐射传播。分别预测各噪</w:t>
      </w:r>
      <w:r>
        <w:rPr>
          <w:rFonts w:ascii="宋体" w:hAnsi="宋体" w:eastAsia="宋体" w:cs="宋体"/>
          <w:spacing w:val="9"/>
          <w:sz w:val="24"/>
          <w:szCs w:val="24"/>
        </w:rPr>
        <w:t xml:space="preserve"> </w:t>
      </w:r>
      <w:r>
        <w:rPr>
          <w:rFonts w:ascii="宋体" w:hAnsi="宋体" w:eastAsia="宋体" w:cs="宋体"/>
          <w:spacing w:val="-1"/>
          <w:sz w:val="24"/>
          <w:szCs w:val="24"/>
        </w:rPr>
        <w:t>声源在预测点的噪声及其合成噪声，并叠加计算各预测点的背景值。</w:t>
      </w:r>
    </w:p>
    <w:p w14:paraId="34DF7A2E">
      <w:pPr>
        <w:spacing w:before="1" w:line="220" w:lineRule="auto"/>
        <w:ind w:left="604"/>
        <w:rPr>
          <w:rFonts w:ascii="宋体" w:hAnsi="宋体" w:eastAsia="宋体" w:cs="宋体"/>
          <w:sz w:val="24"/>
          <w:szCs w:val="24"/>
        </w:rPr>
      </w:pPr>
      <w:r>
        <w:rPr>
          <w:rFonts w:ascii="宋体" w:hAnsi="宋体" w:eastAsia="宋体" w:cs="宋体"/>
          <w:spacing w:val="-2"/>
          <w:sz w:val="24"/>
          <w:szCs w:val="24"/>
        </w:rPr>
        <w:t>预测过程选用如下公式：</w:t>
      </w:r>
    </w:p>
    <w:p w14:paraId="02AE5083">
      <w:pPr>
        <w:spacing w:before="200" w:line="221" w:lineRule="auto"/>
        <w:ind w:left="611"/>
        <w:rPr>
          <w:rFonts w:ascii="宋体" w:hAnsi="宋体" w:eastAsia="宋体" w:cs="宋体"/>
          <w:sz w:val="24"/>
          <w:szCs w:val="24"/>
        </w:rPr>
      </w:pPr>
      <w:r>
        <w:rPr>
          <w:rFonts w:ascii="宋体" w:hAnsi="宋体" w:eastAsia="宋体" w:cs="宋体"/>
          <w:b/>
          <w:bCs/>
          <w:spacing w:val="-4"/>
          <w:sz w:val="24"/>
          <w:szCs w:val="24"/>
        </w:rPr>
        <w:t>点声源噪声衰减公式：</w:t>
      </w:r>
    </w:p>
    <w:p w14:paraId="498705E1">
      <w:pPr>
        <w:spacing w:before="148" w:line="511" w:lineRule="exact"/>
        <w:ind w:firstLine="2556"/>
      </w:pPr>
      <w:r>
        <w:rPr>
          <w:position w:val="-10"/>
        </w:rPr>
        <w:drawing>
          <wp:inline distT="0" distB="0" distL="0" distR="0">
            <wp:extent cx="2762885" cy="32448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34"/>
                    <a:stretch>
                      <a:fillRect/>
                    </a:stretch>
                  </pic:blipFill>
                  <pic:spPr>
                    <a:xfrm>
                      <a:off x="0" y="0"/>
                      <a:ext cx="2763011" cy="324611"/>
                    </a:xfrm>
                    <a:prstGeom prst="rect">
                      <a:avLst/>
                    </a:prstGeom>
                  </pic:spPr>
                </pic:pic>
              </a:graphicData>
            </a:graphic>
          </wp:inline>
        </w:drawing>
      </w:r>
    </w:p>
    <w:p w14:paraId="03737F9F">
      <w:pPr>
        <w:spacing w:before="196" w:line="221" w:lineRule="auto"/>
        <w:ind w:left="607"/>
        <w:rPr>
          <w:rFonts w:ascii="宋体" w:hAnsi="宋体" w:eastAsia="宋体" w:cs="宋体"/>
          <w:sz w:val="24"/>
          <w:szCs w:val="24"/>
        </w:rPr>
      </w:pPr>
      <w:r>
        <w:rPr>
          <w:rFonts w:ascii="宋体" w:hAnsi="宋体" w:eastAsia="宋体" w:cs="宋体"/>
          <w:spacing w:val="-5"/>
          <w:sz w:val="24"/>
          <w:szCs w:val="24"/>
        </w:rPr>
        <w:t>式中：</w:t>
      </w:r>
    </w:p>
    <w:p w14:paraId="4A61E249">
      <w:pPr>
        <w:spacing w:before="163" w:line="366" w:lineRule="auto"/>
        <w:ind w:left="595" w:right="1234" w:firstLine="3"/>
        <w:rPr>
          <w:rFonts w:ascii="宋体" w:hAnsi="宋体" w:eastAsia="宋体" w:cs="宋体"/>
          <w:sz w:val="24"/>
          <w:szCs w:val="24"/>
        </w:rPr>
      </w:pPr>
      <w:r>
        <w:rPr>
          <w:rFonts w:ascii="Times New Roman" w:hAnsi="Times New Roman" w:eastAsia="Times New Roman" w:cs="Times New Roman"/>
          <w:sz w:val="24"/>
          <w:szCs w:val="24"/>
        </w:rPr>
        <w:t>LA</w:t>
      </w:r>
      <w:r>
        <w:rPr>
          <w:rFonts w:ascii="宋体" w:hAnsi="宋体" w:eastAsia="宋体" w:cs="宋体"/>
          <w:spacing w:val="1"/>
          <w:sz w:val="24"/>
          <w:szCs w:val="24"/>
        </w:rPr>
        <w:t>（</w:t>
      </w:r>
      <w:r>
        <w:rPr>
          <w:rFonts w:ascii="Times New Roman" w:hAnsi="Times New Roman" w:eastAsia="Times New Roman" w:cs="Times New Roman"/>
          <w:spacing w:val="1"/>
          <w:sz w:val="24"/>
          <w:szCs w:val="24"/>
        </w:rPr>
        <w:t>r</w:t>
      </w:r>
      <w:r>
        <w:rPr>
          <w:rFonts w:ascii="宋体" w:hAnsi="宋体" w:eastAsia="宋体" w:cs="宋体"/>
          <w:spacing w:val="1"/>
          <w:sz w:val="24"/>
          <w:szCs w:val="24"/>
        </w:rPr>
        <w:t>）——距离声源为</w:t>
      </w:r>
      <w:r>
        <w:rPr>
          <w:rFonts w:ascii="宋体" w:hAnsi="宋体" w:eastAsia="宋体" w:cs="宋体"/>
          <w:spacing w:val="-59"/>
          <w:sz w:val="24"/>
          <w:szCs w:val="24"/>
        </w:rPr>
        <w:t xml:space="preserve"> </w:t>
      </w:r>
      <w:r>
        <w:rPr>
          <w:rFonts w:ascii="Times New Roman" w:hAnsi="Times New Roman" w:eastAsia="Times New Roman" w:cs="Times New Roman"/>
          <w:spacing w:val="1"/>
          <w:sz w:val="24"/>
          <w:szCs w:val="24"/>
        </w:rPr>
        <w:t xml:space="preserve">r </w:t>
      </w:r>
      <w:r>
        <w:rPr>
          <w:rFonts w:ascii="宋体" w:hAnsi="宋体" w:eastAsia="宋体" w:cs="宋体"/>
          <w:spacing w:val="1"/>
          <w:sz w:val="24"/>
          <w:szCs w:val="24"/>
        </w:rPr>
        <w:t>米处预测受声点噪声预测值</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r>
        <w:rPr>
          <w:rFonts w:ascii="Times New Roman" w:hAnsi="Times New Roman" w:eastAsia="Times New Roman" w:cs="Times New Roman"/>
          <w:sz w:val="24"/>
          <w:szCs w:val="24"/>
        </w:rPr>
        <w:t>]</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 xml:space="preserve">； </w:t>
      </w:r>
      <w:r>
        <w:rPr>
          <w:rFonts w:ascii="Times New Roman" w:hAnsi="Times New Roman" w:eastAsia="Times New Roman" w:cs="Times New Roman"/>
          <w:spacing w:val="-2"/>
          <w:sz w:val="24"/>
          <w:szCs w:val="24"/>
        </w:rPr>
        <w:t>LA</w:t>
      </w:r>
      <w:r>
        <w:rPr>
          <w:rFonts w:ascii="宋体" w:hAnsi="宋体" w:eastAsia="宋体" w:cs="宋体"/>
          <w:spacing w:val="-2"/>
          <w:sz w:val="24"/>
          <w:szCs w:val="24"/>
        </w:rPr>
        <w:t>（</w:t>
      </w:r>
      <w:r>
        <w:rPr>
          <w:rFonts w:ascii="Times New Roman" w:hAnsi="Times New Roman" w:eastAsia="Times New Roman" w:cs="Times New Roman"/>
          <w:spacing w:val="-2"/>
          <w:sz w:val="24"/>
          <w:szCs w:val="24"/>
        </w:rPr>
        <w:t>r o</w:t>
      </w:r>
      <w:r>
        <w:rPr>
          <w:rFonts w:ascii="Times New Roman" w:hAnsi="Times New Roman" w:eastAsia="Times New Roman" w:cs="Times New Roman"/>
          <w:spacing w:val="21"/>
          <w:sz w:val="24"/>
          <w:szCs w:val="24"/>
        </w:rPr>
        <w:t xml:space="preserve">  </w:t>
      </w:r>
      <w:r>
        <w:rPr>
          <w:rFonts w:ascii="宋体" w:hAnsi="宋体" w:eastAsia="宋体" w:cs="宋体"/>
          <w:spacing w:val="-2"/>
          <w:sz w:val="24"/>
          <w:szCs w:val="24"/>
        </w:rPr>
        <w:t>）——距离声源为</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 xml:space="preserve">ro </w:t>
      </w:r>
      <w:r>
        <w:rPr>
          <w:rFonts w:ascii="宋体" w:hAnsi="宋体" w:eastAsia="宋体" w:cs="宋体"/>
          <w:spacing w:val="-2"/>
          <w:sz w:val="24"/>
          <w:szCs w:val="24"/>
        </w:rPr>
        <w:t>米处室外声源的总声级值</w:t>
      </w:r>
      <w:r>
        <w:rPr>
          <w:rFonts w:ascii="Times New Roman" w:hAnsi="Times New Roman" w:eastAsia="Times New Roman" w:cs="Times New Roman"/>
          <w:spacing w:val="-2"/>
          <w:sz w:val="24"/>
          <w:szCs w:val="24"/>
        </w:rPr>
        <w:t>[dB</w:t>
      </w:r>
      <w:r>
        <w:rPr>
          <w:rFonts w:ascii="宋体" w:hAnsi="宋体" w:eastAsia="宋体" w:cs="宋体"/>
          <w:spacing w:val="-2"/>
          <w:sz w:val="24"/>
          <w:szCs w:val="24"/>
        </w:rPr>
        <w:t>（</w:t>
      </w:r>
      <w:r>
        <w:rPr>
          <w:rFonts w:ascii="Times New Roman" w:hAnsi="Times New Roman" w:eastAsia="Times New Roman" w:cs="Times New Roman"/>
          <w:spacing w:val="-2"/>
          <w:sz w:val="24"/>
          <w:szCs w:val="24"/>
        </w:rPr>
        <w:t>A</w:t>
      </w:r>
      <w:r>
        <w:rPr>
          <w:rFonts w:ascii="宋体" w:hAnsi="宋体" w:eastAsia="宋体" w:cs="宋体"/>
          <w:spacing w:val="-2"/>
          <w:sz w:val="24"/>
          <w:szCs w:val="24"/>
        </w:rPr>
        <w:t>）</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r</w:t>
      </w:r>
      <w:r>
        <w:rPr>
          <w:rFonts w:ascii="宋体" w:hAnsi="宋体" w:eastAsia="宋体" w:cs="宋体"/>
          <w:spacing w:val="-1"/>
          <w:sz w:val="24"/>
          <w:szCs w:val="24"/>
        </w:rPr>
        <w:t>——预测点至声源的距离，</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2D06F791">
      <w:pPr>
        <w:spacing w:before="41" w:line="360" w:lineRule="exact"/>
        <w:ind w:left="595"/>
        <w:rPr>
          <w:rFonts w:ascii="宋体" w:hAnsi="宋体" w:eastAsia="宋体" w:cs="宋体"/>
          <w:sz w:val="24"/>
          <w:szCs w:val="24"/>
        </w:rPr>
      </w:pPr>
      <w:r>
        <w:rPr>
          <w:rFonts w:ascii="Times New Roman" w:hAnsi="Times New Roman" w:eastAsia="Times New Roman" w:cs="Times New Roman"/>
          <w:spacing w:val="-1"/>
          <w:position w:val="2"/>
          <w:sz w:val="24"/>
          <w:szCs w:val="24"/>
        </w:rPr>
        <w:t xml:space="preserve">r0  </w:t>
      </w:r>
      <w:r>
        <w:rPr>
          <w:rFonts w:ascii="宋体" w:hAnsi="宋体" w:eastAsia="宋体" w:cs="宋体"/>
          <w:spacing w:val="-1"/>
          <w:position w:val="2"/>
          <w:sz w:val="24"/>
          <w:szCs w:val="24"/>
        </w:rPr>
        <w:t>——参考点至声源的距离，</w:t>
      </w:r>
      <w:r>
        <w:rPr>
          <w:rFonts w:ascii="Times New Roman" w:hAnsi="Times New Roman" w:eastAsia="Times New Roman" w:cs="Times New Roman"/>
          <w:spacing w:val="-1"/>
          <w:position w:val="2"/>
          <w:sz w:val="24"/>
          <w:szCs w:val="24"/>
        </w:rPr>
        <w:t>m</w:t>
      </w:r>
      <w:r>
        <w:rPr>
          <w:rFonts w:ascii="宋体" w:hAnsi="宋体" w:eastAsia="宋体" w:cs="宋体"/>
          <w:spacing w:val="-1"/>
          <w:position w:val="2"/>
          <w:sz w:val="24"/>
          <w:szCs w:val="24"/>
        </w:rPr>
        <w:t>；</w:t>
      </w:r>
    </w:p>
    <w:p w14:paraId="10D25F85">
      <w:pPr>
        <w:spacing w:before="167" w:line="332" w:lineRule="auto"/>
        <w:ind w:left="604" w:right="1311" w:firstLine="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L oct  </w:t>
      </w:r>
      <w:r>
        <w:rPr>
          <w:rFonts w:ascii="宋体" w:hAnsi="宋体" w:eastAsia="宋体" w:cs="宋体"/>
          <w:spacing w:val="-2"/>
          <w:sz w:val="24"/>
          <w:szCs w:val="24"/>
        </w:rPr>
        <w:t>——声屏障、遮挡物、空气吸收、地面效应引起的衰减量。</w:t>
      </w:r>
      <w:r>
        <w:rPr>
          <w:rFonts w:ascii="宋体" w:hAnsi="宋体" w:eastAsia="宋体" w:cs="宋体"/>
          <w:spacing w:val="1"/>
          <w:sz w:val="24"/>
          <w:szCs w:val="24"/>
        </w:rPr>
        <w:t xml:space="preserve"> </w:t>
      </w:r>
      <w:r>
        <w:rPr>
          <w:rFonts w:ascii="宋体" w:hAnsi="宋体" w:eastAsia="宋体" w:cs="宋体"/>
          <w:b/>
          <w:bCs/>
          <w:spacing w:val="-3"/>
          <w:sz w:val="24"/>
          <w:szCs w:val="24"/>
        </w:rPr>
        <w:t>预测点的总等效声级</w:t>
      </w:r>
      <w:r>
        <w:rPr>
          <w:rFonts w:ascii="宋体" w:hAnsi="宋体" w:eastAsia="宋体" w:cs="宋体"/>
          <w:spacing w:val="-52"/>
          <w:sz w:val="24"/>
          <w:szCs w:val="24"/>
        </w:rPr>
        <w:t xml:space="preserve"> </w:t>
      </w:r>
      <w:r>
        <w:rPr>
          <w:rFonts w:ascii="Times New Roman" w:hAnsi="Times New Roman" w:eastAsia="Times New Roman" w:cs="Times New Roman"/>
          <w:b/>
          <w:bCs/>
          <w:spacing w:val="-3"/>
          <w:sz w:val="24"/>
          <w:szCs w:val="24"/>
        </w:rPr>
        <w:t>Leq</w:t>
      </w:r>
      <w:r>
        <w:rPr>
          <w:rFonts w:ascii="宋体" w:hAnsi="宋体" w:eastAsia="宋体" w:cs="宋体"/>
          <w:b/>
          <w:bCs/>
          <w:spacing w:val="-3"/>
          <w:sz w:val="24"/>
          <w:szCs w:val="24"/>
        </w:rPr>
        <w:t>：</w:t>
      </w:r>
    </w:p>
    <w:p w14:paraId="1079765A">
      <w:pPr>
        <w:spacing w:line="631" w:lineRule="exact"/>
        <w:ind w:firstLine="3248"/>
      </w:pPr>
      <w:r>
        <w:rPr>
          <w:position w:val="-12"/>
        </w:rPr>
        <w:drawing>
          <wp:inline distT="0" distB="0" distL="0" distR="0">
            <wp:extent cx="1875790" cy="40068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35"/>
                    <a:stretch>
                      <a:fillRect/>
                    </a:stretch>
                  </pic:blipFill>
                  <pic:spPr>
                    <a:xfrm>
                      <a:off x="0" y="0"/>
                      <a:ext cx="1876044" cy="400811"/>
                    </a:xfrm>
                    <a:prstGeom prst="rect">
                      <a:avLst/>
                    </a:prstGeom>
                  </pic:spPr>
                </pic:pic>
              </a:graphicData>
            </a:graphic>
          </wp:inline>
        </w:drawing>
      </w:r>
    </w:p>
    <w:p w14:paraId="14D03BED">
      <w:pPr>
        <w:spacing w:line="631" w:lineRule="exact"/>
        <w:sectPr>
          <w:footerReference r:id="rId141" w:type="default"/>
          <w:pgSz w:w="11906" w:h="16839"/>
          <w:pgMar w:top="400" w:right="1475" w:bottom="1485" w:left="1475" w:header="0" w:footer="1249" w:gutter="0"/>
          <w:cols w:space="720" w:num="1"/>
        </w:sectPr>
      </w:pPr>
    </w:p>
    <w:p w14:paraId="3053948D">
      <w:pPr>
        <w:pStyle w:val="2"/>
        <w:spacing w:line="255" w:lineRule="auto"/>
      </w:pPr>
    </w:p>
    <w:p w14:paraId="3FF74414">
      <w:pPr>
        <w:pStyle w:val="2"/>
        <w:spacing w:line="255" w:lineRule="auto"/>
      </w:pPr>
    </w:p>
    <w:p w14:paraId="2512E937">
      <w:pPr>
        <w:pStyle w:val="2"/>
        <w:spacing w:line="256" w:lineRule="auto"/>
      </w:pPr>
    </w:p>
    <w:p w14:paraId="5983CC33">
      <w:pPr>
        <w:pStyle w:val="2"/>
        <w:spacing w:line="256" w:lineRule="auto"/>
      </w:pPr>
    </w:p>
    <w:p w14:paraId="4778E45C">
      <w:pPr>
        <w:spacing w:before="78" w:line="333" w:lineRule="exact"/>
        <w:ind w:left="1154"/>
        <w:rPr>
          <w:rFonts w:ascii="宋体" w:hAnsi="宋体" w:eastAsia="宋体" w:cs="宋体"/>
          <w:sz w:val="24"/>
          <w:szCs w:val="24"/>
        </w:rPr>
      </w:pPr>
      <w:r>
        <w:rPr>
          <w:rFonts w:ascii="宋体" w:hAnsi="宋体" w:eastAsia="宋体" w:cs="宋体"/>
          <w:spacing w:val="-1"/>
          <w:position w:val="3"/>
          <w:sz w:val="24"/>
          <w:szCs w:val="24"/>
        </w:rPr>
        <w:t>式中：</w:t>
      </w:r>
      <w:r>
        <w:rPr>
          <w:rFonts w:ascii="Times New Roman" w:hAnsi="Times New Roman" w:eastAsia="Times New Roman" w:cs="Times New Roman"/>
          <w:spacing w:val="-1"/>
          <w:position w:val="3"/>
          <w:sz w:val="24"/>
          <w:szCs w:val="24"/>
        </w:rPr>
        <w:t>L eqg</w:t>
      </w:r>
      <w:r>
        <w:rPr>
          <w:rFonts w:ascii="宋体" w:hAnsi="宋体" w:eastAsia="宋体" w:cs="宋体"/>
          <w:spacing w:val="-1"/>
          <w:position w:val="3"/>
          <w:sz w:val="24"/>
          <w:szCs w:val="24"/>
        </w:rPr>
        <w:t>——建设项目声源在预测点的等效声级贡献值，</w:t>
      </w:r>
      <w:r>
        <w:rPr>
          <w:rFonts w:ascii="Times New Roman" w:hAnsi="Times New Roman" w:eastAsia="Times New Roman" w:cs="Times New Roman"/>
          <w:spacing w:val="-1"/>
          <w:position w:val="3"/>
          <w:sz w:val="24"/>
          <w:szCs w:val="24"/>
        </w:rPr>
        <w:t>dB(A)</w:t>
      </w:r>
      <w:r>
        <w:rPr>
          <w:rFonts w:ascii="宋体" w:hAnsi="宋体" w:eastAsia="宋体" w:cs="宋体"/>
          <w:spacing w:val="-1"/>
          <w:position w:val="3"/>
          <w:sz w:val="24"/>
          <w:szCs w:val="24"/>
        </w:rPr>
        <w:t>；</w:t>
      </w:r>
    </w:p>
    <w:p w14:paraId="71A83B52">
      <w:pPr>
        <w:spacing w:before="156" w:line="334" w:lineRule="exact"/>
        <w:ind w:left="1918"/>
        <w:rPr>
          <w:rFonts w:ascii="宋体" w:hAnsi="宋体" w:eastAsia="宋体" w:cs="宋体"/>
          <w:sz w:val="24"/>
          <w:szCs w:val="24"/>
        </w:rPr>
      </w:pPr>
      <w:r>
        <w:rPr>
          <w:rFonts w:ascii="Times New Roman" w:hAnsi="Times New Roman" w:eastAsia="Times New Roman" w:cs="Times New Roman"/>
          <w:spacing w:val="-1"/>
          <w:position w:val="3"/>
          <w:sz w:val="24"/>
          <w:szCs w:val="24"/>
        </w:rPr>
        <w:t>L eqb</w:t>
      </w:r>
      <w:r>
        <w:rPr>
          <w:rFonts w:ascii="宋体" w:hAnsi="宋体" w:eastAsia="宋体" w:cs="宋体"/>
          <w:spacing w:val="-1"/>
          <w:position w:val="3"/>
          <w:sz w:val="24"/>
          <w:szCs w:val="24"/>
        </w:rPr>
        <w:t>——预测点的背景值，</w:t>
      </w:r>
      <w:r>
        <w:rPr>
          <w:rFonts w:ascii="Times New Roman" w:hAnsi="Times New Roman" w:eastAsia="Times New Roman" w:cs="Times New Roman"/>
          <w:spacing w:val="-1"/>
          <w:position w:val="3"/>
          <w:sz w:val="24"/>
          <w:szCs w:val="24"/>
        </w:rPr>
        <w:t xml:space="preserve">dB(A)  </w:t>
      </w:r>
      <w:r>
        <w:rPr>
          <w:rFonts w:ascii="宋体" w:hAnsi="宋体" w:eastAsia="宋体" w:cs="宋体"/>
          <w:spacing w:val="-1"/>
          <w:position w:val="3"/>
          <w:sz w:val="24"/>
          <w:szCs w:val="24"/>
        </w:rPr>
        <w:t>。</w:t>
      </w:r>
    </w:p>
    <w:p w14:paraId="15DAD6E7">
      <w:pPr>
        <w:spacing w:before="192" w:line="219" w:lineRule="auto"/>
        <w:ind w:left="603"/>
        <w:rPr>
          <w:rFonts w:ascii="宋体" w:hAnsi="宋体" w:eastAsia="宋体" w:cs="宋体"/>
          <w:sz w:val="24"/>
          <w:szCs w:val="24"/>
        </w:rPr>
      </w:pPr>
      <w:r>
        <w:rPr>
          <w:rFonts w:ascii="宋体" w:hAnsi="宋体" w:eastAsia="宋体" w:cs="宋体"/>
          <w:b/>
          <w:bCs/>
          <w:spacing w:val="-3"/>
          <w:sz w:val="24"/>
          <w:szCs w:val="24"/>
        </w:rPr>
        <w:t>户外声传播衰减计算：</w:t>
      </w:r>
    </w:p>
    <w:p w14:paraId="09BE06F0">
      <w:pPr>
        <w:spacing w:before="204" w:line="375" w:lineRule="auto"/>
        <w:ind w:left="124" w:right="124" w:firstLine="479"/>
        <w:rPr>
          <w:rFonts w:ascii="宋体" w:hAnsi="宋体" w:eastAsia="宋体" w:cs="宋体"/>
          <w:sz w:val="24"/>
          <w:szCs w:val="24"/>
        </w:rPr>
      </w:pPr>
      <w:r>
        <w:rPr>
          <w:rFonts w:ascii="宋体" w:hAnsi="宋体" w:eastAsia="宋体" w:cs="宋体"/>
          <w:spacing w:val="-3"/>
          <w:sz w:val="24"/>
          <w:szCs w:val="24"/>
        </w:rPr>
        <w:t>户外声传播衰减包括几何发散（</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3"/>
          <w:position w:val="-1"/>
          <w:sz w:val="15"/>
          <w:szCs w:val="15"/>
        </w:rPr>
        <w:t>div</w:t>
      </w:r>
      <w:r>
        <w:rPr>
          <w:rFonts w:ascii="宋体" w:hAnsi="宋体" w:eastAsia="宋体" w:cs="宋体"/>
          <w:spacing w:val="-3"/>
          <w:sz w:val="24"/>
          <w:szCs w:val="24"/>
        </w:rPr>
        <w:t>）、大气吸收（</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3"/>
          <w:position w:val="-1"/>
          <w:sz w:val="15"/>
          <w:szCs w:val="15"/>
        </w:rPr>
        <w:t xml:space="preserve">atm </w:t>
      </w:r>
      <w:r>
        <w:rPr>
          <w:rFonts w:ascii="宋体" w:hAnsi="宋体" w:eastAsia="宋体" w:cs="宋体"/>
          <w:spacing w:val="-3"/>
          <w:sz w:val="24"/>
          <w:szCs w:val="24"/>
        </w:rPr>
        <w:t>）、地面效应（</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3"/>
          <w:position w:val="-1"/>
          <w:sz w:val="15"/>
          <w:szCs w:val="15"/>
        </w:rPr>
        <w:t xml:space="preserve">gr </w:t>
      </w:r>
      <w:r>
        <w:rPr>
          <w:rFonts w:ascii="宋体" w:hAnsi="宋体" w:eastAsia="宋体" w:cs="宋体"/>
          <w:spacing w:val="-3"/>
          <w:sz w:val="24"/>
          <w:szCs w:val="24"/>
        </w:rPr>
        <w:t>）、</w:t>
      </w:r>
      <w:r>
        <w:rPr>
          <w:rFonts w:ascii="宋体" w:hAnsi="宋体" w:eastAsia="宋体" w:cs="宋体"/>
          <w:spacing w:val="18"/>
          <w:sz w:val="24"/>
          <w:szCs w:val="24"/>
        </w:rPr>
        <w:t xml:space="preserve"> </w:t>
      </w:r>
      <w:r>
        <w:rPr>
          <w:rFonts w:ascii="宋体" w:hAnsi="宋体" w:eastAsia="宋体" w:cs="宋体"/>
          <w:sz w:val="24"/>
          <w:szCs w:val="24"/>
        </w:rPr>
        <w:t>屏障屏蔽（</w:t>
      </w: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bar</w:t>
      </w:r>
      <w:r>
        <w:rPr>
          <w:rFonts w:ascii="宋体" w:hAnsi="宋体" w:eastAsia="宋体" w:cs="宋体"/>
          <w:sz w:val="24"/>
          <w:szCs w:val="24"/>
        </w:rPr>
        <w:t>）、其他多方面效应（</w:t>
      </w: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misc</w:t>
      </w:r>
      <w:r>
        <w:rPr>
          <w:rFonts w:ascii="宋体" w:hAnsi="宋体" w:eastAsia="宋体" w:cs="宋体"/>
          <w:sz w:val="24"/>
          <w:szCs w:val="24"/>
        </w:rPr>
        <w:t>）引起的衰减。</w:t>
      </w:r>
    </w:p>
    <w:p w14:paraId="069EFA39">
      <w:pPr>
        <w:spacing w:before="2" w:line="220" w:lineRule="auto"/>
        <w:ind w:left="602"/>
        <w:rPr>
          <w:rFonts w:ascii="宋体" w:hAnsi="宋体" w:eastAsia="宋体" w:cs="宋体"/>
          <w:sz w:val="24"/>
          <w:szCs w:val="24"/>
        </w:rPr>
      </w:pPr>
      <w:r>
        <w:rPr>
          <w:rFonts w:ascii="宋体" w:hAnsi="宋体" w:eastAsia="宋体" w:cs="宋体"/>
          <w:spacing w:val="-1"/>
          <w:sz w:val="24"/>
          <w:szCs w:val="24"/>
        </w:rPr>
        <w:t>距声源点</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r </w:t>
      </w:r>
      <w:r>
        <w:rPr>
          <w:rFonts w:ascii="宋体" w:hAnsi="宋体" w:eastAsia="宋体" w:cs="宋体"/>
          <w:spacing w:val="-1"/>
          <w:sz w:val="24"/>
          <w:szCs w:val="24"/>
        </w:rPr>
        <w:t>处的</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 xml:space="preserve">A </w:t>
      </w:r>
      <w:r>
        <w:rPr>
          <w:rFonts w:ascii="宋体" w:hAnsi="宋体" w:eastAsia="宋体" w:cs="宋体"/>
          <w:spacing w:val="-1"/>
          <w:sz w:val="24"/>
          <w:szCs w:val="24"/>
        </w:rPr>
        <w:t>声级按下式计算：</w:t>
      </w:r>
    </w:p>
    <w:p w14:paraId="17E8F761">
      <w:pPr>
        <w:spacing w:before="94" w:line="621" w:lineRule="exact"/>
        <w:ind w:firstLine="1896"/>
      </w:pPr>
      <w:r>
        <w:rPr>
          <w:position w:val="-12"/>
        </w:rPr>
        <w:drawing>
          <wp:inline distT="0" distB="0" distL="0" distR="0">
            <wp:extent cx="3590290" cy="39433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36"/>
                    <a:stretch>
                      <a:fillRect/>
                    </a:stretch>
                  </pic:blipFill>
                  <pic:spPr>
                    <a:xfrm>
                      <a:off x="0" y="0"/>
                      <a:ext cx="3590544" cy="394716"/>
                    </a:xfrm>
                    <a:prstGeom prst="rect">
                      <a:avLst/>
                    </a:prstGeom>
                  </pic:spPr>
                </pic:pic>
              </a:graphicData>
            </a:graphic>
          </wp:inline>
        </w:drawing>
      </w:r>
    </w:p>
    <w:p w14:paraId="1FCA08F3">
      <w:pPr>
        <w:spacing w:before="138" w:line="363" w:lineRule="auto"/>
        <w:ind w:left="127" w:right="202" w:firstLine="474"/>
        <w:rPr>
          <w:rFonts w:ascii="宋体" w:hAnsi="宋体" w:eastAsia="宋体" w:cs="宋体"/>
          <w:sz w:val="24"/>
          <w:szCs w:val="24"/>
        </w:rPr>
      </w:pPr>
      <w:r>
        <w:rPr>
          <w:rFonts w:ascii="宋体" w:hAnsi="宋体" w:eastAsia="宋体" w:cs="宋体"/>
          <w:sz w:val="24"/>
          <w:szCs w:val="24"/>
        </w:rPr>
        <w:t>在预测中考虑反射引起的修正、屏障引起的衰减、双绕</w:t>
      </w:r>
      <w:r>
        <w:rPr>
          <w:rFonts w:ascii="宋体" w:hAnsi="宋体" w:eastAsia="宋体" w:cs="宋体"/>
          <w:spacing w:val="-1"/>
          <w:sz w:val="24"/>
          <w:szCs w:val="24"/>
        </w:rPr>
        <w:t>射、室内声源等效室外</w:t>
      </w:r>
      <w:r>
        <w:rPr>
          <w:rFonts w:ascii="宋体" w:hAnsi="宋体" w:eastAsia="宋体" w:cs="宋体"/>
          <w:sz w:val="24"/>
          <w:szCs w:val="24"/>
        </w:rPr>
        <w:t xml:space="preserve"> </w:t>
      </w:r>
      <w:r>
        <w:rPr>
          <w:rFonts w:ascii="宋体" w:hAnsi="宋体" w:eastAsia="宋体" w:cs="宋体"/>
          <w:spacing w:val="-2"/>
          <w:sz w:val="24"/>
          <w:szCs w:val="24"/>
        </w:rPr>
        <w:t>声源等影响和计算方法。</w:t>
      </w:r>
    </w:p>
    <w:p w14:paraId="48FF8CBB">
      <w:pPr>
        <w:spacing w:line="333" w:lineRule="exact"/>
        <w:ind w:left="602"/>
        <w:rPr>
          <w:rFonts w:ascii="宋体" w:hAnsi="宋体" w:eastAsia="宋体" w:cs="宋体"/>
          <w:sz w:val="24"/>
          <w:szCs w:val="24"/>
        </w:rPr>
      </w:pPr>
      <w:r>
        <w:rPr>
          <w:rFonts w:ascii="宋体" w:hAnsi="宋体" w:eastAsia="宋体" w:cs="宋体"/>
          <w:spacing w:val="-2"/>
          <w:position w:val="3"/>
          <w:sz w:val="24"/>
          <w:szCs w:val="24"/>
        </w:rPr>
        <w:t xml:space="preserve">猪舍及围墙的隔声量一般采用 </w:t>
      </w:r>
      <w:r>
        <w:rPr>
          <w:rFonts w:ascii="Times New Roman" w:hAnsi="Times New Roman" w:eastAsia="Times New Roman" w:cs="Times New Roman"/>
          <w:spacing w:val="-2"/>
          <w:position w:val="3"/>
          <w:sz w:val="24"/>
          <w:szCs w:val="24"/>
        </w:rPr>
        <w:t>10~20 dB(A)</w:t>
      </w:r>
      <w:r>
        <w:rPr>
          <w:rFonts w:ascii="Times New Roman" w:hAnsi="Times New Roman" w:eastAsia="Times New Roman" w:cs="Times New Roman"/>
          <w:spacing w:val="-23"/>
          <w:position w:val="3"/>
          <w:sz w:val="24"/>
          <w:szCs w:val="24"/>
        </w:rPr>
        <w:t xml:space="preserve"> </w:t>
      </w:r>
      <w:r>
        <w:rPr>
          <w:rFonts w:ascii="宋体" w:hAnsi="宋体" w:eastAsia="宋体" w:cs="宋体"/>
          <w:spacing w:val="-2"/>
          <w:position w:val="3"/>
          <w:sz w:val="24"/>
          <w:szCs w:val="24"/>
        </w:rPr>
        <w:t>，本项目取</w:t>
      </w:r>
      <w:r>
        <w:rPr>
          <w:rFonts w:ascii="宋体" w:hAnsi="宋体" w:eastAsia="宋体" w:cs="宋体"/>
          <w:spacing w:val="28"/>
          <w:position w:val="3"/>
          <w:sz w:val="24"/>
          <w:szCs w:val="24"/>
        </w:rPr>
        <w:t xml:space="preserve"> </w:t>
      </w:r>
      <w:r>
        <w:rPr>
          <w:rFonts w:ascii="Times New Roman" w:hAnsi="Times New Roman" w:eastAsia="Times New Roman" w:cs="Times New Roman"/>
          <w:spacing w:val="-2"/>
          <w:position w:val="3"/>
          <w:sz w:val="24"/>
          <w:szCs w:val="24"/>
        </w:rPr>
        <w:t>10 dB(A)</w:t>
      </w:r>
      <w:r>
        <w:rPr>
          <w:rFonts w:ascii="宋体" w:hAnsi="宋体" w:eastAsia="宋体" w:cs="宋体"/>
          <w:spacing w:val="-2"/>
          <w:position w:val="3"/>
          <w:sz w:val="24"/>
          <w:szCs w:val="24"/>
        </w:rPr>
        <w:t>。</w:t>
      </w:r>
    </w:p>
    <w:p w14:paraId="7A671209">
      <w:pPr>
        <w:spacing w:before="153" w:line="360" w:lineRule="exact"/>
        <w:ind w:left="603"/>
        <w:rPr>
          <w:rFonts w:ascii="宋体" w:hAnsi="宋体" w:eastAsia="宋体" w:cs="宋体"/>
          <w:sz w:val="24"/>
          <w:szCs w:val="24"/>
        </w:rPr>
      </w:pPr>
      <w:r>
        <w:rPr>
          <w:rFonts w:ascii="宋体" w:hAnsi="宋体" w:eastAsia="宋体" w:cs="宋体"/>
          <w:spacing w:val="-1"/>
          <w:position w:val="2"/>
          <w:sz w:val="24"/>
          <w:szCs w:val="24"/>
        </w:rPr>
        <w:t xml:space="preserve">本项目取场界范围外 </w:t>
      </w:r>
      <w:r>
        <w:rPr>
          <w:rFonts w:ascii="Times New Roman" w:hAnsi="Times New Roman" w:eastAsia="Times New Roman" w:cs="Times New Roman"/>
          <w:spacing w:val="-1"/>
          <w:position w:val="2"/>
          <w:sz w:val="24"/>
          <w:szCs w:val="24"/>
        </w:rPr>
        <w:t xml:space="preserve">1 m  </w:t>
      </w:r>
      <w:r>
        <w:rPr>
          <w:rFonts w:ascii="宋体" w:hAnsi="宋体" w:eastAsia="宋体" w:cs="宋体"/>
          <w:spacing w:val="-1"/>
          <w:position w:val="2"/>
          <w:sz w:val="24"/>
          <w:szCs w:val="24"/>
        </w:rPr>
        <w:t>作为声源参考点，各间隔距离如下表：</w:t>
      </w:r>
    </w:p>
    <w:p w14:paraId="4F836B8E">
      <w:pPr>
        <w:spacing w:before="180" w:line="229" w:lineRule="auto"/>
        <w:ind w:left="3008"/>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b/>
          <w:bCs/>
          <w:spacing w:val="6"/>
          <w:sz w:val="20"/>
          <w:szCs w:val="20"/>
        </w:rPr>
        <w:t xml:space="preserve">5.2-18 </w:t>
      </w:r>
      <w:r>
        <w:rPr>
          <w:rFonts w:ascii="宋体" w:hAnsi="宋体" w:eastAsia="宋体" w:cs="宋体"/>
          <w:b/>
          <w:bCs/>
          <w:spacing w:val="6"/>
          <w:sz w:val="20"/>
          <w:szCs w:val="20"/>
        </w:rPr>
        <w:t>项目噪声源强及预测点距离</w:t>
      </w:r>
    </w:p>
    <w:p w14:paraId="4BF289D5">
      <w:pPr>
        <w:spacing w:line="103"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3"/>
        <w:gridCol w:w="1788"/>
        <w:gridCol w:w="1788"/>
        <w:gridCol w:w="1788"/>
        <w:gridCol w:w="1793"/>
      </w:tblGrid>
      <w:tr w14:paraId="68645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793" w:type="dxa"/>
            <w:vMerge w:val="restart"/>
            <w:tcBorders>
              <w:bottom w:val="nil"/>
            </w:tcBorders>
            <w:vAlign w:val="top"/>
          </w:tcPr>
          <w:p w14:paraId="1D433849">
            <w:pPr>
              <w:pStyle w:val="6"/>
              <w:spacing w:before="64" w:line="229" w:lineRule="auto"/>
              <w:ind w:left="483"/>
            </w:pPr>
            <w:r>
              <w:rPr>
                <w:b/>
                <w:bCs/>
                <w:spacing w:val="6"/>
              </w:rPr>
              <w:t>主要声源</w:t>
            </w:r>
          </w:p>
        </w:tc>
        <w:tc>
          <w:tcPr>
            <w:tcW w:w="1788" w:type="dxa"/>
            <w:vAlign w:val="top"/>
          </w:tcPr>
          <w:p w14:paraId="33D8D636">
            <w:pPr>
              <w:pStyle w:val="6"/>
              <w:spacing w:before="64" w:line="228" w:lineRule="auto"/>
              <w:ind w:left="271"/>
            </w:pPr>
            <w:r>
              <w:rPr>
                <w:b/>
                <w:bCs/>
                <w:spacing w:val="6"/>
              </w:rPr>
              <w:t>项目东面边界</w:t>
            </w:r>
          </w:p>
        </w:tc>
        <w:tc>
          <w:tcPr>
            <w:tcW w:w="1788" w:type="dxa"/>
            <w:vAlign w:val="top"/>
          </w:tcPr>
          <w:p w14:paraId="253D8481">
            <w:pPr>
              <w:pStyle w:val="6"/>
              <w:spacing w:before="64" w:line="229" w:lineRule="auto"/>
              <w:ind w:left="271"/>
            </w:pPr>
            <w:r>
              <w:rPr>
                <w:b/>
                <w:bCs/>
                <w:spacing w:val="6"/>
              </w:rPr>
              <w:t>项目南面边界</w:t>
            </w:r>
          </w:p>
        </w:tc>
        <w:tc>
          <w:tcPr>
            <w:tcW w:w="1788" w:type="dxa"/>
            <w:vAlign w:val="top"/>
          </w:tcPr>
          <w:p w14:paraId="3A0F9F2D">
            <w:pPr>
              <w:pStyle w:val="6"/>
              <w:spacing w:before="64" w:line="229" w:lineRule="auto"/>
              <w:ind w:left="273"/>
            </w:pPr>
            <w:r>
              <w:rPr>
                <w:b/>
                <w:bCs/>
                <w:spacing w:val="6"/>
              </w:rPr>
              <w:t>项目西面边界</w:t>
            </w:r>
          </w:p>
        </w:tc>
        <w:tc>
          <w:tcPr>
            <w:tcW w:w="1793" w:type="dxa"/>
            <w:vAlign w:val="top"/>
          </w:tcPr>
          <w:p w14:paraId="0F215F42">
            <w:pPr>
              <w:pStyle w:val="6"/>
              <w:spacing w:before="64" w:line="229" w:lineRule="auto"/>
              <w:ind w:left="275"/>
            </w:pPr>
            <w:r>
              <w:rPr>
                <w:b/>
                <w:bCs/>
                <w:spacing w:val="6"/>
              </w:rPr>
              <w:t>项目北面边界</w:t>
            </w:r>
          </w:p>
        </w:tc>
      </w:tr>
      <w:tr w14:paraId="7653B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793" w:type="dxa"/>
            <w:vMerge w:val="continue"/>
            <w:tcBorders>
              <w:top w:val="nil"/>
            </w:tcBorders>
            <w:vAlign w:val="top"/>
          </w:tcPr>
          <w:p w14:paraId="4D6942E0">
            <w:pPr>
              <w:rPr>
                <w:rFonts w:ascii="Arial"/>
                <w:sz w:val="21"/>
              </w:rPr>
            </w:pPr>
          </w:p>
        </w:tc>
        <w:tc>
          <w:tcPr>
            <w:tcW w:w="7157" w:type="dxa"/>
            <w:gridSpan w:val="4"/>
            <w:vAlign w:val="top"/>
          </w:tcPr>
          <w:p w14:paraId="1280B75E">
            <w:pPr>
              <w:pStyle w:val="6"/>
              <w:spacing w:before="61" w:line="229" w:lineRule="auto"/>
              <w:ind w:left="3257"/>
              <w:rPr>
                <w:rFonts w:ascii="Times New Roman" w:hAnsi="Times New Roman" w:eastAsia="Times New Roman" w:cs="Times New Roman"/>
              </w:rPr>
            </w:pPr>
            <w:r>
              <w:rPr>
                <w:b/>
                <w:bCs/>
                <w:spacing w:val="2"/>
              </w:rPr>
              <w:t>距离</w:t>
            </w:r>
            <w:r>
              <w:rPr>
                <w:spacing w:val="-36"/>
              </w:rPr>
              <w:t xml:space="preserve"> </w:t>
            </w:r>
            <w:r>
              <w:rPr>
                <w:rFonts w:ascii="Times New Roman" w:hAnsi="Times New Roman" w:eastAsia="Times New Roman" w:cs="Times New Roman"/>
                <w:b/>
                <w:bCs/>
                <w:spacing w:val="2"/>
              </w:rPr>
              <w:t>m</w:t>
            </w:r>
          </w:p>
        </w:tc>
      </w:tr>
      <w:tr w14:paraId="525D2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793" w:type="dxa"/>
            <w:vAlign w:val="top"/>
          </w:tcPr>
          <w:p w14:paraId="36DF9CCC">
            <w:pPr>
              <w:pStyle w:val="6"/>
              <w:spacing w:before="62" w:line="229" w:lineRule="auto"/>
              <w:ind w:left="692"/>
            </w:pPr>
            <w:r>
              <w:rPr>
                <w:spacing w:val="4"/>
              </w:rPr>
              <w:t>猪舍</w:t>
            </w:r>
          </w:p>
        </w:tc>
        <w:tc>
          <w:tcPr>
            <w:tcW w:w="1788" w:type="dxa"/>
            <w:vAlign w:val="top"/>
          </w:tcPr>
          <w:p w14:paraId="42EBD45A">
            <w:pPr>
              <w:spacing w:before="31" w:line="274" w:lineRule="exact"/>
              <w:ind w:left="80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788" w:type="dxa"/>
            <w:vAlign w:val="top"/>
          </w:tcPr>
          <w:p w14:paraId="06D9BD58">
            <w:pPr>
              <w:spacing w:before="31" w:line="274" w:lineRule="exact"/>
              <w:ind w:left="7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788" w:type="dxa"/>
            <w:vAlign w:val="top"/>
          </w:tcPr>
          <w:p w14:paraId="6C35A1E9">
            <w:pPr>
              <w:spacing w:before="31" w:line="274" w:lineRule="exact"/>
              <w:ind w:left="7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793" w:type="dxa"/>
            <w:vAlign w:val="top"/>
          </w:tcPr>
          <w:p w14:paraId="6A1FE189">
            <w:pPr>
              <w:spacing w:before="31"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6CD8A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793" w:type="dxa"/>
            <w:vAlign w:val="top"/>
          </w:tcPr>
          <w:p w14:paraId="1E61A324">
            <w:pPr>
              <w:pStyle w:val="6"/>
              <w:spacing w:before="62" w:line="228" w:lineRule="auto"/>
              <w:ind w:left="167"/>
            </w:pPr>
            <w:r>
              <w:rPr>
                <w:spacing w:val="8"/>
              </w:rPr>
              <w:t>有机肥发酵车间</w:t>
            </w:r>
          </w:p>
        </w:tc>
        <w:tc>
          <w:tcPr>
            <w:tcW w:w="1788" w:type="dxa"/>
            <w:vAlign w:val="top"/>
          </w:tcPr>
          <w:p w14:paraId="4EED17C6">
            <w:pPr>
              <w:spacing w:before="32" w:line="274" w:lineRule="exact"/>
              <w:ind w:left="80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788" w:type="dxa"/>
            <w:vAlign w:val="top"/>
          </w:tcPr>
          <w:p w14:paraId="44F626E2">
            <w:pPr>
              <w:spacing w:before="32" w:line="274" w:lineRule="exact"/>
              <w:ind w:left="7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120</w:t>
            </w:r>
          </w:p>
        </w:tc>
        <w:tc>
          <w:tcPr>
            <w:tcW w:w="1788" w:type="dxa"/>
            <w:vAlign w:val="top"/>
          </w:tcPr>
          <w:p w14:paraId="445CFE28">
            <w:pPr>
              <w:spacing w:before="32" w:line="274" w:lineRule="exact"/>
              <w:ind w:left="7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793" w:type="dxa"/>
            <w:vAlign w:val="top"/>
          </w:tcPr>
          <w:p w14:paraId="6AF9F9C2">
            <w:pPr>
              <w:spacing w:before="32"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620CE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793" w:type="dxa"/>
            <w:vAlign w:val="top"/>
          </w:tcPr>
          <w:p w14:paraId="4A5C9531">
            <w:pPr>
              <w:pStyle w:val="6"/>
              <w:spacing w:before="64" w:line="229" w:lineRule="auto"/>
              <w:ind w:left="587"/>
            </w:pPr>
            <w:r>
              <w:rPr>
                <w:spacing w:val="6"/>
              </w:rPr>
              <w:t>配电房</w:t>
            </w:r>
          </w:p>
        </w:tc>
        <w:tc>
          <w:tcPr>
            <w:tcW w:w="1788" w:type="dxa"/>
            <w:vAlign w:val="top"/>
          </w:tcPr>
          <w:p w14:paraId="7C5C9DBD">
            <w:pPr>
              <w:spacing w:before="33" w:line="274"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1788" w:type="dxa"/>
            <w:vAlign w:val="top"/>
          </w:tcPr>
          <w:p w14:paraId="5E155BB2">
            <w:pPr>
              <w:spacing w:before="33" w:line="274" w:lineRule="exact"/>
              <w:ind w:left="7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788" w:type="dxa"/>
            <w:vAlign w:val="top"/>
          </w:tcPr>
          <w:p w14:paraId="5DEEF568">
            <w:pPr>
              <w:spacing w:before="33" w:line="274" w:lineRule="exact"/>
              <w:ind w:left="7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793" w:type="dxa"/>
            <w:vAlign w:val="top"/>
          </w:tcPr>
          <w:p w14:paraId="44A3BB80">
            <w:pPr>
              <w:spacing w:before="33" w:line="274" w:lineRule="exact"/>
              <w:ind w:left="7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r>
    </w:tbl>
    <w:p w14:paraId="4E34F991">
      <w:pPr>
        <w:spacing w:before="287"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5"/>
          <w:sz w:val="24"/>
          <w:szCs w:val="24"/>
        </w:rPr>
        <w:t>3</w:t>
      </w:r>
      <w:r>
        <w:rPr>
          <w:rFonts w:ascii="Times New Roman" w:hAnsi="Times New Roman" w:eastAsia="Times New Roman" w:cs="Times New Roman"/>
          <w:b/>
          <w:bCs/>
          <w:spacing w:val="-31"/>
          <w:sz w:val="24"/>
          <w:szCs w:val="24"/>
        </w:rPr>
        <w:t xml:space="preserve"> </w:t>
      </w:r>
      <w:r>
        <w:rPr>
          <w:rFonts w:ascii="宋体" w:hAnsi="宋体" w:eastAsia="宋体" w:cs="宋体"/>
          <w:b/>
          <w:bCs/>
          <w:spacing w:val="-5"/>
          <w:sz w:val="24"/>
          <w:szCs w:val="24"/>
        </w:rPr>
        <w:t>、预测结果评价分析</w:t>
      </w:r>
    </w:p>
    <w:p w14:paraId="31068AD1">
      <w:pPr>
        <w:spacing w:before="206" w:line="392" w:lineRule="auto"/>
        <w:ind w:left="122" w:right="18" w:firstLine="480"/>
        <w:jc w:val="both"/>
        <w:rPr>
          <w:rFonts w:ascii="宋体" w:hAnsi="宋体" w:eastAsia="宋体" w:cs="宋体"/>
          <w:sz w:val="24"/>
          <w:szCs w:val="24"/>
        </w:rPr>
      </w:pPr>
      <w:r>
        <w:rPr>
          <w:rFonts w:ascii="宋体" w:hAnsi="宋体" w:eastAsia="宋体" w:cs="宋体"/>
          <w:spacing w:val="-2"/>
          <w:sz w:val="24"/>
          <w:szCs w:val="24"/>
        </w:rPr>
        <w:t>本评价采用点声源分布模式预测分析本项目主要声源同时运行的最不利情况下，</w:t>
      </w:r>
      <w:r>
        <w:rPr>
          <w:rFonts w:ascii="宋体" w:hAnsi="宋体" w:eastAsia="宋体" w:cs="宋体"/>
          <w:spacing w:val="2"/>
          <w:sz w:val="24"/>
          <w:szCs w:val="24"/>
        </w:rPr>
        <w:t xml:space="preserve"> 所产生的噪声对拟建项目厂界噪声贡献值与背景噪声值叠加后的影响。厂界的预测</w:t>
      </w:r>
      <w:r>
        <w:rPr>
          <w:rFonts w:ascii="宋体" w:hAnsi="宋体" w:eastAsia="宋体" w:cs="宋体"/>
          <w:spacing w:val="6"/>
          <w:sz w:val="24"/>
          <w:szCs w:val="24"/>
        </w:rPr>
        <w:t xml:space="preserve"> </w:t>
      </w:r>
      <w:r>
        <w:rPr>
          <w:rFonts w:ascii="宋体" w:hAnsi="宋体" w:eastAsia="宋体" w:cs="宋体"/>
          <w:spacing w:val="-3"/>
          <w:sz w:val="24"/>
          <w:szCs w:val="24"/>
        </w:rPr>
        <w:t>结果见</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5.2-19</w:t>
      </w:r>
      <w:r>
        <w:rPr>
          <w:rFonts w:ascii="宋体" w:hAnsi="宋体" w:eastAsia="宋体" w:cs="宋体"/>
          <w:spacing w:val="-3"/>
          <w:sz w:val="24"/>
          <w:szCs w:val="24"/>
        </w:rPr>
        <w:t>。</w:t>
      </w:r>
    </w:p>
    <w:p w14:paraId="4C47E3B4">
      <w:pPr>
        <w:spacing w:before="7" w:line="229" w:lineRule="auto"/>
        <w:ind w:left="2487"/>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2"/>
          <w:sz w:val="20"/>
          <w:szCs w:val="20"/>
        </w:rPr>
        <w:t xml:space="preserve"> </w:t>
      </w:r>
      <w:r>
        <w:rPr>
          <w:rFonts w:ascii="Times New Roman" w:hAnsi="Times New Roman" w:eastAsia="Times New Roman" w:cs="Times New Roman"/>
          <w:b/>
          <w:bCs/>
          <w:spacing w:val="5"/>
          <w:sz w:val="20"/>
          <w:szCs w:val="20"/>
        </w:rPr>
        <w:t>5.2-19</w:t>
      </w:r>
      <w:r>
        <w:rPr>
          <w:rFonts w:ascii="Times New Roman" w:hAnsi="Times New Roman" w:eastAsia="Times New Roman" w:cs="Times New Roman"/>
          <w:b/>
          <w:bCs/>
          <w:spacing w:val="20"/>
          <w:sz w:val="20"/>
          <w:szCs w:val="20"/>
        </w:rPr>
        <w:t xml:space="preserve"> </w:t>
      </w:r>
      <w:r>
        <w:rPr>
          <w:rFonts w:ascii="宋体" w:hAnsi="宋体" w:eastAsia="宋体" w:cs="宋体"/>
          <w:b/>
          <w:bCs/>
          <w:spacing w:val="5"/>
          <w:sz w:val="20"/>
          <w:szCs w:val="20"/>
        </w:rPr>
        <w:t>噪声影响预测结果单位：</w:t>
      </w:r>
      <w:r>
        <w:rPr>
          <w:rFonts w:ascii="Times New Roman" w:hAnsi="Times New Roman" w:eastAsia="Times New Roman" w:cs="Times New Roman"/>
          <w:b/>
          <w:bCs/>
          <w:sz w:val="20"/>
          <w:szCs w:val="20"/>
        </w:rPr>
        <w:t>dB</w:t>
      </w:r>
      <w:r>
        <w:rPr>
          <w:rFonts w:ascii="宋体" w:hAnsi="宋体" w:eastAsia="宋体" w:cs="宋体"/>
          <w:b/>
          <w:bCs/>
          <w:spacing w:val="5"/>
          <w:sz w:val="20"/>
          <w:szCs w:val="20"/>
        </w:rPr>
        <w:t>（</w:t>
      </w:r>
      <w:r>
        <w:rPr>
          <w:rFonts w:ascii="Times New Roman" w:hAnsi="Times New Roman" w:eastAsia="Times New Roman" w:cs="Times New Roman"/>
          <w:b/>
          <w:bCs/>
          <w:spacing w:val="5"/>
          <w:sz w:val="20"/>
          <w:szCs w:val="20"/>
        </w:rPr>
        <w:t>A</w:t>
      </w:r>
      <w:r>
        <w:rPr>
          <w:rFonts w:ascii="宋体" w:hAnsi="宋体" w:eastAsia="宋体" w:cs="宋体"/>
          <w:b/>
          <w:bCs/>
          <w:spacing w:val="5"/>
          <w:sz w:val="20"/>
          <w:szCs w:val="20"/>
        </w:rPr>
        <w:t>）</w:t>
      </w:r>
    </w:p>
    <w:p w14:paraId="40DC4498">
      <w:pPr>
        <w:spacing w:line="155"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3"/>
        <w:gridCol w:w="994"/>
        <w:gridCol w:w="988"/>
        <w:gridCol w:w="825"/>
        <w:gridCol w:w="812"/>
        <w:gridCol w:w="908"/>
        <w:gridCol w:w="909"/>
        <w:gridCol w:w="908"/>
        <w:gridCol w:w="793"/>
      </w:tblGrid>
      <w:tr w14:paraId="6683E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813" w:type="dxa"/>
            <w:vMerge w:val="restart"/>
            <w:tcBorders>
              <w:bottom w:val="nil"/>
            </w:tcBorders>
            <w:vAlign w:val="top"/>
          </w:tcPr>
          <w:p w14:paraId="3714FFEE">
            <w:pPr>
              <w:spacing w:line="335" w:lineRule="auto"/>
              <w:rPr>
                <w:rFonts w:ascii="Arial"/>
                <w:sz w:val="21"/>
              </w:rPr>
            </w:pPr>
          </w:p>
          <w:p w14:paraId="19FE7B26">
            <w:pPr>
              <w:pStyle w:val="6"/>
              <w:spacing w:before="65" w:line="229" w:lineRule="auto"/>
              <w:ind w:left="598"/>
            </w:pPr>
            <w:r>
              <w:rPr>
                <w:spacing w:val="6"/>
              </w:rPr>
              <w:t>预测点</w:t>
            </w:r>
          </w:p>
        </w:tc>
        <w:tc>
          <w:tcPr>
            <w:tcW w:w="3619" w:type="dxa"/>
            <w:gridSpan w:val="4"/>
            <w:vAlign w:val="top"/>
          </w:tcPr>
          <w:p w14:paraId="0405FCF4">
            <w:pPr>
              <w:pStyle w:val="6"/>
              <w:spacing w:before="71" w:line="231" w:lineRule="auto"/>
              <w:ind w:left="1602"/>
            </w:pPr>
            <w:r>
              <w:rPr>
                <w:spacing w:val="5"/>
              </w:rPr>
              <w:t>昼间</w:t>
            </w:r>
          </w:p>
        </w:tc>
        <w:tc>
          <w:tcPr>
            <w:tcW w:w="3518" w:type="dxa"/>
            <w:gridSpan w:val="4"/>
            <w:vAlign w:val="top"/>
          </w:tcPr>
          <w:p w14:paraId="60F2845E">
            <w:pPr>
              <w:pStyle w:val="6"/>
              <w:spacing w:before="71" w:line="228" w:lineRule="auto"/>
              <w:ind w:left="1556"/>
            </w:pPr>
            <w:r>
              <w:rPr>
                <w:spacing w:val="3"/>
              </w:rPr>
              <w:t>夜间</w:t>
            </w:r>
          </w:p>
        </w:tc>
      </w:tr>
      <w:tr w14:paraId="6FD6C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813" w:type="dxa"/>
            <w:vMerge w:val="continue"/>
            <w:tcBorders>
              <w:top w:val="nil"/>
            </w:tcBorders>
            <w:vAlign w:val="top"/>
          </w:tcPr>
          <w:p w14:paraId="7256BC08">
            <w:pPr>
              <w:rPr>
                <w:rFonts w:ascii="Arial"/>
                <w:sz w:val="21"/>
              </w:rPr>
            </w:pPr>
          </w:p>
        </w:tc>
        <w:tc>
          <w:tcPr>
            <w:tcW w:w="994" w:type="dxa"/>
            <w:vAlign w:val="top"/>
          </w:tcPr>
          <w:p w14:paraId="3562386B">
            <w:pPr>
              <w:pStyle w:val="6"/>
              <w:spacing w:before="61" w:line="270" w:lineRule="auto"/>
              <w:ind w:left="294" w:right="182" w:hanging="107"/>
            </w:pPr>
            <w:r>
              <w:rPr>
                <w:spacing w:val="6"/>
              </w:rPr>
              <w:t>现状背</w:t>
            </w:r>
            <w:r>
              <w:t xml:space="preserve"> </w:t>
            </w:r>
            <w:r>
              <w:rPr>
                <w:spacing w:val="3"/>
              </w:rPr>
              <w:t>景值</w:t>
            </w:r>
          </w:p>
        </w:tc>
        <w:tc>
          <w:tcPr>
            <w:tcW w:w="988" w:type="dxa"/>
            <w:vAlign w:val="top"/>
          </w:tcPr>
          <w:p w14:paraId="1E94E1DF">
            <w:pPr>
              <w:pStyle w:val="6"/>
              <w:spacing w:before="61" w:line="270" w:lineRule="auto"/>
              <w:ind w:left="288" w:right="177" w:hanging="100"/>
            </w:pPr>
            <w:r>
              <w:rPr>
                <w:spacing w:val="5"/>
              </w:rPr>
              <w:t>项目贡</w:t>
            </w:r>
            <w:r>
              <w:rPr>
                <w:spacing w:val="1"/>
              </w:rPr>
              <w:t xml:space="preserve"> </w:t>
            </w:r>
            <w:r>
              <w:rPr>
                <w:spacing w:val="4"/>
              </w:rPr>
              <w:t>献值</w:t>
            </w:r>
          </w:p>
        </w:tc>
        <w:tc>
          <w:tcPr>
            <w:tcW w:w="825" w:type="dxa"/>
            <w:vAlign w:val="top"/>
          </w:tcPr>
          <w:p w14:paraId="7BE272A2">
            <w:pPr>
              <w:pStyle w:val="6"/>
              <w:spacing w:before="61" w:line="270" w:lineRule="auto"/>
              <w:ind w:left="312" w:right="203" w:hanging="103"/>
            </w:pPr>
            <w:r>
              <w:rPr>
                <w:spacing w:val="3"/>
              </w:rPr>
              <w:t>预测</w:t>
            </w:r>
            <w:r>
              <w:t xml:space="preserve"> 值</w:t>
            </w:r>
          </w:p>
        </w:tc>
        <w:tc>
          <w:tcPr>
            <w:tcW w:w="812" w:type="dxa"/>
            <w:vAlign w:val="top"/>
          </w:tcPr>
          <w:p w14:paraId="10976F8E">
            <w:pPr>
              <w:pStyle w:val="6"/>
              <w:spacing w:before="60" w:line="229" w:lineRule="auto"/>
              <w:ind w:left="199"/>
            </w:pPr>
            <w:r>
              <w:rPr>
                <w:spacing w:val="5"/>
              </w:rPr>
              <w:t>达标</w:t>
            </w:r>
          </w:p>
          <w:p w14:paraId="04836C39">
            <w:pPr>
              <w:pStyle w:val="6"/>
              <w:spacing w:before="78" w:line="229" w:lineRule="auto"/>
              <w:ind w:left="199"/>
            </w:pPr>
            <w:r>
              <w:rPr>
                <w:spacing w:val="5"/>
              </w:rPr>
              <w:t>情况</w:t>
            </w:r>
          </w:p>
        </w:tc>
        <w:tc>
          <w:tcPr>
            <w:tcW w:w="908" w:type="dxa"/>
            <w:vAlign w:val="top"/>
          </w:tcPr>
          <w:p w14:paraId="1154DBF8">
            <w:pPr>
              <w:pStyle w:val="6"/>
              <w:spacing w:before="61" w:line="270" w:lineRule="auto"/>
              <w:ind w:left="253" w:right="137" w:hanging="107"/>
            </w:pPr>
            <w:r>
              <w:rPr>
                <w:spacing w:val="6"/>
              </w:rPr>
              <w:t>现状背</w:t>
            </w:r>
            <w:r>
              <w:t xml:space="preserve"> </w:t>
            </w:r>
            <w:r>
              <w:rPr>
                <w:spacing w:val="3"/>
              </w:rPr>
              <w:t>景值</w:t>
            </w:r>
          </w:p>
        </w:tc>
        <w:tc>
          <w:tcPr>
            <w:tcW w:w="909" w:type="dxa"/>
            <w:vAlign w:val="top"/>
          </w:tcPr>
          <w:p w14:paraId="550BB36B">
            <w:pPr>
              <w:pStyle w:val="6"/>
              <w:spacing w:before="61" w:line="270" w:lineRule="auto"/>
              <w:ind w:left="252" w:right="136" w:hanging="103"/>
            </w:pPr>
            <w:r>
              <w:rPr>
                <w:spacing w:val="5"/>
              </w:rPr>
              <w:t>项目贡</w:t>
            </w:r>
            <w:r>
              <w:rPr>
                <w:spacing w:val="1"/>
              </w:rPr>
              <w:t xml:space="preserve"> </w:t>
            </w:r>
            <w:r>
              <w:rPr>
                <w:spacing w:val="4"/>
              </w:rPr>
              <w:t>献值</w:t>
            </w:r>
          </w:p>
        </w:tc>
        <w:tc>
          <w:tcPr>
            <w:tcW w:w="908" w:type="dxa"/>
            <w:vAlign w:val="top"/>
          </w:tcPr>
          <w:p w14:paraId="2603A510">
            <w:pPr>
              <w:pStyle w:val="6"/>
              <w:spacing w:before="223" w:line="228" w:lineRule="auto"/>
              <w:ind w:left="148"/>
            </w:pPr>
            <w:r>
              <w:rPr>
                <w:spacing w:val="6"/>
              </w:rPr>
              <w:t>预测值</w:t>
            </w:r>
          </w:p>
        </w:tc>
        <w:tc>
          <w:tcPr>
            <w:tcW w:w="793" w:type="dxa"/>
            <w:vAlign w:val="top"/>
          </w:tcPr>
          <w:p w14:paraId="0242B8EF">
            <w:pPr>
              <w:pStyle w:val="6"/>
              <w:spacing w:before="60" w:line="229" w:lineRule="auto"/>
              <w:ind w:left="190"/>
            </w:pPr>
            <w:r>
              <w:rPr>
                <w:spacing w:val="5"/>
              </w:rPr>
              <w:t>达标</w:t>
            </w:r>
          </w:p>
          <w:p w14:paraId="027FFE1F">
            <w:pPr>
              <w:pStyle w:val="6"/>
              <w:spacing w:before="78" w:line="229" w:lineRule="auto"/>
              <w:ind w:left="190"/>
            </w:pPr>
            <w:r>
              <w:rPr>
                <w:spacing w:val="5"/>
              </w:rPr>
              <w:t>情况</w:t>
            </w:r>
          </w:p>
        </w:tc>
      </w:tr>
      <w:tr w14:paraId="2B28A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13" w:type="dxa"/>
            <w:vAlign w:val="top"/>
          </w:tcPr>
          <w:p w14:paraId="277FEAE6">
            <w:pPr>
              <w:pStyle w:val="6"/>
              <w:spacing w:before="66" w:line="228" w:lineRule="auto"/>
              <w:ind w:left="391"/>
            </w:pPr>
            <w:r>
              <w:rPr>
                <w:spacing w:val="7"/>
              </w:rPr>
              <w:t>项目东边界</w:t>
            </w:r>
          </w:p>
        </w:tc>
        <w:tc>
          <w:tcPr>
            <w:tcW w:w="994" w:type="dxa"/>
            <w:vAlign w:val="top"/>
          </w:tcPr>
          <w:p w14:paraId="6EC05EA3">
            <w:pPr>
              <w:spacing w:before="35" w:line="274" w:lineRule="exact"/>
              <w:ind w:left="39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58</w:t>
            </w:r>
          </w:p>
        </w:tc>
        <w:tc>
          <w:tcPr>
            <w:tcW w:w="988" w:type="dxa"/>
            <w:vAlign w:val="top"/>
          </w:tcPr>
          <w:p w14:paraId="4BB1CB5C">
            <w:pPr>
              <w:spacing w:before="35"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45.1</w:t>
            </w:r>
          </w:p>
        </w:tc>
        <w:tc>
          <w:tcPr>
            <w:tcW w:w="825" w:type="dxa"/>
            <w:vAlign w:val="top"/>
          </w:tcPr>
          <w:p w14:paraId="6DB98122">
            <w:pPr>
              <w:spacing w:before="35" w:line="274"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58.2</w:t>
            </w:r>
          </w:p>
        </w:tc>
        <w:tc>
          <w:tcPr>
            <w:tcW w:w="812" w:type="dxa"/>
            <w:vAlign w:val="top"/>
          </w:tcPr>
          <w:p w14:paraId="5B659FEB">
            <w:pPr>
              <w:pStyle w:val="6"/>
              <w:spacing w:before="66" w:line="229" w:lineRule="auto"/>
              <w:ind w:left="199"/>
            </w:pPr>
            <w:r>
              <w:rPr>
                <w:spacing w:val="5"/>
              </w:rPr>
              <w:t>达标</w:t>
            </w:r>
          </w:p>
        </w:tc>
        <w:tc>
          <w:tcPr>
            <w:tcW w:w="908" w:type="dxa"/>
            <w:vAlign w:val="top"/>
          </w:tcPr>
          <w:p w14:paraId="5671739B">
            <w:pPr>
              <w:spacing w:before="35" w:line="274"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w:t>
            </w:r>
          </w:p>
        </w:tc>
        <w:tc>
          <w:tcPr>
            <w:tcW w:w="909" w:type="dxa"/>
            <w:vAlign w:val="top"/>
          </w:tcPr>
          <w:p w14:paraId="5ABA4D72">
            <w:pPr>
              <w:spacing w:before="35"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45.1</w:t>
            </w:r>
          </w:p>
        </w:tc>
        <w:tc>
          <w:tcPr>
            <w:tcW w:w="908" w:type="dxa"/>
            <w:vAlign w:val="top"/>
          </w:tcPr>
          <w:p w14:paraId="498D8F3B">
            <w:pPr>
              <w:spacing w:before="35"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49.8</w:t>
            </w:r>
          </w:p>
        </w:tc>
        <w:tc>
          <w:tcPr>
            <w:tcW w:w="793" w:type="dxa"/>
            <w:vAlign w:val="top"/>
          </w:tcPr>
          <w:p w14:paraId="4E6685D4">
            <w:pPr>
              <w:pStyle w:val="6"/>
              <w:spacing w:before="66" w:line="229" w:lineRule="auto"/>
              <w:ind w:left="190"/>
            </w:pPr>
            <w:r>
              <w:rPr>
                <w:spacing w:val="5"/>
              </w:rPr>
              <w:t>达标</w:t>
            </w:r>
          </w:p>
        </w:tc>
      </w:tr>
      <w:tr w14:paraId="70A9A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13" w:type="dxa"/>
            <w:vAlign w:val="top"/>
          </w:tcPr>
          <w:p w14:paraId="23DDE7E3">
            <w:pPr>
              <w:pStyle w:val="6"/>
              <w:spacing w:before="67" w:line="229" w:lineRule="auto"/>
              <w:ind w:left="391"/>
            </w:pPr>
            <w:r>
              <w:rPr>
                <w:spacing w:val="7"/>
              </w:rPr>
              <w:t>项目南边界</w:t>
            </w:r>
          </w:p>
        </w:tc>
        <w:tc>
          <w:tcPr>
            <w:tcW w:w="994" w:type="dxa"/>
            <w:vAlign w:val="top"/>
          </w:tcPr>
          <w:p w14:paraId="1EE35390">
            <w:pPr>
              <w:spacing w:before="106" w:line="192"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988" w:type="dxa"/>
            <w:vAlign w:val="top"/>
          </w:tcPr>
          <w:p w14:paraId="30416B39">
            <w:pPr>
              <w:spacing w:before="36" w:line="275"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38.0</w:t>
            </w:r>
          </w:p>
        </w:tc>
        <w:tc>
          <w:tcPr>
            <w:tcW w:w="825" w:type="dxa"/>
            <w:vAlign w:val="top"/>
          </w:tcPr>
          <w:p w14:paraId="4E2F8A23">
            <w:pPr>
              <w:spacing w:before="36" w:line="275"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57.0</w:t>
            </w:r>
          </w:p>
        </w:tc>
        <w:tc>
          <w:tcPr>
            <w:tcW w:w="812" w:type="dxa"/>
            <w:vAlign w:val="top"/>
          </w:tcPr>
          <w:p w14:paraId="246F0EC3">
            <w:pPr>
              <w:pStyle w:val="6"/>
              <w:spacing w:before="67" w:line="229" w:lineRule="auto"/>
              <w:ind w:left="199"/>
            </w:pPr>
            <w:r>
              <w:rPr>
                <w:spacing w:val="5"/>
              </w:rPr>
              <w:t>达标</w:t>
            </w:r>
          </w:p>
        </w:tc>
        <w:tc>
          <w:tcPr>
            <w:tcW w:w="908" w:type="dxa"/>
            <w:vAlign w:val="top"/>
          </w:tcPr>
          <w:p w14:paraId="5C4E4701">
            <w:pPr>
              <w:spacing w:before="36" w:line="275"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909" w:type="dxa"/>
            <w:vAlign w:val="top"/>
          </w:tcPr>
          <w:p w14:paraId="70E10195">
            <w:pPr>
              <w:spacing w:before="36" w:line="275" w:lineRule="exact"/>
              <w:ind w:left="2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38.0</w:t>
            </w:r>
          </w:p>
        </w:tc>
        <w:tc>
          <w:tcPr>
            <w:tcW w:w="908" w:type="dxa"/>
            <w:vAlign w:val="top"/>
          </w:tcPr>
          <w:p w14:paraId="2A456217">
            <w:pPr>
              <w:spacing w:before="36" w:line="275"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47.5</w:t>
            </w:r>
          </w:p>
        </w:tc>
        <w:tc>
          <w:tcPr>
            <w:tcW w:w="793" w:type="dxa"/>
            <w:vAlign w:val="top"/>
          </w:tcPr>
          <w:p w14:paraId="70C591A8">
            <w:pPr>
              <w:pStyle w:val="6"/>
              <w:spacing w:before="67" w:line="229" w:lineRule="auto"/>
              <w:ind w:left="190"/>
            </w:pPr>
            <w:r>
              <w:rPr>
                <w:spacing w:val="5"/>
              </w:rPr>
              <w:t>达标</w:t>
            </w:r>
          </w:p>
        </w:tc>
      </w:tr>
      <w:tr w14:paraId="6CC63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13" w:type="dxa"/>
            <w:vAlign w:val="top"/>
          </w:tcPr>
          <w:p w14:paraId="62B229CE">
            <w:pPr>
              <w:pStyle w:val="6"/>
              <w:spacing w:before="69" w:line="229" w:lineRule="auto"/>
              <w:ind w:left="391"/>
            </w:pPr>
            <w:r>
              <w:rPr>
                <w:spacing w:val="7"/>
              </w:rPr>
              <w:t>项目西边界</w:t>
            </w:r>
          </w:p>
        </w:tc>
        <w:tc>
          <w:tcPr>
            <w:tcW w:w="994" w:type="dxa"/>
            <w:vAlign w:val="top"/>
          </w:tcPr>
          <w:p w14:paraId="7BDED58B">
            <w:pPr>
              <w:spacing w:before="107" w:line="192"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988" w:type="dxa"/>
            <w:vAlign w:val="top"/>
          </w:tcPr>
          <w:p w14:paraId="57D42F1E">
            <w:pPr>
              <w:spacing w:before="38"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44.8</w:t>
            </w:r>
          </w:p>
        </w:tc>
        <w:tc>
          <w:tcPr>
            <w:tcW w:w="825" w:type="dxa"/>
            <w:vAlign w:val="top"/>
          </w:tcPr>
          <w:p w14:paraId="634C207A">
            <w:pPr>
              <w:spacing w:before="38" w:line="274"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57.2</w:t>
            </w:r>
          </w:p>
        </w:tc>
        <w:tc>
          <w:tcPr>
            <w:tcW w:w="812" w:type="dxa"/>
            <w:vAlign w:val="top"/>
          </w:tcPr>
          <w:p w14:paraId="687B589D">
            <w:pPr>
              <w:pStyle w:val="6"/>
              <w:spacing w:before="69" w:line="229" w:lineRule="auto"/>
              <w:ind w:left="199"/>
            </w:pPr>
            <w:r>
              <w:rPr>
                <w:spacing w:val="5"/>
              </w:rPr>
              <w:t>达标</w:t>
            </w:r>
          </w:p>
        </w:tc>
        <w:tc>
          <w:tcPr>
            <w:tcW w:w="908" w:type="dxa"/>
            <w:vAlign w:val="top"/>
          </w:tcPr>
          <w:p w14:paraId="68ECC119">
            <w:pPr>
              <w:spacing w:before="38" w:line="274"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909" w:type="dxa"/>
            <w:vAlign w:val="top"/>
          </w:tcPr>
          <w:p w14:paraId="43A494B4">
            <w:pPr>
              <w:spacing w:before="38"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44.8</w:t>
            </w:r>
          </w:p>
        </w:tc>
        <w:tc>
          <w:tcPr>
            <w:tcW w:w="908" w:type="dxa"/>
            <w:vAlign w:val="top"/>
          </w:tcPr>
          <w:p w14:paraId="5B9B5C54">
            <w:pPr>
              <w:spacing w:before="38"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49.0</w:t>
            </w:r>
          </w:p>
        </w:tc>
        <w:tc>
          <w:tcPr>
            <w:tcW w:w="793" w:type="dxa"/>
            <w:vAlign w:val="top"/>
          </w:tcPr>
          <w:p w14:paraId="2252095A">
            <w:pPr>
              <w:pStyle w:val="6"/>
              <w:spacing w:before="69" w:line="229" w:lineRule="auto"/>
              <w:ind w:left="190"/>
            </w:pPr>
            <w:r>
              <w:rPr>
                <w:spacing w:val="5"/>
              </w:rPr>
              <w:t>达标</w:t>
            </w:r>
          </w:p>
        </w:tc>
      </w:tr>
      <w:tr w14:paraId="08D84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813" w:type="dxa"/>
            <w:vAlign w:val="top"/>
          </w:tcPr>
          <w:p w14:paraId="431FD149">
            <w:pPr>
              <w:pStyle w:val="6"/>
              <w:spacing w:before="70" w:line="229" w:lineRule="auto"/>
              <w:ind w:left="391"/>
            </w:pPr>
            <w:r>
              <w:rPr>
                <w:spacing w:val="7"/>
              </w:rPr>
              <w:t>项目北边界</w:t>
            </w:r>
          </w:p>
        </w:tc>
        <w:tc>
          <w:tcPr>
            <w:tcW w:w="994" w:type="dxa"/>
            <w:vAlign w:val="top"/>
          </w:tcPr>
          <w:p w14:paraId="141FF4E4">
            <w:pPr>
              <w:spacing w:before="109" w:line="192"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988" w:type="dxa"/>
            <w:vAlign w:val="top"/>
          </w:tcPr>
          <w:p w14:paraId="7467F0BE">
            <w:pPr>
              <w:spacing w:before="39"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45.4</w:t>
            </w:r>
          </w:p>
        </w:tc>
        <w:tc>
          <w:tcPr>
            <w:tcW w:w="825" w:type="dxa"/>
            <w:vAlign w:val="top"/>
          </w:tcPr>
          <w:p w14:paraId="255805D8">
            <w:pPr>
              <w:spacing w:before="39" w:line="274" w:lineRule="exact"/>
              <w:ind w:left="2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57.3</w:t>
            </w:r>
          </w:p>
        </w:tc>
        <w:tc>
          <w:tcPr>
            <w:tcW w:w="812" w:type="dxa"/>
            <w:vAlign w:val="top"/>
          </w:tcPr>
          <w:p w14:paraId="07C3F796">
            <w:pPr>
              <w:pStyle w:val="6"/>
              <w:spacing w:before="70" w:line="229" w:lineRule="auto"/>
              <w:ind w:left="199"/>
            </w:pPr>
            <w:r>
              <w:rPr>
                <w:spacing w:val="5"/>
              </w:rPr>
              <w:t>达标</w:t>
            </w:r>
          </w:p>
        </w:tc>
        <w:tc>
          <w:tcPr>
            <w:tcW w:w="908" w:type="dxa"/>
            <w:vAlign w:val="top"/>
          </w:tcPr>
          <w:p w14:paraId="0986085A">
            <w:pPr>
              <w:spacing w:before="39" w:line="274"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909" w:type="dxa"/>
            <w:vAlign w:val="top"/>
          </w:tcPr>
          <w:p w14:paraId="78FFB271">
            <w:pPr>
              <w:spacing w:before="39"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45.4</w:t>
            </w:r>
          </w:p>
        </w:tc>
        <w:tc>
          <w:tcPr>
            <w:tcW w:w="908" w:type="dxa"/>
            <w:vAlign w:val="top"/>
          </w:tcPr>
          <w:p w14:paraId="70A37BBF">
            <w:pPr>
              <w:spacing w:before="39"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49.3</w:t>
            </w:r>
          </w:p>
        </w:tc>
        <w:tc>
          <w:tcPr>
            <w:tcW w:w="793" w:type="dxa"/>
            <w:vAlign w:val="top"/>
          </w:tcPr>
          <w:p w14:paraId="11901440">
            <w:pPr>
              <w:pStyle w:val="6"/>
              <w:spacing w:before="70" w:line="229" w:lineRule="auto"/>
              <w:ind w:left="190"/>
            </w:pPr>
            <w:r>
              <w:rPr>
                <w:spacing w:val="5"/>
              </w:rPr>
              <w:t>达标</w:t>
            </w:r>
          </w:p>
        </w:tc>
      </w:tr>
    </w:tbl>
    <w:p w14:paraId="17C640D5">
      <w:pPr>
        <w:spacing w:before="252" w:line="313" w:lineRule="auto"/>
        <w:ind w:left="123" w:right="47" w:firstLine="480"/>
        <w:rPr>
          <w:rFonts w:ascii="宋体" w:hAnsi="宋体" w:eastAsia="宋体" w:cs="宋体"/>
          <w:sz w:val="24"/>
          <w:szCs w:val="24"/>
        </w:rPr>
      </w:pPr>
      <w:r>
        <w:rPr>
          <w:rFonts w:ascii="宋体" w:hAnsi="宋体" w:eastAsia="宋体" w:cs="宋体"/>
          <w:spacing w:val="-2"/>
          <w:sz w:val="24"/>
          <w:szCs w:val="24"/>
        </w:rPr>
        <w:t>经预测，边界达到《声环境质量标准》（</w:t>
      </w:r>
      <w:r>
        <w:rPr>
          <w:rFonts w:ascii="Times New Roman" w:hAnsi="Times New Roman" w:eastAsia="Times New Roman" w:cs="Times New Roman"/>
          <w:spacing w:val="-2"/>
          <w:sz w:val="24"/>
          <w:szCs w:val="24"/>
        </w:rPr>
        <w:t>GB 3096-200</w:t>
      </w:r>
      <w:r>
        <w:rPr>
          <w:rFonts w:ascii="Times New Roman" w:hAnsi="Times New Roman" w:eastAsia="Times New Roman" w:cs="Times New Roman"/>
          <w:spacing w:val="-3"/>
          <w:sz w:val="24"/>
          <w:szCs w:val="24"/>
        </w:rPr>
        <w:t>8</w:t>
      </w:r>
      <w:r>
        <w:rPr>
          <w:rFonts w:ascii="宋体" w:hAnsi="宋体" w:eastAsia="宋体" w:cs="宋体"/>
          <w:spacing w:val="-3"/>
          <w:sz w:val="24"/>
          <w:szCs w:val="24"/>
        </w:rPr>
        <w:t>）中的</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类标准。因此，</w:t>
      </w:r>
      <w:r>
        <w:rPr>
          <w:rFonts w:ascii="宋体" w:hAnsi="宋体" w:eastAsia="宋体" w:cs="宋体"/>
          <w:sz w:val="24"/>
          <w:szCs w:val="24"/>
        </w:rPr>
        <w:t xml:space="preserve"> </w:t>
      </w:r>
      <w:r>
        <w:rPr>
          <w:rFonts w:ascii="宋体" w:hAnsi="宋体" w:eastAsia="宋体" w:cs="宋体"/>
          <w:spacing w:val="-1"/>
          <w:sz w:val="24"/>
          <w:szCs w:val="24"/>
        </w:rPr>
        <w:t>本项目设备噪声源经采取有效的降噪措施后，对周边环境影响较小</w:t>
      </w:r>
    </w:p>
    <w:p w14:paraId="40C340F1">
      <w:pPr>
        <w:spacing w:line="313" w:lineRule="auto"/>
        <w:rPr>
          <w:rFonts w:ascii="宋体" w:hAnsi="宋体" w:eastAsia="宋体" w:cs="宋体"/>
          <w:sz w:val="24"/>
          <w:szCs w:val="24"/>
        </w:rPr>
        <w:sectPr>
          <w:footerReference r:id="rId142" w:type="default"/>
          <w:pgSz w:w="11906" w:h="16839"/>
          <w:pgMar w:top="400" w:right="1475" w:bottom="1485" w:left="1475" w:header="0" w:footer="1249" w:gutter="0"/>
          <w:cols w:space="720" w:num="1"/>
        </w:sectPr>
      </w:pPr>
    </w:p>
    <w:p w14:paraId="32A1C37C">
      <w:pPr>
        <w:pStyle w:val="2"/>
        <w:spacing w:line="264" w:lineRule="auto"/>
      </w:pPr>
    </w:p>
    <w:p w14:paraId="3C7B8A54">
      <w:pPr>
        <w:pStyle w:val="2"/>
        <w:spacing w:line="264" w:lineRule="auto"/>
      </w:pPr>
    </w:p>
    <w:p w14:paraId="479AB864">
      <w:pPr>
        <w:pStyle w:val="2"/>
        <w:spacing w:line="264" w:lineRule="auto"/>
      </w:pPr>
    </w:p>
    <w:p w14:paraId="528BFFA2">
      <w:pPr>
        <w:pStyle w:val="2"/>
        <w:spacing w:line="265" w:lineRule="auto"/>
      </w:pPr>
    </w:p>
    <w:p w14:paraId="2D6878C0">
      <w:pPr>
        <w:spacing w:before="78" w:line="221" w:lineRule="auto"/>
        <w:outlineLvl w:val="0"/>
        <w:rPr>
          <w:rFonts w:ascii="宋体" w:hAnsi="宋体" w:eastAsia="宋体" w:cs="宋体"/>
          <w:sz w:val="24"/>
          <w:szCs w:val="24"/>
        </w:rPr>
      </w:pPr>
      <w:r>
        <w:rPr>
          <w:rFonts w:ascii="Times New Roman" w:hAnsi="Times New Roman" w:eastAsia="Times New Roman" w:cs="Times New Roman"/>
          <w:b/>
          <w:bCs/>
          <w:spacing w:val="-5"/>
          <w:sz w:val="24"/>
          <w:szCs w:val="24"/>
        </w:rPr>
        <w:t>4</w:t>
      </w:r>
      <w:r>
        <w:rPr>
          <w:rFonts w:ascii="Times New Roman" w:hAnsi="Times New Roman" w:eastAsia="Times New Roman" w:cs="Times New Roman"/>
          <w:b/>
          <w:bCs/>
          <w:spacing w:val="-28"/>
          <w:sz w:val="24"/>
          <w:szCs w:val="24"/>
        </w:rPr>
        <w:t xml:space="preserve"> </w:t>
      </w:r>
      <w:r>
        <w:rPr>
          <w:rFonts w:ascii="宋体" w:hAnsi="宋体" w:eastAsia="宋体" w:cs="宋体"/>
          <w:b/>
          <w:bCs/>
          <w:spacing w:val="-5"/>
          <w:sz w:val="24"/>
          <w:szCs w:val="24"/>
        </w:rPr>
        <w:t>、声环境影响分析结论</w:t>
      </w:r>
    </w:p>
    <w:p w14:paraId="7AC14CD6">
      <w:pPr>
        <w:spacing w:before="168" w:line="383" w:lineRule="auto"/>
        <w:ind w:left="3" w:right="78" w:firstLine="509"/>
        <w:jc w:val="both"/>
        <w:rPr>
          <w:rFonts w:ascii="宋体" w:hAnsi="宋体" w:eastAsia="宋体" w:cs="宋体"/>
          <w:sz w:val="24"/>
          <w:szCs w:val="24"/>
        </w:rPr>
      </w:pPr>
      <w:r>
        <w:rPr>
          <w:rFonts w:ascii="宋体" w:hAnsi="宋体" w:eastAsia="宋体" w:cs="宋体"/>
          <w:sz w:val="24"/>
          <w:szCs w:val="24"/>
        </w:rPr>
        <w:t>由表</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5.2-19</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的预测结果可见，本项目建设后，</w:t>
      </w:r>
      <w:r>
        <w:rPr>
          <w:rFonts w:ascii="宋体" w:hAnsi="宋体" w:eastAsia="宋体" w:cs="宋体"/>
          <w:spacing w:val="-1"/>
          <w:sz w:val="24"/>
          <w:szCs w:val="24"/>
        </w:rPr>
        <w:t>主要噪声源置于建筑物内，在采</w:t>
      </w:r>
      <w:r>
        <w:rPr>
          <w:rFonts w:ascii="宋体" w:hAnsi="宋体" w:eastAsia="宋体" w:cs="宋体"/>
          <w:sz w:val="24"/>
          <w:szCs w:val="24"/>
        </w:rPr>
        <w:t xml:space="preserve"> </w:t>
      </w:r>
      <w:r>
        <w:rPr>
          <w:rFonts w:ascii="宋体" w:hAnsi="宋体" w:eastAsia="宋体" w:cs="宋体"/>
          <w:spacing w:val="2"/>
          <w:sz w:val="24"/>
          <w:szCs w:val="24"/>
        </w:rPr>
        <w:t>取低噪声设备、隔音、消音措施后，主要噪声源产生的噪声对各边界昼间声级贡献</w:t>
      </w:r>
      <w:r>
        <w:rPr>
          <w:rFonts w:ascii="宋体" w:hAnsi="宋体" w:eastAsia="宋体" w:cs="宋体"/>
          <w:spacing w:val="6"/>
          <w:sz w:val="24"/>
          <w:szCs w:val="24"/>
        </w:rPr>
        <w:t xml:space="preserve"> </w:t>
      </w:r>
      <w:r>
        <w:rPr>
          <w:rFonts w:ascii="宋体" w:hAnsi="宋体" w:eastAsia="宋体" w:cs="宋体"/>
          <w:sz w:val="24"/>
          <w:szCs w:val="24"/>
        </w:rPr>
        <w:t>值为</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38~44.8dB(A)</w:t>
      </w:r>
      <w:r>
        <w:rPr>
          <w:rFonts w:ascii="Times New Roman" w:hAnsi="Times New Roman" w:eastAsia="Times New Roman" w:cs="Times New Roman"/>
          <w:spacing w:val="-23"/>
          <w:sz w:val="24"/>
          <w:szCs w:val="24"/>
        </w:rPr>
        <w:t xml:space="preserve"> </w:t>
      </w:r>
      <w:r>
        <w:rPr>
          <w:rFonts w:ascii="宋体" w:hAnsi="宋体" w:eastAsia="宋体" w:cs="宋体"/>
          <w:sz w:val="24"/>
          <w:szCs w:val="24"/>
        </w:rPr>
        <w:t>。本项目正常运营情况下，昼夜对各边界贡献值均能达到《工业 企业厂界环境噪声排放标准》（</w:t>
      </w:r>
      <w:r>
        <w:rPr>
          <w:rFonts w:ascii="Times New Roman" w:hAnsi="Times New Roman" w:eastAsia="Times New Roman" w:cs="Times New Roman"/>
          <w:sz w:val="24"/>
          <w:szCs w:val="24"/>
        </w:rPr>
        <w:t>GB12348-200</w:t>
      </w:r>
      <w:r>
        <w:rPr>
          <w:rFonts w:ascii="Times New Roman" w:hAnsi="Times New Roman" w:eastAsia="Times New Roman" w:cs="Times New Roman"/>
          <w:spacing w:val="-1"/>
          <w:sz w:val="24"/>
          <w:szCs w:val="24"/>
        </w:rPr>
        <w:t>8</w:t>
      </w:r>
      <w:r>
        <w:rPr>
          <w:rFonts w:ascii="宋体" w:hAnsi="宋体" w:eastAsia="宋体" w:cs="宋体"/>
          <w:spacing w:val="-1"/>
          <w:sz w:val="24"/>
          <w:szCs w:val="24"/>
        </w:rPr>
        <w:t>）中</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类标准昼、夜间标准值。</w:t>
      </w:r>
    </w:p>
    <w:p w14:paraId="55924467">
      <w:pPr>
        <w:spacing w:before="295" w:line="219" w:lineRule="auto"/>
        <w:ind w:left="2"/>
        <w:outlineLvl w:val="1"/>
        <w:rPr>
          <w:rFonts w:ascii="宋体" w:hAnsi="宋体" w:eastAsia="宋体" w:cs="宋体"/>
          <w:sz w:val="24"/>
          <w:szCs w:val="24"/>
        </w:rPr>
      </w:pPr>
      <w:r>
        <w:rPr>
          <w:rFonts w:ascii="Times New Roman" w:hAnsi="Times New Roman" w:eastAsia="Times New Roman" w:cs="Times New Roman"/>
          <w:b/>
          <w:bCs/>
          <w:spacing w:val="-2"/>
          <w:sz w:val="24"/>
          <w:szCs w:val="24"/>
        </w:rPr>
        <w:t>5.2.5</w:t>
      </w:r>
      <w:r>
        <w:rPr>
          <w:rFonts w:ascii="宋体" w:hAnsi="宋体" w:eastAsia="宋体" w:cs="宋体"/>
          <w:b/>
          <w:bCs/>
          <w:spacing w:val="-2"/>
          <w:sz w:val="24"/>
          <w:szCs w:val="24"/>
        </w:rPr>
        <w:t>固体废物环境影响评价</w:t>
      </w:r>
    </w:p>
    <w:p w14:paraId="4A3974F3">
      <w:pPr>
        <w:pStyle w:val="2"/>
        <w:spacing w:line="281" w:lineRule="auto"/>
      </w:pPr>
    </w:p>
    <w:p w14:paraId="59887C32">
      <w:pPr>
        <w:spacing w:before="78" w:line="220" w:lineRule="auto"/>
        <w:ind w:left="489"/>
        <w:rPr>
          <w:rFonts w:ascii="宋体" w:hAnsi="宋体" w:eastAsia="宋体" w:cs="宋体"/>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3"/>
          <w:sz w:val="24"/>
          <w:szCs w:val="24"/>
        </w:rPr>
        <w:t xml:space="preserve"> </w:t>
      </w:r>
      <w:r>
        <w:rPr>
          <w:rFonts w:ascii="宋体" w:hAnsi="宋体" w:eastAsia="宋体" w:cs="宋体"/>
          <w:b/>
          <w:bCs/>
          <w:spacing w:val="-6"/>
          <w:sz w:val="24"/>
          <w:szCs w:val="24"/>
        </w:rPr>
        <w:t>、固体废物来源及产生量</w:t>
      </w:r>
    </w:p>
    <w:p w14:paraId="0A00945C">
      <w:pPr>
        <w:spacing w:before="203" w:line="362" w:lineRule="auto"/>
        <w:ind w:left="5" w:right="81" w:firstLine="479"/>
        <w:rPr>
          <w:rFonts w:ascii="宋体" w:hAnsi="宋体" w:eastAsia="宋体" w:cs="宋体"/>
          <w:sz w:val="24"/>
          <w:szCs w:val="24"/>
        </w:rPr>
      </w:pPr>
      <w:r>
        <w:rPr>
          <w:rFonts w:ascii="宋体" w:hAnsi="宋体" w:eastAsia="宋体" w:cs="宋体"/>
          <w:spacing w:val="2"/>
          <w:sz w:val="24"/>
          <w:szCs w:val="24"/>
        </w:rPr>
        <w:t>本项目固体废物主要包括粪便、病死猪尸体、员工的办公生活垃圾、废包装物</w:t>
      </w:r>
      <w:r>
        <w:rPr>
          <w:rFonts w:ascii="宋体" w:hAnsi="宋体" w:eastAsia="宋体" w:cs="宋体"/>
          <w:spacing w:val="9"/>
          <w:sz w:val="24"/>
          <w:szCs w:val="24"/>
        </w:rPr>
        <w:t xml:space="preserve"> </w:t>
      </w:r>
      <w:r>
        <w:rPr>
          <w:rFonts w:ascii="宋体" w:hAnsi="宋体" w:eastAsia="宋体" w:cs="宋体"/>
          <w:sz w:val="24"/>
          <w:szCs w:val="24"/>
        </w:rPr>
        <w:t>等。此外，猪只检疫、生病时使用医疗设备会产生少</w:t>
      </w:r>
      <w:r>
        <w:rPr>
          <w:rFonts w:ascii="宋体" w:hAnsi="宋体" w:eastAsia="宋体" w:cs="宋体"/>
          <w:spacing w:val="-1"/>
          <w:sz w:val="24"/>
          <w:szCs w:val="24"/>
        </w:rPr>
        <w:t>量医疗垃圾，属于危险废物。</w:t>
      </w:r>
    </w:p>
    <w:p w14:paraId="6B844613">
      <w:pPr>
        <w:spacing w:before="4" w:line="373" w:lineRule="auto"/>
        <w:ind w:left="5" w:firstLine="478"/>
        <w:rPr>
          <w:rFonts w:ascii="宋体" w:hAnsi="宋体" w:eastAsia="宋体" w:cs="宋体"/>
          <w:sz w:val="24"/>
          <w:szCs w:val="24"/>
        </w:rPr>
      </w:pPr>
      <w:r>
        <w:rPr>
          <w:rFonts w:ascii="宋体" w:hAnsi="宋体" w:eastAsia="宋体" w:cs="宋体"/>
          <w:spacing w:val="-2"/>
          <w:sz w:val="24"/>
          <w:szCs w:val="24"/>
        </w:rPr>
        <w:t>根据“工程分析</w:t>
      </w:r>
      <w:r>
        <w:rPr>
          <w:rFonts w:ascii="宋体" w:hAnsi="宋体" w:eastAsia="宋体" w:cs="宋体"/>
          <w:spacing w:val="-85"/>
          <w:sz w:val="24"/>
          <w:szCs w:val="24"/>
        </w:rPr>
        <w:t xml:space="preserve"> </w:t>
      </w:r>
      <w:r>
        <w:rPr>
          <w:rFonts w:ascii="宋体" w:hAnsi="宋体" w:eastAsia="宋体" w:cs="宋体"/>
          <w:spacing w:val="-2"/>
          <w:sz w:val="24"/>
          <w:szCs w:val="24"/>
        </w:rPr>
        <w:t>”可知，本项目运营期粪便产生量为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14t/d</w:t>
      </w:r>
      <w:r>
        <w:rPr>
          <w:rFonts w:ascii="宋体" w:hAnsi="宋体" w:eastAsia="宋体" w:cs="宋体"/>
          <w:spacing w:val="-2"/>
          <w:sz w:val="24"/>
          <w:szCs w:val="24"/>
        </w:rPr>
        <w:t>（</w:t>
      </w:r>
      <w:r>
        <w:rPr>
          <w:rFonts w:ascii="Times New Roman" w:hAnsi="Times New Roman" w:eastAsia="Times New Roman" w:cs="Times New Roman"/>
          <w:spacing w:val="-2"/>
          <w:sz w:val="24"/>
          <w:szCs w:val="24"/>
        </w:rPr>
        <w:t>5110t/a</w:t>
      </w:r>
      <w:r>
        <w:rPr>
          <w:rFonts w:ascii="宋体" w:hAnsi="宋体" w:eastAsia="宋体" w:cs="宋体"/>
          <w:spacing w:val="12"/>
          <w:sz w:val="24"/>
          <w:szCs w:val="24"/>
        </w:rPr>
        <w:t>），</w:t>
      </w:r>
      <w:r>
        <w:rPr>
          <w:rFonts w:ascii="宋体" w:hAnsi="宋体" w:eastAsia="宋体" w:cs="宋体"/>
          <w:spacing w:val="-2"/>
          <w:sz w:val="24"/>
          <w:szCs w:val="24"/>
        </w:rPr>
        <w:t>病死猪</w:t>
      </w:r>
      <w:r>
        <w:rPr>
          <w:rFonts w:ascii="宋体" w:hAnsi="宋体" w:eastAsia="宋体" w:cs="宋体"/>
          <w:sz w:val="24"/>
          <w:szCs w:val="24"/>
        </w:rPr>
        <w:t xml:space="preserve"> </w:t>
      </w:r>
      <w:r>
        <w:rPr>
          <w:rFonts w:ascii="宋体" w:hAnsi="宋体" w:eastAsia="宋体" w:cs="宋体"/>
          <w:spacing w:val="-1"/>
          <w:sz w:val="24"/>
          <w:szCs w:val="24"/>
        </w:rPr>
        <w:t>尸体产生量为</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3.75t/a</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，员工办公生活垃圾产生量为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0.008t/d</w:t>
      </w:r>
      <w:r>
        <w:rPr>
          <w:rFonts w:ascii="宋体" w:hAnsi="宋体" w:eastAsia="宋体" w:cs="宋体"/>
          <w:spacing w:val="-1"/>
          <w:sz w:val="24"/>
          <w:szCs w:val="24"/>
        </w:rPr>
        <w:t>（</w:t>
      </w:r>
      <w:r>
        <w:rPr>
          <w:rFonts w:ascii="Times New Roman" w:hAnsi="Times New Roman" w:eastAsia="Times New Roman" w:cs="Times New Roman"/>
          <w:spacing w:val="-2"/>
          <w:sz w:val="24"/>
          <w:szCs w:val="24"/>
        </w:rPr>
        <w:t>2.92t/a</w:t>
      </w:r>
      <w:r>
        <w:rPr>
          <w:rFonts w:ascii="宋体" w:hAnsi="宋体" w:eastAsia="宋体" w:cs="宋体"/>
          <w:spacing w:val="11"/>
          <w:sz w:val="24"/>
          <w:szCs w:val="24"/>
        </w:rPr>
        <w:t>），</w:t>
      </w:r>
      <w:r>
        <w:rPr>
          <w:rFonts w:ascii="宋体" w:hAnsi="宋体" w:eastAsia="宋体" w:cs="宋体"/>
          <w:spacing w:val="-2"/>
          <w:sz w:val="24"/>
          <w:szCs w:val="24"/>
        </w:rPr>
        <w:t>医疗废物产</w:t>
      </w:r>
      <w:r>
        <w:rPr>
          <w:rFonts w:ascii="宋体" w:hAnsi="宋体" w:eastAsia="宋体" w:cs="宋体"/>
          <w:sz w:val="24"/>
          <w:szCs w:val="24"/>
        </w:rPr>
        <w:t xml:space="preserve"> </w:t>
      </w:r>
      <w:r>
        <w:rPr>
          <w:rFonts w:ascii="宋体" w:hAnsi="宋体" w:eastAsia="宋体" w:cs="宋体"/>
          <w:spacing w:val="-7"/>
          <w:sz w:val="24"/>
          <w:szCs w:val="24"/>
        </w:rPr>
        <w:t>生量为</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0.2t/a</w:t>
      </w:r>
      <w:r>
        <w:rPr>
          <w:rFonts w:ascii="宋体" w:hAnsi="宋体" w:eastAsia="宋体" w:cs="宋体"/>
          <w:spacing w:val="-7"/>
          <w:sz w:val="24"/>
          <w:szCs w:val="24"/>
        </w:rPr>
        <w:t>。项目运营过程将产生饲料</w:t>
      </w:r>
      <w:r>
        <w:rPr>
          <w:rFonts w:ascii="宋体" w:hAnsi="宋体" w:eastAsia="宋体" w:cs="宋体"/>
          <w:spacing w:val="-8"/>
          <w:sz w:val="24"/>
          <w:szCs w:val="24"/>
        </w:rPr>
        <w:t>包装箱、包装袋等废包装物，产生量约为</w:t>
      </w:r>
      <w:r>
        <w:rPr>
          <w:rFonts w:ascii="Times New Roman" w:hAnsi="Times New Roman" w:eastAsia="Times New Roman" w:cs="Times New Roman"/>
          <w:spacing w:val="-8"/>
          <w:sz w:val="24"/>
          <w:szCs w:val="24"/>
        </w:rPr>
        <w:t>2t/a</w:t>
      </w:r>
      <w:r>
        <w:rPr>
          <w:rFonts w:ascii="宋体" w:hAnsi="宋体" w:eastAsia="宋体" w:cs="宋体"/>
          <w:spacing w:val="-8"/>
          <w:sz w:val="24"/>
          <w:szCs w:val="24"/>
        </w:rPr>
        <w:t>。</w:t>
      </w:r>
    </w:p>
    <w:p w14:paraId="17159468">
      <w:pPr>
        <w:spacing w:before="43" w:line="221" w:lineRule="auto"/>
        <w:ind w:left="479"/>
        <w:rPr>
          <w:rFonts w:ascii="宋体" w:hAnsi="宋体" w:eastAsia="宋体" w:cs="宋体"/>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25"/>
          <w:sz w:val="24"/>
          <w:szCs w:val="24"/>
        </w:rPr>
        <w:t xml:space="preserve"> </w:t>
      </w:r>
      <w:r>
        <w:rPr>
          <w:rFonts w:ascii="宋体" w:hAnsi="宋体" w:eastAsia="宋体" w:cs="宋体"/>
          <w:b/>
          <w:bCs/>
          <w:spacing w:val="-5"/>
          <w:sz w:val="24"/>
          <w:szCs w:val="24"/>
        </w:rPr>
        <w:t>、固体废物环境影响分析</w:t>
      </w:r>
    </w:p>
    <w:p w14:paraId="569ACF53">
      <w:pPr>
        <w:spacing w:before="167" w:line="361" w:lineRule="exact"/>
        <w:ind w:left="502"/>
        <w:rPr>
          <w:rFonts w:ascii="宋体" w:hAnsi="宋体" w:eastAsia="宋体" w:cs="宋体"/>
          <w:sz w:val="24"/>
          <w:szCs w:val="24"/>
        </w:rPr>
      </w:pPr>
      <w:r>
        <w:rPr>
          <w:rFonts w:ascii="Times New Roman" w:hAnsi="Times New Roman" w:eastAsia="Times New Roman" w:cs="Times New Roman"/>
          <w:spacing w:val="-14"/>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14"/>
          <w:position w:val="2"/>
          <w:sz w:val="24"/>
          <w:szCs w:val="24"/>
        </w:rPr>
        <w:t>、猪粪</w:t>
      </w:r>
    </w:p>
    <w:p w14:paraId="40353E25">
      <w:pPr>
        <w:spacing w:before="165" w:line="376" w:lineRule="auto"/>
        <w:ind w:left="5" w:firstLine="478"/>
        <w:jc w:val="both"/>
        <w:rPr>
          <w:rFonts w:ascii="宋体" w:hAnsi="宋体" w:eastAsia="宋体" w:cs="宋体"/>
          <w:sz w:val="24"/>
          <w:szCs w:val="24"/>
        </w:rPr>
      </w:pPr>
      <w:r>
        <w:rPr>
          <w:rFonts w:ascii="宋体" w:hAnsi="宋体" w:eastAsia="宋体" w:cs="宋体"/>
          <w:spacing w:val="2"/>
          <w:sz w:val="24"/>
          <w:szCs w:val="24"/>
        </w:rPr>
        <w:t>根据《畜禽养殖污染防治管理办法》规定：畜禽养殖场必须设置畜禽废渣的储</w:t>
      </w:r>
      <w:r>
        <w:rPr>
          <w:rFonts w:ascii="宋体" w:hAnsi="宋体" w:eastAsia="宋体" w:cs="宋体"/>
          <w:spacing w:val="10"/>
          <w:sz w:val="24"/>
          <w:szCs w:val="24"/>
        </w:rPr>
        <w:t xml:space="preserve"> </w:t>
      </w:r>
      <w:r>
        <w:rPr>
          <w:rFonts w:ascii="宋体" w:hAnsi="宋体" w:eastAsia="宋体" w:cs="宋体"/>
          <w:spacing w:val="2"/>
          <w:sz w:val="24"/>
          <w:szCs w:val="24"/>
        </w:rPr>
        <w:t>蓄设施和场所，采取对储存场所地面进行水泥硬化等措施，防治畜禽废渣渗漏、散</w:t>
      </w:r>
      <w:r>
        <w:rPr>
          <w:rFonts w:ascii="宋体" w:hAnsi="宋体" w:eastAsia="宋体" w:cs="宋体"/>
          <w:spacing w:val="4"/>
          <w:sz w:val="24"/>
          <w:szCs w:val="24"/>
        </w:rPr>
        <w:t xml:space="preserve"> </w:t>
      </w:r>
      <w:r>
        <w:rPr>
          <w:rFonts w:ascii="宋体" w:hAnsi="宋体" w:eastAsia="宋体" w:cs="宋体"/>
          <w:spacing w:val="2"/>
          <w:sz w:val="24"/>
          <w:szCs w:val="24"/>
        </w:rPr>
        <w:t>落、溢流、雨水淋湿、恶臭气味等对周围环境造成污染和危害；畜禽养殖场应采取</w:t>
      </w:r>
      <w:r>
        <w:rPr>
          <w:rFonts w:ascii="宋体" w:hAnsi="宋体" w:eastAsia="宋体" w:cs="宋体"/>
          <w:spacing w:val="4"/>
          <w:sz w:val="24"/>
          <w:szCs w:val="24"/>
        </w:rPr>
        <w:t xml:space="preserve"> </w:t>
      </w:r>
      <w:r>
        <w:rPr>
          <w:rFonts w:ascii="宋体" w:hAnsi="宋体" w:eastAsia="宋体" w:cs="宋体"/>
          <w:spacing w:val="-2"/>
          <w:sz w:val="24"/>
          <w:szCs w:val="24"/>
        </w:rPr>
        <w:t>畜禽废渣还田利用的畜禽粪便，应当经处理达到规定的无害化标</w:t>
      </w:r>
      <w:r>
        <w:rPr>
          <w:rFonts w:ascii="宋体" w:hAnsi="宋体" w:eastAsia="宋体" w:cs="宋体"/>
          <w:spacing w:val="-3"/>
          <w:sz w:val="24"/>
          <w:szCs w:val="24"/>
        </w:rPr>
        <w:t>准，防治病菌传播。</w:t>
      </w:r>
    </w:p>
    <w:p w14:paraId="3F58345D">
      <w:pPr>
        <w:spacing w:before="2" w:line="374" w:lineRule="auto"/>
        <w:ind w:left="1" w:right="17" w:firstLine="482"/>
        <w:jc w:val="both"/>
        <w:rPr>
          <w:rFonts w:ascii="宋体" w:hAnsi="宋体" w:eastAsia="宋体" w:cs="宋体"/>
          <w:sz w:val="24"/>
          <w:szCs w:val="24"/>
        </w:rPr>
      </w:pPr>
      <w:r>
        <w:rPr>
          <w:rFonts w:ascii="宋体" w:hAnsi="宋体" w:eastAsia="宋体" w:cs="宋体"/>
          <w:spacing w:val="2"/>
          <w:sz w:val="24"/>
          <w:szCs w:val="24"/>
        </w:rPr>
        <w:t>本项目采用异位发酵床综合治污技术进行粪便和尿液、冲洗水进行处理。猪舍</w:t>
      </w:r>
      <w:r>
        <w:rPr>
          <w:rFonts w:ascii="宋体" w:hAnsi="宋体" w:eastAsia="宋体" w:cs="宋体"/>
          <w:spacing w:val="9"/>
          <w:sz w:val="24"/>
          <w:szCs w:val="24"/>
        </w:rPr>
        <w:t xml:space="preserve"> </w:t>
      </w:r>
      <w:r>
        <w:rPr>
          <w:rFonts w:ascii="宋体" w:hAnsi="宋体" w:eastAsia="宋体" w:cs="宋体"/>
          <w:spacing w:val="2"/>
          <w:sz w:val="24"/>
          <w:szCs w:val="24"/>
        </w:rPr>
        <w:t>粪污从管道流入集污池，经切割泵与搅拌机切割搅拌，确保搅拌均匀后，通过自动</w:t>
      </w:r>
      <w:r>
        <w:rPr>
          <w:rFonts w:ascii="宋体" w:hAnsi="宋体" w:eastAsia="宋体" w:cs="宋体"/>
          <w:spacing w:val="8"/>
          <w:sz w:val="24"/>
          <w:szCs w:val="24"/>
        </w:rPr>
        <w:t xml:space="preserve"> </w:t>
      </w:r>
      <w:r>
        <w:rPr>
          <w:rFonts w:ascii="宋体" w:hAnsi="宋体" w:eastAsia="宋体" w:cs="宋体"/>
          <w:spacing w:val="-3"/>
          <w:sz w:val="24"/>
          <w:szCs w:val="24"/>
        </w:rPr>
        <w:t>喷淋装置，将粪污均匀喷洒在垫料上，粪污将被治污微生物菌群进行生物降解处理，</w:t>
      </w:r>
      <w:r>
        <w:rPr>
          <w:rFonts w:ascii="宋体" w:hAnsi="宋体" w:eastAsia="宋体" w:cs="宋体"/>
          <w:spacing w:val="14"/>
          <w:sz w:val="24"/>
          <w:szCs w:val="24"/>
        </w:rPr>
        <w:t xml:space="preserve"> </w:t>
      </w:r>
      <w:r>
        <w:rPr>
          <w:rFonts w:ascii="宋体" w:hAnsi="宋体" w:eastAsia="宋体" w:cs="宋体"/>
          <w:sz w:val="24"/>
          <w:szCs w:val="24"/>
        </w:rPr>
        <w:t>在降解处理过程中，发酵床温度上升到</w:t>
      </w:r>
      <w:r>
        <w:rPr>
          <w:rFonts w:ascii="Times New Roman" w:hAnsi="Times New Roman" w:eastAsia="Times New Roman" w:cs="Times New Roman"/>
          <w:sz w:val="24"/>
          <w:szCs w:val="24"/>
        </w:rPr>
        <w:t>55</w:t>
      </w:r>
      <w:r>
        <w:rPr>
          <w:rFonts w:ascii="宋体" w:hAnsi="宋体" w:eastAsia="宋体" w:cs="宋体"/>
          <w:sz w:val="24"/>
          <w:szCs w:val="24"/>
        </w:rPr>
        <w:t>—</w:t>
      </w:r>
      <w:r>
        <w:rPr>
          <w:rFonts w:ascii="Times New Roman" w:hAnsi="Times New Roman" w:eastAsia="Times New Roman" w:cs="Times New Roman"/>
          <w:sz w:val="24"/>
          <w:szCs w:val="24"/>
        </w:rPr>
        <w:t>68</w:t>
      </w:r>
      <w:r>
        <w:rPr>
          <w:rFonts w:ascii="宋体" w:hAnsi="宋体" w:eastAsia="宋体" w:cs="宋体"/>
          <w:sz w:val="24"/>
          <w:szCs w:val="24"/>
        </w:rPr>
        <w:t>℃</w:t>
      </w:r>
      <w:r>
        <w:rPr>
          <w:rFonts w:ascii="宋体" w:hAnsi="宋体" w:eastAsia="宋体" w:cs="宋体"/>
          <w:spacing w:val="-94"/>
          <w:sz w:val="24"/>
          <w:szCs w:val="24"/>
        </w:rPr>
        <w:t xml:space="preserve"> </w:t>
      </w:r>
      <w:r>
        <w:rPr>
          <w:rFonts w:ascii="宋体" w:hAnsi="宋体" w:eastAsia="宋体" w:cs="宋体"/>
          <w:sz w:val="24"/>
          <w:szCs w:val="24"/>
        </w:rPr>
        <w:t>,</w:t>
      </w:r>
      <w:r>
        <w:rPr>
          <w:rFonts w:ascii="宋体" w:hAnsi="宋体" w:eastAsia="宋体" w:cs="宋体"/>
          <w:spacing w:val="64"/>
          <w:sz w:val="24"/>
          <w:szCs w:val="24"/>
        </w:rPr>
        <w:t xml:space="preserve"> </w:t>
      </w:r>
      <w:r>
        <w:rPr>
          <w:rFonts w:ascii="宋体" w:hAnsi="宋体" w:eastAsia="宋体" w:cs="宋体"/>
          <w:sz w:val="24"/>
          <w:szCs w:val="24"/>
        </w:rPr>
        <w:t>水分蒸发</w:t>
      </w:r>
      <w:r>
        <w:rPr>
          <w:rFonts w:ascii="宋体" w:hAnsi="宋体" w:eastAsia="宋体" w:cs="宋体"/>
          <w:spacing w:val="-1"/>
          <w:sz w:val="24"/>
          <w:szCs w:val="24"/>
        </w:rPr>
        <w:t>，自动翻耙机对发酵床</w:t>
      </w:r>
      <w:r>
        <w:rPr>
          <w:rFonts w:ascii="宋体" w:hAnsi="宋体" w:eastAsia="宋体" w:cs="宋体"/>
          <w:sz w:val="24"/>
          <w:szCs w:val="24"/>
        </w:rPr>
        <w:t xml:space="preserve"> </w:t>
      </w:r>
      <w:r>
        <w:rPr>
          <w:rFonts w:ascii="宋体" w:hAnsi="宋体" w:eastAsia="宋体" w:cs="宋体"/>
          <w:spacing w:val="2"/>
          <w:sz w:val="24"/>
          <w:szCs w:val="24"/>
        </w:rPr>
        <w:t>进行翻耙，促进猪粪便与垫料充分混合，最终使猪粪污转化成生物有机肥，从而实</w:t>
      </w:r>
      <w:r>
        <w:rPr>
          <w:rFonts w:ascii="宋体" w:hAnsi="宋体" w:eastAsia="宋体" w:cs="宋体"/>
          <w:spacing w:val="8"/>
          <w:sz w:val="24"/>
          <w:szCs w:val="24"/>
        </w:rPr>
        <w:t xml:space="preserve"> </w:t>
      </w:r>
      <w:r>
        <w:rPr>
          <w:rFonts w:ascii="宋体" w:hAnsi="宋体" w:eastAsia="宋体" w:cs="宋体"/>
          <w:spacing w:val="2"/>
          <w:sz w:val="24"/>
          <w:szCs w:val="24"/>
        </w:rPr>
        <w:t>现污染物的资源化利用。本项目发酵出来的是有机肥半成品，发酵后出售给肥料生</w:t>
      </w:r>
      <w:r>
        <w:rPr>
          <w:rFonts w:ascii="宋体" w:hAnsi="宋体" w:eastAsia="宋体" w:cs="宋体"/>
          <w:spacing w:val="8"/>
          <w:sz w:val="24"/>
          <w:szCs w:val="24"/>
        </w:rPr>
        <w:t xml:space="preserve"> </w:t>
      </w:r>
      <w:r>
        <w:rPr>
          <w:rFonts w:ascii="宋体" w:hAnsi="宋体" w:eastAsia="宋体" w:cs="宋体"/>
          <w:sz w:val="24"/>
          <w:szCs w:val="24"/>
        </w:rPr>
        <w:t>产企业进行进一步加工成有机肥料。因此本项目不会对周围</w:t>
      </w:r>
      <w:r>
        <w:rPr>
          <w:rFonts w:ascii="宋体" w:hAnsi="宋体" w:eastAsia="宋体" w:cs="宋体"/>
          <w:spacing w:val="-1"/>
          <w:sz w:val="24"/>
          <w:szCs w:val="24"/>
        </w:rPr>
        <w:t>环境造成二次污染。</w:t>
      </w:r>
    </w:p>
    <w:p w14:paraId="3B951778">
      <w:pPr>
        <w:spacing w:before="145" w:line="361" w:lineRule="exact"/>
        <w:ind w:left="479"/>
        <w:rPr>
          <w:rFonts w:ascii="宋体" w:hAnsi="宋体" w:eastAsia="宋体" w:cs="宋体"/>
          <w:sz w:val="24"/>
          <w:szCs w:val="24"/>
        </w:rPr>
      </w:pPr>
      <w:r>
        <w:rPr>
          <w:rFonts w:ascii="Times New Roman" w:hAnsi="Times New Roman" w:eastAsia="Times New Roman" w:cs="Times New Roman"/>
          <w:spacing w:val="-5"/>
          <w:position w:val="2"/>
          <w:sz w:val="24"/>
          <w:szCs w:val="24"/>
        </w:rPr>
        <w:t>2</w:t>
      </w:r>
      <w:r>
        <w:rPr>
          <w:rFonts w:ascii="Times New Roman" w:hAnsi="Times New Roman" w:eastAsia="Times New Roman" w:cs="Times New Roman"/>
          <w:spacing w:val="-32"/>
          <w:position w:val="2"/>
          <w:sz w:val="24"/>
          <w:szCs w:val="24"/>
        </w:rPr>
        <w:t xml:space="preserve"> </w:t>
      </w:r>
      <w:r>
        <w:rPr>
          <w:rFonts w:ascii="宋体" w:hAnsi="宋体" w:eastAsia="宋体" w:cs="宋体"/>
          <w:spacing w:val="-5"/>
          <w:position w:val="2"/>
          <w:sz w:val="24"/>
          <w:szCs w:val="24"/>
        </w:rPr>
        <w:t>、病死猪尸体</w:t>
      </w:r>
    </w:p>
    <w:p w14:paraId="7F4FC228">
      <w:pPr>
        <w:spacing w:before="126" w:line="360" w:lineRule="exact"/>
        <w:ind w:left="483"/>
        <w:rPr>
          <w:rFonts w:ascii="宋体" w:hAnsi="宋体" w:eastAsia="宋体" w:cs="宋体"/>
          <w:sz w:val="24"/>
          <w:szCs w:val="24"/>
        </w:rPr>
      </w:pPr>
      <w:r>
        <w:rPr>
          <w:rFonts w:ascii="宋体" w:hAnsi="宋体" w:eastAsia="宋体" w:cs="宋体"/>
          <w:position w:val="2"/>
          <w:sz w:val="24"/>
          <w:szCs w:val="24"/>
        </w:rPr>
        <w:t>根据《病死及病害动物无害化处理技术规范》（农医发〔</w:t>
      </w:r>
      <w:r>
        <w:rPr>
          <w:rFonts w:ascii="Times New Roman" w:hAnsi="Times New Roman" w:eastAsia="Times New Roman" w:cs="Times New Roman"/>
          <w:position w:val="2"/>
          <w:sz w:val="24"/>
          <w:szCs w:val="24"/>
        </w:rPr>
        <w:t>2017</w:t>
      </w:r>
      <w:r>
        <w:rPr>
          <w:rFonts w:ascii="宋体" w:hAnsi="宋体" w:eastAsia="宋体" w:cs="宋体"/>
          <w:position w:val="2"/>
          <w:sz w:val="24"/>
          <w:szCs w:val="24"/>
        </w:rPr>
        <w:t>〕</w:t>
      </w:r>
      <w:r>
        <w:rPr>
          <w:rFonts w:ascii="Times New Roman" w:hAnsi="Times New Roman" w:eastAsia="Times New Roman" w:cs="Times New Roman"/>
          <w:position w:val="2"/>
          <w:sz w:val="24"/>
          <w:szCs w:val="24"/>
        </w:rPr>
        <w:t xml:space="preserve">25 </w:t>
      </w:r>
      <w:r>
        <w:rPr>
          <w:rFonts w:ascii="宋体" w:hAnsi="宋体" w:eastAsia="宋体" w:cs="宋体"/>
          <w:position w:val="2"/>
          <w:sz w:val="24"/>
          <w:szCs w:val="24"/>
        </w:rPr>
        <w:t>号）和《畜</w:t>
      </w:r>
    </w:p>
    <w:p w14:paraId="0C37EDA9">
      <w:pPr>
        <w:spacing w:line="360" w:lineRule="exact"/>
        <w:rPr>
          <w:rFonts w:ascii="宋体" w:hAnsi="宋体" w:eastAsia="宋体" w:cs="宋体"/>
          <w:sz w:val="24"/>
          <w:szCs w:val="24"/>
        </w:rPr>
        <w:sectPr>
          <w:footerReference r:id="rId143" w:type="default"/>
          <w:pgSz w:w="11906" w:h="16839"/>
          <w:pgMar w:top="400" w:right="1507" w:bottom="1485" w:left="1594" w:header="0" w:footer="1249" w:gutter="0"/>
          <w:cols w:space="720" w:num="1"/>
        </w:sectPr>
      </w:pPr>
    </w:p>
    <w:p w14:paraId="49FD2D5B">
      <w:pPr>
        <w:pStyle w:val="2"/>
        <w:spacing w:line="255" w:lineRule="auto"/>
      </w:pPr>
    </w:p>
    <w:p w14:paraId="1D3CEB73">
      <w:pPr>
        <w:pStyle w:val="2"/>
        <w:spacing w:line="255" w:lineRule="auto"/>
      </w:pPr>
    </w:p>
    <w:p w14:paraId="3CDDCA35">
      <w:pPr>
        <w:pStyle w:val="2"/>
        <w:spacing w:line="256" w:lineRule="auto"/>
      </w:pPr>
    </w:p>
    <w:p w14:paraId="0DF70132">
      <w:pPr>
        <w:pStyle w:val="2"/>
        <w:spacing w:line="256" w:lineRule="auto"/>
      </w:pPr>
    </w:p>
    <w:p w14:paraId="0FE83F02">
      <w:pPr>
        <w:spacing w:before="78" w:line="376" w:lineRule="auto"/>
        <w:ind w:right="60" w:firstLine="2"/>
        <w:jc w:val="both"/>
        <w:rPr>
          <w:rFonts w:ascii="宋体" w:hAnsi="宋体" w:eastAsia="宋体" w:cs="宋体"/>
          <w:sz w:val="24"/>
          <w:szCs w:val="24"/>
        </w:rPr>
      </w:pPr>
      <w:r>
        <w:rPr>
          <w:rFonts w:ascii="宋体" w:hAnsi="宋体" w:eastAsia="宋体" w:cs="宋体"/>
          <w:sz w:val="24"/>
          <w:szCs w:val="24"/>
        </w:rPr>
        <w:t>禽养殖业污染防治技术规范》（</w:t>
      </w:r>
      <w:r>
        <w:rPr>
          <w:rFonts w:ascii="Times New Roman" w:hAnsi="Times New Roman" w:eastAsia="Times New Roman" w:cs="Times New Roman"/>
          <w:sz w:val="24"/>
          <w:szCs w:val="24"/>
        </w:rPr>
        <w:t>HJ/T81-2001</w:t>
      </w:r>
      <w:r>
        <w:rPr>
          <w:rFonts w:ascii="宋体" w:hAnsi="宋体" w:eastAsia="宋体" w:cs="宋体"/>
          <w:sz w:val="24"/>
          <w:szCs w:val="24"/>
        </w:rPr>
        <w:t>）相关要求处理，本项目选择安全</w:t>
      </w:r>
      <w:r>
        <w:rPr>
          <w:rFonts w:ascii="宋体" w:hAnsi="宋体" w:eastAsia="宋体" w:cs="宋体"/>
          <w:spacing w:val="-1"/>
          <w:sz w:val="24"/>
          <w:szCs w:val="24"/>
        </w:rPr>
        <w:t>填埋</w:t>
      </w:r>
      <w:r>
        <w:rPr>
          <w:rFonts w:ascii="宋体" w:hAnsi="宋体" w:eastAsia="宋体" w:cs="宋体"/>
          <w:sz w:val="24"/>
          <w:szCs w:val="24"/>
        </w:rPr>
        <w:t xml:space="preserve"> </w:t>
      </w:r>
      <w:r>
        <w:rPr>
          <w:rFonts w:ascii="宋体" w:hAnsi="宋体" w:eastAsia="宋体" w:cs="宋体"/>
          <w:spacing w:val="2"/>
          <w:sz w:val="24"/>
          <w:szCs w:val="24"/>
        </w:rPr>
        <w:t>井（化尸池）的处理方法处理病死猪尸体。项目依托海丰县公平镇龙寨实成种养专</w:t>
      </w:r>
      <w:r>
        <w:rPr>
          <w:rFonts w:ascii="宋体" w:hAnsi="宋体" w:eastAsia="宋体" w:cs="宋体"/>
          <w:spacing w:val="7"/>
          <w:sz w:val="24"/>
          <w:szCs w:val="24"/>
        </w:rPr>
        <w:t xml:space="preserve"> </w:t>
      </w:r>
      <w:r>
        <w:rPr>
          <w:rFonts w:ascii="宋体" w:hAnsi="宋体" w:eastAsia="宋体" w:cs="宋体"/>
          <w:spacing w:val="2"/>
          <w:sz w:val="24"/>
          <w:szCs w:val="24"/>
        </w:rPr>
        <w:t>业合作社项目中的安全填埋井对本项目病死猪尸体进行处理，其安全填埋井位于本</w:t>
      </w:r>
      <w:r>
        <w:rPr>
          <w:rFonts w:ascii="宋体" w:hAnsi="宋体" w:eastAsia="宋体" w:cs="宋体"/>
          <w:spacing w:val="7"/>
          <w:sz w:val="24"/>
          <w:szCs w:val="24"/>
        </w:rPr>
        <w:t xml:space="preserve"> </w:t>
      </w:r>
      <w:r>
        <w:rPr>
          <w:rFonts w:ascii="宋体" w:hAnsi="宋体" w:eastAsia="宋体" w:cs="宋体"/>
          <w:spacing w:val="-3"/>
          <w:sz w:val="24"/>
          <w:szCs w:val="24"/>
        </w:rPr>
        <w:t>项目东南面约</w:t>
      </w:r>
      <w:r>
        <w:rPr>
          <w:rFonts w:ascii="宋体" w:hAnsi="宋体" w:eastAsia="宋体" w:cs="宋体"/>
          <w:spacing w:val="-15"/>
          <w:sz w:val="24"/>
          <w:szCs w:val="24"/>
        </w:rPr>
        <w:t xml:space="preserve"> </w:t>
      </w:r>
      <w:r>
        <w:rPr>
          <w:rFonts w:ascii="Times New Roman" w:hAnsi="Times New Roman" w:eastAsia="Times New Roman" w:cs="Times New Roman"/>
          <w:spacing w:val="-3"/>
          <w:sz w:val="24"/>
          <w:szCs w:val="24"/>
        </w:rPr>
        <w:t xml:space="preserve">195m </w:t>
      </w:r>
      <w:r>
        <w:rPr>
          <w:rFonts w:ascii="宋体" w:hAnsi="宋体" w:eastAsia="宋体" w:cs="宋体"/>
          <w:spacing w:val="-3"/>
          <w:sz w:val="24"/>
          <w:szCs w:val="24"/>
        </w:rPr>
        <w:t>处。海丰县公平镇龙寨实成种养专业合作社项目已于</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2014 </w:t>
      </w:r>
      <w:r>
        <w:rPr>
          <w:rFonts w:ascii="宋体" w:hAnsi="宋体" w:eastAsia="宋体" w:cs="宋体"/>
          <w:spacing w:val="-3"/>
          <w:sz w:val="24"/>
          <w:szCs w:val="24"/>
        </w:rPr>
        <w:t>年</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z w:val="24"/>
          <w:szCs w:val="24"/>
        </w:rPr>
        <w:t xml:space="preserve"> </w:t>
      </w:r>
      <w:r>
        <w:rPr>
          <w:rFonts w:ascii="宋体" w:hAnsi="宋体" w:eastAsia="宋体" w:cs="宋体"/>
          <w:spacing w:val="-5"/>
          <w:sz w:val="24"/>
          <w:szCs w:val="24"/>
        </w:rPr>
        <w:t>月</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16</w:t>
      </w:r>
      <w:r>
        <w:rPr>
          <w:rFonts w:ascii="Times New Roman" w:hAnsi="Times New Roman" w:eastAsia="Times New Roman" w:cs="Times New Roman"/>
          <w:spacing w:val="50"/>
          <w:w w:val="101"/>
          <w:sz w:val="24"/>
          <w:szCs w:val="24"/>
        </w:rPr>
        <w:t xml:space="preserve"> </w:t>
      </w:r>
      <w:r>
        <w:rPr>
          <w:rFonts w:ascii="宋体" w:hAnsi="宋体" w:eastAsia="宋体" w:cs="宋体"/>
          <w:spacing w:val="-5"/>
          <w:sz w:val="24"/>
          <w:szCs w:val="24"/>
        </w:rPr>
        <w:t>日取得环评批复（海环函</w:t>
      </w:r>
      <w:r>
        <w:rPr>
          <w:rFonts w:ascii="Times New Roman" w:hAnsi="Times New Roman" w:eastAsia="Times New Roman" w:cs="Times New Roman"/>
          <w:spacing w:val="-5"/>
          <w:sz w:val="24"/>
          <w:szCs w:val="24"/>
        </w:rPr>
        <w:t xml:space="preserve">[2014]123 </w:t>
      </w:r>
      <w:r>
        <w:rPr>
          <w:rFonts w:ascii="宋体" w:hAnsi="宋体" w:eastAsia="宋体" w:cs="宋体"/>
          <w:spacing w:val="-5"/>
          <w:sz w:val="24"/>
          <w:szCs w:val="24"/>
        </w:rPr>
        <w:t>号</w:t>
      </w:r>
      <w:r>
        <w:rPr>
          <w:rFonts w:ascii="宋体" w:hAnsi="宋体" w:eastAsia="宋体" w:cs="宋体"/>
          <w:spacing w:val="9"/>
          <w:sz w:val="24"/>
          <w:szCs w:val="24"/>
        </w:rPr>
        <w:t>），</w:t>
      </w:r>
      <w:r>
        <w:rPr>
          <w:rFonts w:ascii="宋体" w:hAnsi="宋体" w:eastAsia="宋体" w:cs="宋体"/>
          <w:spacing w:val="-5"/>
          <w:sz w:val="24"/>
          <w:szCs w:val="24"/>
        </w:rPr>
        <w:t>并于</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2017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11</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28  </w:t>
      </w:r>
      <w:r>
        <w:rPr>
          <w:rFonts w:ascii="宋体" w:hAnsi="宋体" w:eastAsia="宋体" w:cs="宋体"/>
          <w:spacing w:val="-5"/>
          <w:sz w:val="24"/>
          <w:szCs w:val="24"/>
        </w:rPr>
        <w:t>日通过竣工环</w:t>
      </w:r>
      <w:r>
        <w:rPr>
          <w:rFonts w:ascii="宋体" w:hAnsi="宋体" w:eastAsia="宋体" w:cs="宋体"/>
          <w:sz w:val="24"/>
          <w:szCs w:val="24"/>
        </w:rPr>
        <w:t xml:space="preserve"> </w:t>
      </w:r>
      <w:r>
        <w:rPr>
          <w:rFonts w:ascii="宋体" w:hAnsi="宋体" w:eastAsia="宋体" w:cs="宋体"/>
          <w:spacing w:val="-1"/>
          <w:sz w:val="24"/>
          <w:szCs w:val="24"/>
        </w:rPr>
        <w:t>境保护验收（海环验字</w:t>
      </w:r>
      <w:r>
        <w:rPr>
          <w:rFonts w:ascii="Times New Roman" w:hAnsi="Times New Roman" w:eastAsia="Times New Roman" w:cs="Times New Roman"/>
          <w:spacing w:val="-1"/>
          <w:sz w:val="24"/>
          <w:szCs w:val="24"/>
        </w:rPr>
        <w:t xml:space="preserve">[2017]33 </w:t>
      </w:r>
      <w:r>
        <w:rPr>
          <w:rFonts w:ascii="宋体" w:hAnsi="宋体" w:eastAsia="宋体" w:cs="宋体"/>
          <w:spacing w:val="-1"/>
          <w:sz w:val="24"/>
          <w:szCs w:val="24"/>
        </w:rPr>
        <w:t>号）。</w:t>
      </w:r>
    </w:p>
    <w:p w14:paraId="665DC50A">
      <w:pPr>
        <w:spacing w:before="5" w:line="375" w:lineRule="auto"/>
        <w:ind w:firstLine="483"/>
        <w:jc w:val="both"/>
        <w:rPr>
          <w:rFonts w:ascii="宋体" w:hAnsi="宋体" w:eastAsia="宋体" w:cs="宋体"/>
          <w:sz w:val="24"/>
          <w:szCs w:val="24"/>
        </w:rPr>
      </w:pPr>
      <w:r>
        <w:rPr>
          <w:rFonts w:ascii="宋体" w:hAnsi="宋体" w:eastAsia="宋体" w:cs="宋体"/>
          <w:spacing w:val="-2"/>
          <w:sz w:val="24"/>
          <w:szCs w:val="24"/>
        </w:rPr>
        <w:t>项目依托的安全填埋井为密闭砖混结构，设井盖，坑壁为</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30cm</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厚防渗混凝土，</w:t>
      </w:r>
      <w:r>
        <w:rPr>
          <w:rFonts w:ascii="宋体" w:hAnsi="宋体" w:eastAsia="宋体" w:cs="宋体"/>
          <w:sz w:val="24"/>
          <w:szCs w:val="24"/>
        </w:rPr>
        <w:t xml:space="preserve"> </w:t>
      </w:r>
      <w:r>
        <w:rPr>
          <w:rFonts w:ascii="宋体" w:hAnsi="宋体" w:eastAsia="宋体" w:cs="宋体"/>
          <w:spacing w:val="-1"/>
          <w:sz w:val="24"/>
          <w:szCs w:val="24"/>
        </w:rPr>
        <w:t>坑底为</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20cm</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厚的防渗混凝土，井深</w:t>
      </w:r>
      <w:r>
        <w:rPr>
          <w:rFonts w:ascii="Times New Roman" w:hAnsi="Times New Roman" w:eastAsia="Times New Roman" w:cs="Times New Roman"/>
          <w:spacing w:val="-1"/>
          <w:sz w:val="24"/>
          <w:szCs w:val="24"/>
        </w:rPr>
        <w:t>6.5m</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，直径</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1.6m</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；进行填埋时，每次投入病死</w:t>
      </w:r>
      <w:r>
        <w:rPr>
          <w:rFonts w:ascii="宋体" w:hAnsi="宋体" w:eastAsia="宋体" w:cs="宋体"/>
          <w:sz w:val="24"/>
          <w:szCs w:val="24"/>
        </w:rPr>
        <w:t xml:space="preserve"> </w:t>
      </w:r>
      <w:r>
        <w:rPr>
          <w:rFonts w:ascii="宋体" w:hAnsi="宋体" w:eastAsia="宋体" w:cs="宋体"/>
          <w:spacing w:val="-2"/>
          <w:sz w:val="24"/>
          <w:szCs w:val="24"/>
        </w:rPr>
        <w:t>猪尸体后，覆盖一层厚度</w:t>
      </w:r>
      <w:r>
        <w:rPr>
          <w:rFonts w:ascii="宋体" w:hAnsi="宋体" w:eastAsia="宋体" w:cs="宋体"/>
          <w:spacing w:val="-14"/>
          <w:sz w:val="24"/>
          <w:szCs w:val="24"/>
        </w:rPr>
        <w:t xml:space="preserve"> </w:t>
      </w:r>
      <w:r>
        <w:rPr>
          <w:rFonts w:ascii="Times New Roman" w:hAnsi="Times New Roman" w:eastAsia="Times New Roman" w:cs="Times New Roman"/>
          <w:spacing w:val="-2"/>
          <w:sz w:val="24"/>
          <w:szCs w:val="24"/>
        </w:rPr>
        <w:t>12cm</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的熟石灰。当填埋井内尸体达到容积的</w:t>
      </w:r>
      <w:r>
        <w:rPr>
          <w:rFonts w:ascii="Times New Roman" w:hAnsi="Times New Roman" w:eastAsia="Times New Roman" w:cs="Times New Roman"/>
          <w:spacing w:val="-2"/>
          <w:sz w:val="24"/>
          <w:szCs w:val="24"/>
        </w:rPr>
        <w:t>3/4</w:t>
      </w:r>
      <w:r>
        <w:rPr>
          <w:rFonts w:ascii="Times New Roman" w:hAnsi="Times New Roman" w:eastAsia="Times New Roman" w:cs="Times New Roman"/>
          <w:spacing w:val="20"/>
          <w:w w:val="101"/>
          <w:sz w:val="24"/>
          <w:szCs w:val="24"/>
        </w:rPr>
        <w:t xml:space="preserve"> </w:t>
      </w:r>
      <w:r>
        <w:rPr>
          <w:rFonts w:ascii="宋体" w:hAnsi="宋体" w:eastAsia="宋体" w:cs="宋体"/>
          <w:spacing w:val="-2"/>
          <w:sz w:val="24"/>
          <w:szCs w:val="24"/>
        </w:rPr>
        <w:t>时，应停</w:t>
      </w:r>
      <w:r>
        <w:rPr>
          <w:rFonts w:ascii="宋体" w:hAnsi="宋体" w:eastAsia="宋体" w:cs="宋体"/>
          <w:sz w:val="24"/>
          <w:szCs w:val="24"/>
        </w:rPr>
        <w:t xml:space="preserve"> </w:t>
      </w:r>
      <w:r>
        <w:rPr>
          <w:rFonts w:ascii="宋体" w:hAnsi="宋体" w:eastAsia="宋体" w:cs="宋体"/>
          <w:spacing w:val="-3"/>
          <w:sz w:val="24"/>
          <w:szCs w:val="24"/>
        </w:rPr>
        <w:t>止使用并密封。当密闭安全填埋井的动物尸体完全分解后，应当对残留物进行清理，</w:t>
      </w:r>
      <w:r>
        <w:rPr>
          <w:rFonts w:ascii="宋体" w:hAnsi="宋体" w:eastAsia="宋体" w:cs="宋体"/>
          <w:spacing w:val="12"/>
          <w:sz w:val="24"/>
          <w:szCs w:val="24"/>
        </w:rPr>
        <w:t xml:space="preserve"> </w:t>
      </w:r>
      <w:r>
        <w:rPr>
          <w:rFonts w:ascii="宋体" w:hAnsi="宋体" w:eastAsia="宋体" w:cs="宋体"/>
          <w:spacing w:val="2"/>
          <w:sz w:val="24"/>
          <w:szCs w:val="24"/>
        </w:rPr>
        <w:t>清理出的残留物进行焚烧或者掩埋处理，安全填埋井进行彻底消毒后，方可重新启</w:t>
      </w:r>
      <w:r>
        <w:rPr>
          <w:rFonts w:ascii="宋体" w:hAnsi="宋体" w:eastAsia="宋体" w:cs="宋体"/>
          <w:spacing w:val="6"/>
          <w:sz w:val="24"/>
          <w:szCs w:val="24"/>
        </w:rPr>
        <w:t xml:space="preserve"> </w:t>
      </w:r>
      <w:r>
        <w:rPr>
          <w:rFonts w:ascii="宋体" w:hAnsi="宋体" w:eastAsia="宋体" w:cs="宋体"/>
          <w:spacing w:val="-5"/>
          <w:sz w:val="24"/>
          <w:szCs w:val="24"/>
        </w:rPr>
        <w:t>用。</w:t>
      </w:r>
    </w:p>
    <w:p w14:paraId="2A3D3822">
      <w:pPr>
        <w:spacing w:before="4" w:line="361" w:lineRule="exact"/>
        <w:ind w:left="481"/>
        <w:outlineLvl w:val="0"/>
        <w:rPr>
          <w:rFonts w:ascii="宋体" w:hAnsi="宋体" w:eastAsia="宋体" w:cs="宋体"/>
          <w:sz w:val="24"/>
          <w:szCs w:val="24"/>
        </w:rPr>
      </w:pPr>
      <w:r>
        <w:rPr>
          <w:rFonts w:ascii="Times New Roman" w:hAnsi="Times New Roman" w:eastAsia="Times New Roman" w:cs="Times New Roman"/>
          <w:spacing w:val="-6"/>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6"/>
          <w:position w:val="2"/>
          <w:sz w:val="24"/>
          <w:szCs w:val="24"/>
        </w:rPr>
        <w:t>、生活垃圾</w:t>
      </w:r>
    </w:p>
    <w:p w14:paraId="09B5335E">
      <w:pPr>
        <w:spacing w:before="164" w:line="362" w:lineRule="auto"/>
        <w:ind w:left="6" w:right="63" w:firstLine="476"/>
        <w:rPr>
          <w:rFonts w:ascii="宋体" w:hAnsi="宋体" w:eastAsia="宋体" w:cs="宋体"/>
          <w:sz w:val="24"/>
          <w:szCs w:val="24"/>
        </w:rPr>
      </w:pPr>
      <w:r>
        <w:rPr>
          <w:rFonts w:ascii="宋体" w:hAnsi="宋体" w:eastAsia="宋体" w:cs="宋体"/>
          <w:spacing w:val="2"/>
          <w:sz w:val="24"/>
          <w:szCs w:val="24"/>
        </w:rPr>
        <w:t>人员生活垃圾收集后定期运往城镇的生活垃圾堆放点，交由环卫部门处理。并</w:t>
      </w:r>
      <w:r>
        <w:rPr>
          <w:rFonts w:ascii="宋体" w:hAnsi="宋体" w:eastAsia="宋体" w:cs="宋体"/>
          <w:spacing w:val="8"/>
          <w:sz w:val="24"/>
          <w:szCs w:val="24"/>
        </w:rPr>
        <w:t xml:space="preserve"> </w:t>
      </w:r>
      <w:r>
        <w:rPr>
          <w:rFonts w:ascii="宋体" w:hAnsi="宋体" w:eastAsia="宋体" w:cs="宋体"/>
          <w:spacing w:val="-1"/>
          <w:sz w:val="24"/>
          <w:szCs w:val="24"/>
        </w:rPr>
        <w:t>定时在垃圾堆放点消毒、杀灭害虫，避免对工作人员造成影响。</w:t>
      </w:r>
    </w:p>
    <w:p w14:paraId="00F58A06">
      <w:pPr>
        <w:spacing w:line="361" w:lineRule="exact"/>
        <w:ind w:left="475"/>
        <w:outlineLvl w:val="0"/>
        <w:rPr>
          <w:rFonts w:ascii="宋体" w:hAnsi="宋体" w:eastAsia="宋体" w:cs="宋体"/>
          <w:sz w:val="24"/>
          <w:szCs w:val="24"/>
        </w:rPr>
      </w:pPr>
      <w:r>
        <w:rPr>
          <w:rFonts w:ascii="Times New Roman" w:hAnsi="Times New Roman" w:eastAsia="Times New Roman" w:cs="Times New Roman"/>
          <w:spacing w:val="-5"/>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5"/>
          <w:position w:val="2"/>
          <w:sz w:val="24"/>
          <w:szCs w:val="24"/>
        </w:rPr>
        <w:t>、医疗废物</w:t>
      </w:r>
    </w:p>
    <w:p w14:paraId="5678F858">
      <w:pPr>
        <w:spacing w:before="163" w:line="373" w:lineRule="auto"/>
        <w:ind w:right="88" w:firstLine="480"/>
        <w:rPr>
          <w:rFonts w:ascii="宋体" w:hAnsi="宋体" w:eastAsia="宋体" w:cs="宋体"/>
          <w:sz w:val="24"/>
          <w:szCs w:val="24"/>
        </w:rPr>
      </w:pPr>
      <w:r>
        <w:rPr>
          <w:rFonts w:ascii="宋体" w:hAnsi="宋体" w:eastAsia="宋体" w:cs="宋体"/>
          <w:spacing w:val="2"/>
          <w:sz w:val="24"/>
          <w:szCs w:val="24"/>
        </w:rPr>
        <w:t>牲畜在养殖过程中需要注射一些疫苗，会产</w:t>
      </w:r>
      <w:r>
        <w:rPr>
          <w:rFonts w:ascii="宋体" w:hAnsi="宋体" w:eastAsia="宋体" w:cs="宋体"/>
          <w:spacing w:val="1"/>
          <w:sz w:val="24"/>
          <w:szCs w:val="24"/>
        </w:rPr>
        <w:t>生少量针头、感染过的包装袋等。</w:t>
      </w:r>
      <w:r>
        <w:rPr>
          <w:rFonts w:ascii="宋体" w:hAnsi="宋体" w:eastAsia="宋体" w:cs="宋体"/>
          <w:sz w:val="24"/>
          <w:szCs w:val="24"/>
        </w:rPr>
        <w:t xml:space="preserve"> </w:t>
      </w:r>
      <w:r>
        <w:rPr>
          <w:rFonts w:ascii="宋体" w:hAnsi="宋体" w:eastAsia="宋体" w:cs="宋体"/>
          <w:spacing w:val="-1"/>
          <w:sz w:val="24"/>
          <w:szCs w:val="24"/>
        </w:rPr>
        <w:t>类比同类型规模化养殖场，医疗废物的产生量为</w:t>
      </w:r>
      <w:r>
        <w:rPr>
          <w:rFonts w:ascii="Times New Roman" w:hAnsi="Times New Roman" w:eastAsia="Times New Roman" w:cs="Times New Roman"/>
          <w:spacing w:val="-1"/>
          <w:sz w:val="24"/>
          <w:szCs w:val="24"/>
        </w:rPr>
        <w:t>0.2t/a</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，该部分固废属于危险废物，</w:t>
      </w:r>
      <w:r>
        <w:rPr>
          <w:rFonts w:ascii="宋体" w:hAnsi="宋体" w:eastAsia="宋体" w:cs="宋体"/>
          <w:sz w:val="24"/>
          <w:szCs w:val="24"/>
        </w:rPr>
        <w:t xml:space="preserve"> </w:t>
      </w:r>
      <w:r>
        <w:rPr>
          <w:rFonts w:ascii="宋体" w:hAnsi="宋体" w:eastAsia="宋体" w:cs="宋体"/>
          <w:spacing w:val="-1"/>
          <w:sz w:val="24"/>
          <w:szCs w:val="24"/>
        </w:rPr>
        <w:t>废物代码为</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HW01</w:t>
      </w:r>
      <w:r>
        <w:rPr>
          <w:rFonts w:ascii="宋体" w:hAnsi="宋体" w:eastAsia="宋体" w:cs="宋体"/>
          <w:spacing w:val="-1"/>
          <w:sz w:val="24"/>
          <w:szCs w:val="24"/>
        </w:rPr>
        <w:t>，收集后交由有资质的单位处理。</w:t>
      </w:r>
    </w:p>
    <w:p w14:paraId="3CAA9191">
      <w:pPr>
        <w:spacing w:before="14" w:line="376" w:lineRule="auto"/>
        <w:ind w:right="63" w:firstLine="484"/>
        <w:rPr>
          <w:rFonts w:ascii="宋体" w:hAnsi="宋体" w:eastAsia="宋体" w:cs="宋体"/>
          <w:sz w:val="24"/>
          <w:szCs w:val="24"/>
        </w:rPr>
      </w:pPr>
      <w:r>
        <w:rPr>
          <w:rFonts w:ascii="宋体" w:hAnsi="宋体" w:eastAsia="宋体" w:cs="宋体"/>
          <w:spacing w:val="2"/>
          <w:sz w:val="24"/>
          <w:szCs w:val="24"/>
        </w:rPr>
        <w:t>项目对此部分废物再场区设置医疗废物暂存间暂存交由有资质的医疗废物处置</w:t>
      </w:r>
      <w:r>
        <w:rPr>
          <w:rFonts w:ascii="宋体" w:hAnsi="宋体" w:eastAsia="宋体" w:cs="宋体"/>
          <w:spacing w:val="6"/>
          <w:sz w:val="24"/>
          <w:szCs w:val="24"/>
        </w:rPr>
        <w:t xml:space="preserve"> </w:t>
      </w:r>
      <w:r>
        <w:rPr>
          <w:rFonts w:ascii="宋体" w:hAnsi="宋体" w:eastAsia="宋体" w:cs="宋体"/>
          <w:spacing w:val="-1"/>
          <w:sz w:val="24"/>
          <w:szCs w:val="24"/>
        </w:rPr>
        <w:t>机构处理，医疗废物暂存间拟设于猪舍东北面。</w:t>
      </w:r>
    </w:p>
    <w:p w14:paraId="1F6EDE39">
      <w:pPr>
        <w:spacing w:before="1" w:line="220" w:lineRule="auto"/>
        <w:ind w:left="483"/>
        <w:rPr>
          <w:rFonts w:ascii="宋体" w:hAnsi="宋体" w:eastAsia="宋体" w:cs="宋体"/>
          <w:sz w:val="24"/>
          <w:szCs w:val="24"/>
        </w:rPr>
      </w:pPr>
      <w:r>
        <w:rPr>
          <w:rFonts w:ascii="Times New Roman" w:hAnsi="Times New Roman" w:eastAsia="Times New Roman" w:cs="Times New Roman"/>
          <w:spacing w:val="-7"/>
          <w:sz w:val="24"/>
          <w:szCs w:val="24"/>
        </w:rPr>
        <w:t>5</w:t>
      </w:r>
      <w:r>
        <w:rPr>
          <w:rFonts w:ascii="Times New Roman" w:hAnsi="Times New Roman" w:eastAsia="Times New Roman" w:cs="Times New Roman"/>
          <w:spacing w:val="-31"/>
          <w:sz w:val="24"/>
          <w:szCs w:val="24"/>
        </w:rPr>
        <w:t xml:space="preserve"> </w:t>
      </w:r>
      <w:r>
        <w:rPr>
          <w:rFonts w:ascii="宋体" w:hAnsi="宋体" w:eastAsia="宋体" w:cs="宋体"/>
          <w:spacing w:val="-7"/>
          <w:sz w:val="24"/>
          <w:szCs w:val="24"/>
        </w:rPr>
        <w:t>、废包装物</w:t>
      </w:r>
    </w:p>
    <w:p w14:paraId="01C78F8A">
      <w:pPr>
        <w:spacing w:before="201" w:line="376" w:lineRule="auto"/>
        <w:ind w:right="63" w:firstLine="484"/>
        <w:rPr>
          <w:rFonts w:ascii="宋体" w:hAnsi="宋体" w:eastAsia="宋体" w:cs="宋体"/>
          <w:sz w:val="24"/>
          <w:szCs w:val="24"/>
        </w:rPr>
      </w:pPr>
      <w:r>
        <w:rPr>
          <w:rFonts w:ascii="宋体" w:hAnsi="宋体" w:eastAsia="宋体" w:cs="宋体"/>
          <w:spacing w:val="2"/>
          <w:sz w:val="24"/>
          <w:szCs w:val="24"/>
        </w:rPr>
        <w:t>项目运营过程将产生饲料包装箱、包装袋等废包装，类比同类型项目，本项目</w:t>
      </w:r>
      <w:r>
        <w:rPr>
          <w:rFonts w:ascii="宋体" w:hAnsi="宋体" w:eastAsia="宋体" w:cs="宋体"/>
          <w:spacing w:val="6"/>
          <w:sz w:val="24"/>
          <w:szCs w:val="24"/>
        </w:rPr>
        <w:t xml:space="preserve"> </w:t>
      </w:r>
      <w:r>
        <w:rPr>
          <w:rFonts w:ascii="宋体" w:hAnsi="宋体" w:eastAsia="宋体" w:cs="宋体"/>
          <w:sz w:val="24"/>
          <w:szCs w:val="24"/>
        </w:rPr>
        <w:t>废包装产生量约为</w:t>
      </w:r>
      <w:r>
        <w:rPr>
          <w:rFonts w:ascii="Times New Roman" w:hAnsi="Times New Roman" w:eastAsia="Times New Roman" w:cs="Times New Roman"/>
          <w:sz w:val="24"/>
          <w:szCs w:val="24"/>
        </w:rPr>
        <w:t>2t/a</w:t>
      </w:r>
      <w:r>
        <w:rPr>
          <w:rFonts w:ascii="Times New Roman" w:hAnsi="Times New Roman" w:eastAsia="Times New Roman" w:cs="Times New Roman"/>
          <w:spacing w:val="-12"/>
          <w:sz w:val="24"/>
          <w:szCs w:val="24"/>
        </w:rPr>
        <w:t xml:space="preserve"> </w:t>
      </w:r>
      <w:r>
        <w:rPr>
          <w:rFonts w:ascii="宋体" w:hAnsi="宋体" w:eastAsia="宋体" w:cs="宋体"/>
          <w:sz w:val="24"/>
          <w:szCs w:val="24"/>
        </w:rPr>
        <w:t>。收集后交由供应商处理。</w:t>
      </w:r>
    </w:p>
    <w:p w14:paraId="130B2B2A">
      <w:pPr>
        <w:spacing w:before="2" w:line="376" w:lineRule="auto"/>
        <w:ind w:left="2" w:firstLine="477"/>
        <w:rPr>
          <w:rFonts w:ascii="宋体" w:hAnsi="宋体" w:eastAsia="宋体" w:cs="宋体"/>
          <w:sz w:val="24"/>
          <w:szCs w:val="24"/>
        </w:rPr>
      </w:pPr>
      <w:r>
        <w:rPr>
          <w:rFonts w:ascii="宋体" w:hAnsi="宋体" w:eastAsia="宋体" w:cs="宋体"/>
          <w:spacing w:val="-3"/>
          <w:sz w:val="24"/>
          <w:szCs w:val="24"/>
        </w:rPr>
        <w:t>采取上述处理措施后，本项目产生的固体废物可做到无害化、减量化、资源化，</w:t>
      </w:r>
      <w:r>
        <w:rPr>
          <w:rFonts w:ascii="宋体" w:hAnsi="宋体" w:eastAsia="宋体" w:cs="宋体"/>
          <w:spacing w:val="7"/>
          <w:sz w:val="24"/>
          <w:szCs w:val="24"/>
        </w:rPr>
        <w:t xml:space="preserve"> </w:t>
      </w:r>
      <w:r>
        <w:rPr>
          <w:rFonts w:ascii="宋体" w:hAnsi="宋体" w:eastAsia="宋体" w:cs="宋体"/>
          <w:spacing w:val="-2"/>
          <w:sz w:val="24"/>
          <w:szCs w:val="24"/>
        </w:rPr>
        <w:t>符合其相应的要求。</w:t>
      </w:r>
    </w:p>
    <w:p w14:paraId="6B93183A">
      <w:pPr>
        <w:spacing w:before="1" w:line="218" w:lineRule="auto"/>
        <w:ind w:left="475"/>
        <w:rPr>
          <w:rFonts w:ascii="宋体" w:hAnsi="宋体" w:eastAsia="宋体" w:cs="宋体"/>
          <w:sz w:val="24"/>
          <w:szCs w:val="24"/>
        </w:rPr>
      </w:pPr>
      <w:r>
        <w:rPr>
          <w:rFonts w:ascii="Times New Roman" w:hAnsi="Times New Roman" w:eastAsia="Times New Roman" w:cs="Times New Roman"/>
          <w:b/>
          <w:bCs/>
          <w:spacing w:val="-4"/>
          <w:sz w:val="24"/>
          <w:szCs w:val="24"/>
        </w:rPr>
        <w:t>3</w:t>
      </w:r>
      <w:r>
        <w:rPr>
          <w:rFonts w:ascii="Times New Roman" w:hAnsi="Times New Roman" w:eastAsia="Times New Roman" w:cs="Times New Roman"/>
          <w:b/>
          <w:bCs/>
          <w:spacing w:val="-30"/>
          <w:sz w:val="24"/>
          <w:szCs w:val="24"/>
        </w:rPr>
        <w:t xml:space="preserve"> </w:t>
      </w:r>
      <w:r>
        <w:rPr>
          <w:rFonts w:ascii="宋体" w:hAnsi="宋体" w:eastAsia="宋体" w:cs="宋体"/>
          <w:b/>
          <w:bCs/>
          <w:spacing w:val="-4"/>
          <w:sz w:val="24"/>
          <w:szCs w:val="24"/>
        </w:rPr>
        <w:t>、固体废物环境影响评价结论</w:t>
      </w:r>
    </w:p>
    <w:p w14:paraId="1869D9AA">
      <w:pPr>
        <w:spacing w:before="167" w:line="360" w:lineRule="exact"/>
        <w:ind w:left="481"/>
        <w:rPr>
          <w:rFonts w:ascii="宋体" w:hAnsi="宋体" w:eastAsia="宋体" w:cs="宋体"/>
          <w:sz w:val="24"/>
          <w:szCs w:val="24"/>
        </w:rPr>
      </w:pPr>
      <w:r>
        <w:rPr>
          <w:rFonts w:ascii="宋体" w:hAnsi="宋体" w:eastAsia="宋体" w:cs="宋体"/>
          <w:spacing w:val="-1"/>
          <w:position w:val="2"/>
          <w:sz w:val="24"/>
          <w:szCs w:val="24"/>
        </w:rPr>
        <w:t>本项目粪污严格按照《畜禽养殖业污染物排放标准》（</w:t>
      </w:r>
      <w:r>
        <w:rPr>
          <w:rFonts w:ascii="Times New Roman" w:hAnsi="Times New Roman" w:eastAsia="Times New Roman" w:cs="Times New Roman"/>
          <w:spacing w:val="-1"/>
          <w:position w:val="2"/>
          <w:sz w:val="24"/>
          <w:szCs w:val="24"/>
        </w:rPr>
        <w:t>DB44/613-2009</w:t>
      </w:r>
      <w:r>
        <w:rPr>
          <w:rFonts w:ascii="宋体" w:hAnsi="宋体" w:eastAsia="宋体" w:cs="宋体"/>
          <w:spacing w:val="-1"/>
          <w:position w:val="2"/>
          <w:sz w:val="24"/>
          <w:szCs w:val="24"/>
        </w:rPr>
        <w:t>）和《粪</w:t>
      </w:r>
    </w:p>
    <w:p w14:paraId="181A67BA">
      <w:pPr>
        <w:spacing w:line="360" w:lineRule="exact"/>
        <w:rPr>
          <w:rFonts w:ascii="宋体" w:hAnsi="宋体" w:eastAsia="宋体" w:cs="宋体"/>
          <w:sz w:val="24"/>
          <w:szCs w:val="24"/>
        </w:rPr>
        <w:sectPr>
          <w:footerReference r:id="rId144" w:type="default"/>
          <w:pgSz w:w="11906" w:h="16839"/>
          <w:pgMar w:top="400" w:right="1525" w:bottom="1485" w:left="1597" w:header="0" w:footer="1249" w:gutter="0"/>
          <w:cols w:space="720" w:num="1"/>
        </w:sectPr>
      </w:pPr>
    </w:p>
    <w:p w14:paraId="261E4F28">
      <w:pPr>
        <w:pStyle w:val="2"/>
        <w:spacing w:line="264" w:lineRule="auto"/>
      </w:pPr>
    </w:p>
    <w:p w14:paraId="6B4B66C0">
      <w:pPr>
        <w:pStyle w:val="2"/>
        <w:spacing w:line="264" w:lineRule="auto"/>
      </w:pPr>
    </w:p>
    <w:p w14:paraId="0BCDB02F">
      <w:pPr>
        <w:pStyle w:val="2"/>
        <w:spacing w:line="264" w:lineRule="auto"/>
      </w:pPr>
    </w:p>
    <w:p w14:paraId="6E20FD8B">
      <w:pPr>
        <w:pStyle w:val="2"/>
        <w:spacing w:line="265" w:lineRule="auto"/>
      </w:pPr>
    </w:p>
    <w:p w14:paraId="65AAEC3C">
      <w:pPr>
        <w:spacing w:before="78" w:line="373" w:lineRule="auto"/>
        <w:ind w:left="2"/>
        <w:jc w:val="both"/>
        <w:rPr>
          <w:rFonts w:ascii="宋体" w:hAnsi="宋体" w:eastAsia="宋体" w:cs="宋体"/>
          <w:sz w:val="24"/>
          <w:szCs w:val="24"/>
        </w:rPr>
      </w:pPr>
      <w:r>
        <w:rPr>
          <w:rFonts w:ascii="宋体" w:hAnsi="宋体" w:eastAsia="宋体" w:cs="宋体"/>
          <w:spacing w:val="2"/>
          <w:sz w:val="24"/>
          <w:szCs w:val="24"/>
        </w:rPr>
        <w:t>便无害化卫生标准》进行处理处置；生活垃圾临时堆放房按照《一般工业固体废物</w:t>
      </w:r>
      <w:r>
        <w:rPr>
          <w:rFonts w:ascii="宋体" w:hAnsi="宋体" w:eastAsia="宋体" w:cs="宋体"/>
          <w:spacing w:val="5"/>
          <w:sz w:val="24"/>
          <w:szCs w:val="24"/>
        </w:rPr>
        <w:t xml:space="preserve"> </w:t>
      </w:r>
      <w:r>
        <w:rPr>
          <w:rFonts w:ascii="宋体" w:hAnsi="宋体" w:eastAsia="宋体" w:cs="宋体"/>
          <w:spacing w:val="1"/>
          <w:sz w:val="24"/>
          <w:szCs w:val="24"/>
        </w:rPr>
        <w:t>贮存、处置场污染控制标准》（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18599-2001</w:t>
      </w:r>
      <w:r>
        <w:rPr>
          <w:rFonts w:ascii="宋体" w:hAnsi="宋体" w:eastAsia="宋体" w:cs="宋体"/>
          <w:spacing w:val="1"/>
          <w:sz w:val="24"/>
          <w:szCs w:val="24"/>
        </w:rPr>
        <w:t>）规</w:t>
      </w:r>
      <w:r>
        <w:rPr>
          <w:rFonts w:ascii="宋体" w:hAnsi="宋体" w:eastAsia="宋体" w:cs="宋体"/>
          <w:sz w:val="24"/>
          <w:szCs w:val="24"/>
        </w:rPr>
        <w:t>范建设和维护使用；疫苗针头等 医疗废物堆放房按照《危险废物贮存污染控制标准》（</w:t>
      </w:r>
      <w:r>
        <w:rPr>
          <w:rFonts w:ascii="Times New Roman" w:hAnsi="Times New Roman" w:eastAsia="Times New Roman" w:cs="Times New Roman"/>
          <w:sz w:val="24"/>
          <w:szCs w:val="24"/>
        </w:rPr>
        <w:t>GB18</w:t>
      </w:r>
      <w:r>
        <w:rPr>
          <w:rFonts w:ascii="Times New Roman" w:hAnsi="Times New Roman" w:eastAsia="Times New Roman" w:cs="Times New Roman"/>
          <w:spacing w:val="-1"/>
          <w:sz w:val="24"/>
          <w:szCs w:val="24"/>
        </w:rPr>
        <w:t>597-2001</w:t>
      </w:r>
      <w:r>
        <w:rPr>
          <w:rFonts w:ascii="宋体" w:hAnsi="宋体" w:eastAsia="宋体" w:cs="宋体"/>
          <w:spacing w:val="-1"/>
          <w:sz w:val="24"/>
          <w:szCs w:val="24"/>
        </w:rPr>
        <w:t>）设置。</w:t>
      </w:r>
    </w:p>
    <w:p w14:paraId="170B7BED">
      <w:pPr>
        <w:spacing w:before="14" w:line="372" w:lineRule="auto"/>
        <w:ind w:left="1" w:firstLine="480"/>
        <w:jc w:val="both"/>
        <w:rPr>
          <w:rFonts w:ascii="宋体" w:hAnsi="宋体" w:eastAsia="宋体" w:cs="宋体"/>
          <w:sz w:val="24"/>
          <w:szCs w:val="24"/>
        </w:rPr>
      </w:pPr>
      <w:r>
        <w:rPr>
          <w:rFonts w:ascii="宋体" w:hAnsi="宋体" w:eastAsia="宋体" w:cs="宋体"/>
          <w:spacing w:val="2"/>
          <w:sz w:val="24"/>
          <w:szCs w:val="24"/>
        </w:rPr>
        <w:t>本项目养殖场的猪只粪污有机肥发酵车间处理后，制成有机肥半成品，外售给</w:t>
      </w:r>
      <w:r>
        <w:rPr>
          <w:rFonts w:ascii="宋体" w:hAnsi="宋体" w:eastAsia="宋体" w:cs="宋体"/>
          <w:spacing w:val="9"/>
          <w:sz w:val="24"/>
          <w:szCs w:val="24"/>
        </w:rPr>
        <w:t xml:space="preserve"> </w:t>
      </w:r>
      <w:r>
        <w:rPr>
          <w:rFonts w:ascii="宋体" w:hAnsi="宋体" w:eastAsia="宋体" w:cs="宋体"/>
          <w:spacing w:val="2"/>
          <w:sz w:val="24"/>
          <w:szCs w:val="24"/>
        </w:rPr>
        <w:t>肥料生产企业进行进一步加工制作有机肥。病死猪尸体按《病死及病害动物无害化</w:t>
      </w:r>
      <w:r>
        <w:rPr>
          <w:rFonts w:ascii="宋体" w:hAnsi="宋体" w:eastAsia="宋体" w:cs="宋体"/>
          <w:spacing w:val="3"/>
          <w:sz w:val="24"/>
          <w:szCs w:val="24"/>
        </w:rPr>
        <w:t xml:space="preserve"> </w:t>
      </w:r>
      <w:r>
        <w:rPr>
          <w:rFonts w:ascii="宋体" w:hAnsi="宋体" w:eastAsia="宋体" w:cs="宋体"/>
          <w:spacing w:val="12"/>
          <w:sz w:val="24"/>
          <w:szCs w:val="24"/>
        </w:rPr>
        <w:t>处理技术规范》</w:t>
      </w:r>
      <w:r>
        <w:rPr>
          <w:rFonts w:ascii="宋体" w:hAnsi="宋体" w:eastAsia="宋体" w:cs="宋体"/>
          <w:spacing w:val="-89"/>
          <w:sz w:val="24"/>
          <w:szCs w:val="24"/>
        </w:rPr>
        <w:t xml:space="preserve"> </w:t>
      </w:r>
      <w:r>
        <w:rPr>
          <w:rFonts w:ascii="宋体" w:hAnsi="宋体" w:eastAsia="宋体" w:cs="宋体"/>
          <w:spacing w:val="12"/>
          <w:sz w:val="24"/>
          <w:szCs w:val="24"/>
        </w:rPr>
        <w:t>（农医发〔</w:t>
      </w:r>
      <w:r>
        <w:rPr>
          <w:rFonts w:ascii="Times New Roman" w:hAnsi="Times New Roman" w:eastAsia="Times New Roman" w:cs="Times New Roman"/>
          <w:spacing w:val="12"/>
          <w:sz w:val="24"/>
          <w:szCs w:val="24"/>
        </w:rPr>
        <w:t>2017</w:t>
      </w:r>
      <w:r>
        <w:rPr>
          <w:rFonts w:ascii="宋体" w:hAnsi="宋体" w:eastAsia="宋体" w:cs="宋体"/>
          <w:spacing w:val="12"/>
          <w:sz w:val="24"/>
          <w:szCs w:val="24"/>
        </w:rPr>
        <w:t>〕</w:t>
      </w:r>
      <w:r>
        <w:rPr>
          <w:rFonts w:ascii="Times New Roman" w:hAnsi="Times New Roman" w:eastAsia="Times New Roman" w:cs="Times New Roman"/>
          <w:spacing w:val="12"/>
          <w:sz w:val="24"/>
          <w:szCs w:val="24"/>
        </w:rPr>
        <w:t>25</w:t>
      </w:r>
      <w:r>
        <w:rPr>
          <w:rFonts w:ascii="Times New Roman" w:hAnsi="Times New Roman" w:eastAsia="Times New Roman" w:cs="Times New Roman"/>
          <w:spacing w:val="29"/>
          <w:w w:val="101"/>
          <w:sz w:val="24"/>
          <w:szCs w:val="24"/>
        </w:rPr>
        <w:t xml:space="preserve"> </w:t>
      </w:r>
      <w:r>
        <w:rPr>
          <w:rFonts w:ascii="宋体" w:hAnsi="宋体" w:eastAsia="宋体" w:cs="宋体"/>
          <w:spacing w:val="12"/>
          <w:sz w:val="24"/>
          <w:szCs w:val="24"/>
        </w:rPr>
        <w:t>号）</w:t>
      </w:r>
      <w:r>
        <w:rPr>
          <w:rFonts w:ascii="宋体" w:hAnsi="宋体" w:eastAsia="宋体" w:cs="宋体"/>
          <w:spacing w:val="11"/>
          <w:sz w:val="24"/>
          <w:szCs w:val="24"/>
        </w:rPr>
        <w:t>和《畜禽养殖业污染防治技术规范》</w:t>
      </w:r>
      <w:r>
        <w:rPr>
          <w:rFonts w:ascii="宋体" w:hAnsi="宋体" w:eastAsia="宋体" w:cs="宋体"/>
          <w:sz w:val="24"/>
          <w:szCs w:val="24"/>
        </w:rPr>
        <w:t xml:space="preserve"> （</w:t>
      </w:r>
      <w:r>
        <w:rPr>
          <w:rFonts w:ascii="Times New Roman" w:hAnsi="Times New Roman" w:eastAsia="Times New Roman" w:cs="Times New Roman"/>
          <w:sz w:val="24"/>
          <w:szCs w:val="24"/>
        </w:rPr>
        <w:t>HJ/T81-2001</w:t>
      </w:r>
      <w:r>
        <w:rPr>
          <w:rFonts w:ascii="宋体" w:hAnsi="宋体" w:eastAsia="宋体" w:cs="宋体"/>
          <w:sz w:val="24"/>
          <w:szCs w:val="24"/>
        </w:rPr>
        <w:t xml:space="preserve">）进行安全填埋处理。生活垃圾设置固定的垃圾堆放点，定期由环卫 </w:t>
      </w:r>
      <w:r>
        <w:rPr>
          <w:rFonts w:ascii="宋体" w:hAnsi="宋体" w:eastAsia="宋体" w:cs="宋体"/>
          <w:spacing w:val="2"/>
          <w:sz w:val="24"/>
          <w:szCs w:val="24"/>
        </w:rPr>
        <w:t>部门清运处理。疫苗针头等医疗废物设置专用储存容器，并存放于隔离间，收集到</w:t>
      </w:r>
      <w:r>
        <w:rPr>
          <w:rFonts w:ascii="宋体" w:hAnsi="宋体" w:eastAsia="宋体" w:cs="宋体"/>
          <w:spacing w:val="6"/>
          <w:sz w:val="24"/>
          <w:szCs w:val="24"/>
        </w:rPr>
        <w:t xml:space="preserve"> </w:t>
      </w:r>
      <w:r>
        <w:rPr>
          <w:rFonts w:ascii="宋体" w:hAnsi="宋体" w:eastAsia="宋体" w:cs="宋体"/>
          <w:spacing w:val="2"/>
          <w:sz w:val="24"/>
          <w:szCs w:val="24"/>
        </w:rPr>
        <w:t>一定数量后交由有资质单位进行安全处置。废包装物收集后交由供应商处理。经上</w:t>
      </w:r>
      <w:r>
        <w:rPr>
          <w:rFonts w:ascii="宋体" w:hAnsi="宋体" w:eastAsia="宋体" w:cs="宋体"/>
          <w:spacing w:val="6"/>
          <w:sz w:val="24"/>
          <w:szCs w:val="24"/>
        </w:rPr>
        <w:t xml:space="preserve"> </w:t>
      </w:r>
      <w:r>
        <w:rPr>
          <w:rFonts w:ascii="宋体" w:hAnsi="宋体" w:eastAsia="宋体" w:cs="宋体"/>
          <w:spacing w:val="-1"/>
          <w:sz w:val="24"/>
          <w:szCs w:val="24"/>
        </w:rPr>
        <w:t>述处理后，本项目产生固体废物不会对环境造成明显不良影响。</w:t>
      </w:r>
    </w:p>
    <w:p w14:paraId="04F3F395">
      <w:pPr>
        <w:pStyle w:val="2"/>
        <w:spacing w:line="254" w:lineRule="auto"/>
      </w:pPr>
    </w:p>
    <w:p w14:paraId="037CECAD">
      <w:pPr>
        <w:spacing w:before="78"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5.2.6</w:t>
      </w:r>
      <w:r>
        <w:rPr>
          <w:rFonts w:ascii="宋体" w:hAnsi="宋体" w:eastAsia="宋体" w:cs="宋体"/>
          <w:b/>
          <w:bCs/>
          <w:spacing w:val="-2"/>
          <w:sz w:val="24"/>
          <w:szCs w:val="24"/>
        </w:rPr>
        <w:t>土壤环境影响评价</w:t>
      </w:r>
    </w:p>
    <w:p w14:paraId="2703B694">
      <w:pPr>
        <w:pStyle w:val="2"/>
        <w:spacing w:line="280" w:lineRule="auto"/>
      </w:pPr>
    </w:p>
    <w:p w14:paraId="54525A42">
      <w:pPr>
        <w:spacing w:before="78" w:line="375" w:lineRule="auto"/>
        <w:ind w:left="3" w:right="2" w:firstLine="422"/>
        <w:jc w:val="both"/>
        <w:rPr>
          <w:rFonts w:ascii="宋体" w:hAnsi="宋体" w:eastAsia="宋体" w:cs="宋体"/>
          <w:sz w:val="24"/>
          <w:szCs w:val="24"/>
        </w:rPr>
      </w:pPr>
      <w:r>
        <w:rPr>
          <w:rFonts w:ascii="宋体" w:hAnsi="宋体" w:eastAsia="宋体" w:cs="宋体"/>
          <w:sz w:val="24"/>
          <w:szCs w:val="24"/>
        </w:rPr>
        <w:t>根据项目土壤现状检测报告，项目所在地土壤</w:t>
      </w:r>
      <w:r>
        <w:rPr>
          <w:rFonts w:ascii="宋体" w:hAnsi="宋体" w:eastAsia="宋体" w:cs="宋体"/>
          <w:spacing w:val="-61"/>
          <w:sz w:val="24"/>
          <w:szCs w:val="24"/>
        </w:rPr>
        <w:t xml:space="preserve"> </w:t>
      </w:r>
      <w:r>
        <w:rPr>
          <w:rFonts w:ascii="Times New Roman" w:hAnsi="Times New Roman" w:eastAsia="Times New Roman" w:cs="Times New Roman"/>
          <w:sz w:val="24"/>
          <w:szCs w:val="24"/>
        </w:rPr>
        <w:t>pH</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，无酸化或碱化。</w:t>
      </w:r>
      <w:r>
        <w:rPr>
          <w:rFonts w:ascii="宋体" w:hAnsi="宋体" w:eastAsia="宋体" w:cs="宋体"/>
          <w:spacing w:val="-1"/>
          <w:sz w:val="24"/>
          <w:szCs w:val="24"/>
        </w:rPr>
        <w:t>从生态影响</w:t>
      </w:r>
      <w:r>
        <w:rPr>
          <w:rFonts w:ascii="宋体" w:hAnsi="宋体" w:eastAsia="宋体" w:cs="宋体"/>
          <w:sz w:val="24"/>
          <w:szCs w:val="24"/>
        </w:rPr>
        <w:t xml:space="preserve"> </w:t>
      </w:r>
      <w:r>
        <w:rPr>
          <w:rFonts w:ascii="宋体" w:hAnsi="宋体" w:eastAsia="宋体" w:cs="宋体"/>
          <w:spacing w:val="2"/>
          <w:sz w:val="24"/>
          <w:szCs w:val="24"/>
        </w:rPr>
        <w:t>型方面考虑，敏感程度为不敏感，生态影响型土壤环境影响评价工作等级为可不开</w:t>
      </w:r>
      <w:r>
        <w:rPr>
          <w:rFonts w:ascii="宋体" w:hAnsi="宋体" w:eastAsia="宋体" w:cs="宋体"/>
          <w:spacing w:val="4"/>
          <w:sz w:val="24"/>
          <w:szCs w:val="24"/>
        </w:rPr>
        <w:t xml:space="preserve"> </w:t>
      </w:r>
      <w:r>
        <w:rPr>
          <w:rFonts w:ascii="宋体" w:hAnsi="宋体" w:eastAsia="宋体" w:cs="宋体"/>
          <w:spacing w:val="-2"/>
          <w:sz w:val="24"/>
          <w:szCs w:val="24"/>
        </w:rPr>
        <w:t>展土壤环境影响工作。</w:t>
      </w:r>
    </w:p>
    <w:p w14:paraId="506D98D9">
      <w:pPr>
        <w:spacing w:before="7" w:line="374" w:lineRule="auto"/>
        <w:ind w:left="1" w:right="2" w:firstLine="480"/>
        <w:jc w:val="both"/>
        <w:rPr>
          <w:rFonts w:ascii="宋体" w:hAnsi="宋体" w:eastAsia="宋体" w:cs="宋体"/>
          <w:sz w:val="24"/>
          <w:szCs w:val="24"/>
        </w:rPr>
      </w:pPr>
      <w:r>
        <w:rPr>
          <w:rFonts w:ascii="宋体" w:hAnsi="宋体" w:eastAsia="宋体" w:cs="宋体"/>
          <w:spacing w:val="2"/>
          <w:sz w:val="24"/>
          <w:szCs w:val="24"/>
        </w:rPr>
        <w:t>本项目猪只尿液、猪舍冲洗水与猪只粪便一起收集后，经异位发酵床技术处理</w:t>
      </w:r>
      <w:r>
        <w:rPr>
          <w:rFonts w:ascii="宋体" w:hAnsi="宋体" w:eastAsia="宋体" w:cs="宋体"/>
          <w:spacing w:val="9"/>
          <w:sz w:val="24"/>
          <w:szCs w:val="24"/>
        </w:rPr>
        <w:t xml:space="preserve"> </w:t>
      </w:r>
      <w:r>
        <w:rPr>
          <w:rFonts w:ascii="宋体" w:hAnsi="宋体" w:eastAsia="宋体" w:cs="宋体"/>
          <w:spacing w:val="2"/>
          <w:sz w:val="24"/>
          <w:szCs w:val="24"/>
        </w:rPr>
        <w:t>后制成有机肥半成品后，外售给肥料公司进行进一步处理加工成有机肥。为防治粪</w:t>
      </w:r>
      <w:r>
        <w:rPr>
          <w:rFonts w:ascii="宋体" w:hAnsi="宋体" w:eastAsia="宋体" w:cs="宋体"/>
          <w:spacing w:val="6"/>
          <w:sz w:val="24"/>
          <w:szCs w:val="24"/>
        </w:rPr>
        <w:t xml:space="preserve"> </w:t>
      </w:r>
      <w:r>
        <w:rPr>
          <w:rFonts w:ascii="宋体" w:hAnsi="宋体" w:eastAsia="宋体" w:cs="宋体"/>
          <w:spacing w:val="2"/>
          <w:sz w:val="24"/>
          <w:szCs w:val="24"/>
        </w:rPr>
        <w:t>污输送管线破损对区域内浅层地下水和土壤产生污染影响，企业应选用优质管材，</w:t>
      </w:r>
      <w:r>
        <w:rPr>
          <w:rFonts w:ascii="宋体" w:hAnsi="宋体" w:eastAsia="宋体" w:cs="宋体"/>
          <w:spacing w:val="6"/>
          <w:sz w:val="24"/>
          <w:szCs w:val="24"/>
        </w:rPr>
        <w:t xml:space="preserve"> </w:t>
      </w:r>
      <w:r>
        <w:rPr>
          <w:rFonts w:ascii="宋体" w:hAnsi="宋体" w:eastAsia="宋体" w:cs="宋体"/>
          <w:spacing w:val="2"/>
          <w:sz w:val="24"/>
          <w:szCs w:val="24"/>
        </w:rPr>
        <w:t>减少管道破裂的机率；加强管理，做好管道的维护工作，发现破裂时能及时做应急</w:t>
      </w:r>
      <w:r>
        <w:rPr>
          <w:rFonts w:ascii="宋体" w:hAnsi="宋体" w:eastAsia="宋体" w:cs="宋体"/>
          <w:spacing w:val="6"/>
          <w:sz w:val="24"/>
          <w:szCs w:val="24"/>
        </w:rPr>
        <w:t xml:space="preserve"> </w:t>
      </w:r>
      <w:r>
        <w:rPr>
          <w:rFonts w:ascii="宋体" w:hAnsi="宋体" w:eastAsia="宋体" w:cs="宋体"/>
          <w:spacing w:val="2"/>
          <w:sz w:val="24"/>
          <w:szCs w:val="24"/>
        </w:rPr>
        <w:t>处理。安排专人管理，落实足够的运行管理经费，制定切实可行的管理规章和工程</w:t>
      </w:r>
      <w:r>
        <w:rPr>
          <w:rFonts w:ascii="宋体" w:hAnsi="宋体" w:eastAsia="宋体" w:cs="宋体"/>
          <w:spacing w:val="6"/>
          <w:sz w:val="24"/>
          <w:szCs w:val="24"/>
        </w:rPr>
        <w:t xml:space="preserve"> </w:t>
      </w:r>
      <w:r>
        <w:rPr>
          <w:rFonts w:ascii="宋体" w:hAnsi="宋体" w:eastAsia="宋体" w:cs="宋体"/>
          <w:spacing w:val="1"/>
          <w:sz w:val="24"/>
          <w:szCs w:val="24"/>
        </w:rPr>
        <w:t>维修养护制度，并对管理人员进行技术培训和岗位考核。同时指定</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人负责</w:t>
      </w:r>
      <w:r>
        <w:rPr>
          <w:rFonts w:ascii="宋体" w:hAnsi="宋体" w:eastAsia="宋体" w:cs="宋体"/>
          <w:sz w:val="24"/>
          <w:szCs w:val="24"/>
        </w:rPr>
        <w:t>整个场 区的粪污利用工作，同时建立台账制度，责任到人，严格</w:t>
      </w:r>
      <w:r>
        <w:rPr>
          <w:rFonts w:ascii="宋体" w:hAnsi="宋体" w:eastAsia="宋体" w:cs="宋体"/>
          <w:spacing w:val="-1"/>
          <w:sz w:val="24"/>
          <w:szCs w:val="24"/>
        </w:rPr>
        <w:t>记录粪污发酵情况情况。</w:t>
      </w:r>
    </w:p>
    <w:p w14:paraId="5E8440E9">
      <w:pPr>
        <w:spacing w:before="18" w:line="376" w:lineRule="auto"/>
        <w:ind w:right="2" w:firstLine="481"/>
        <w:jc w:val="both"/>
        <w:rPr>
          <w:rFonts w:ascii="宋体" w:hAnsi="宋体" w:eastAsia="宋体" w:cs="宋体"/>
          <w:sz w:val="24"/>
          <w:szCs w:val="24"/>
        </w:rPr>
      </w:pPr>
      <w:r>
        <w:rPr>
          <w:rFonts w:ascii="宋体" w:hAnsi="宋体" w:eastAsia="宋体" w:cs="宋体"/>
          <w:spacing w:val="2"/>
          <w:sz w:val="24"/>
          <w:szCs w:val="24"/>
        </w:rPr>
        <w:t>本项目运营期产生的固体废物主要为猪粪、病死猪尸体，医疗废物、生活垃圾</w:t>
      </w:r>
      <w:r>
        <w:rPr>
          <w:rFonts w:ascii="宋体" w:hAnsi="宋体" w:eastAsia="宋体" w:cs="宋体"/>
          <w:spacing w:val="9"/>
          <w:sz w:val="24"/>
          <w:szCs w:val="24"/>
        </w:rPr>
        <w:t xml:space="preserve"> </w:t>
      </w:r>
      <w:r>
        <w:rPr>
          <w:rFonts w:ascii="宋体" w:hAnsi="宋体" w:eastAsia="宋体" w:cs="宋体"/>
          <w:spacing w:val="2"/>
          <w:sz w:val="24"/>
          <w:szCs w:val="24"/>
        </w:rPr>
        <w:t>等。猪粪进行发酵处理，病死猪尸体进行安全填埋处理，医疗废物储存在场内医疗</w:t>
      </w:r>
      <w:r>
        <w:rPr>
          <w:rFonts w:ascii="宋体" w:hAnsi="宋体" w:eastAsia="宋体" w:cs="宋体"/>
          <w:spacing w:val="7"/>
          <w:sz w:val="24"/>
          <w:szCs w:val="24"/>
        </w:rPr>
        <w:t xml:space="preserve"> </w:t>
      </w:r>
      <w:r>
        <w:rPr>
          <w:rFonts w:ascii="宋体" w:hAnsi="宋体" w:eastAsia="宋体" w:cs="宋体"/>
          <w:spacing w:val="2"/>
          <w:sz w:val="24"/>
          <w:szCs w:val="24"/>
        </w:rPr>
        <w:t>废物暂存间，定期交由有资质单位处置，生活垃圾由环卫部门清运处理。安全填埋</w:t>
      </w:r>
      <w:r>
        <w:rPr>
          <w:rFonts w:ascii="宋体" w:hAnsi="宋体" w:eastAsia="宋体" w:cs="宋体"/>
          <w:spacing w:val="7"/>
          <w:sz w:val="24"/>
          <w:szCs w:val="24"/>
        </w:rPr>
        <w:t xml:space="preserve"> </w:t>
      </w:r>
      <w:r>
        <w:rPr>
          <w:rFonts w:ascii="宋体" w:hAnsi="宋体" w:eastAsia="宋体" w:cs="宋体"/>
          <w:spacing w:val="2"/>
          <w:sz w:val="24"/>
          <w:szCs w:val="24"/>
        </w:rPr>
        <w:t>井、有机肥发酵车间、医疗废物暂存间进行防渗处理，因此项目物料存放过程不会</w:t>
      </w:r>
      <w:r>
        <w:rPr>
          <w:rFonts w:ascii="宋体" w:hAnsi="宋体" w:eastAsia="宋体" w:cs="宋体"/>
          <w:spacing w:val="7"/>
          <w:sz w:val="24"/>
          <w:szCs w:val="24"/>
        </w:rPr>
        <w:t xml:space="preserve"> </w:t>
      </w:r>
      <w:r>
        <w:rPr>
          <w:rFonts w:ascii="宋体" w:hAnsi="宋体" w:eastAsia="宋体" w:cs="宋体"/>
          <w:spacing w:val="-2"/>
          <w:sz w:val="24"/>
          <w:szCs w:val="24"/>
        </w:rPr>
        <w:t>对土壤造成影响。</w:t>
      </w:r>
    </w:p>
    <w:p w14:paraId="4F616853">
      <w:pPr>
        <w:spacing w:line="219" w:lineRule="auto"/>
        <w:ind w:left="483"/>
        <w:rPr>
          <w:rFonts w:ascii="宋体" w:hAnsi="宋体" w:eastAsia="宋体" w:cs="宋体"/>
          <w:sz w:val="24"/>
          <w:szCs w:val="24"/>
        </w:rPr>
      </w:pPr>
      <w:r>
        <w:rPr>
          <w:rFonts w:ascii="宋体" w:hAnsi="宋体" w:eastAsia="宋体" w:cs="宋体"/>
          <w:spacing w:val="-1"/>
          <w:sz w:val="24"/>
          <w:szCs w:val="24"/>
        </w:rPr>
        <w:t>落实以上措施后，本项目运营期对土壤环境影响较小。</w:t>
      </w:r>
    </w:p>
    <w:p w14:paraId="5B6CA9AD">
      <w:pPr>
        <w:spacing w:line="219" w:lineRule="auto"/>
        <w:rPr>
          <w:rFonts w:ascii="宋体" w:hAnsi="宋体" w:eastAsia="宋体" w:cs="宋体"/>
          <w:sz w:val="24"/>
          <w:szCs w:val="24"/>
        </w:rPr>
        <w:sectPr>
          <w:footerReference r:id="rId145" w:type="default"/>
          <w:pgSz w:w="11906" w:h="16839"/>
          <w:pgMar w:top="400" w:right="1586" w:bottom="1485" w:left="1596" w:header="0" w:footer="1249" w:gutter="0"/>
          <w:cols w:space="720" w:num="1"/>
        </w:sectPr>
      </w:pPr>
    </w:p>
    <w:p w14:paraId="5DD24A37">
      <w:pPr>
        <w:pStyle w:val="2"/>
        <w:spacing w:line="273" w:lineRule="auto"/>
      </w:pPr>
    </w:p>
    <w:p w14:paraId="5616EAF0">
      <w:pPr>
        <w:pStyle w:val="2"/>
        <w:spacing w:line="274" w:lineRule="auto"/>
      </w:pPr>
    </w:p>
    <w:p w14:paraId="1CC820FA">
      <w:pPr>
        <w:pStyle w:val="2"/>
        <w:spacing w:line="274" w:lineRule="auto"/>
      </w:pPr>
    </w:p>
    <w:p w14:paraId="2B28C12D">
      <w:pPr>
        <w:pStyle w:val="2"/>
        <w:spacing w:line="274" w:lineRule="auto"/>
      </w:pPr>
    </w:p>
    <w:p w14:paraId="4EDA5A4D">
      <w:pPr>
        <w:spacing w:before="78"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5.2.7</w:t>
      </w:r>
      <w:r>
        <w:rPr>
          <w:rFonts w:ascii="宋体" w:hAnsi="宋体" w:eastAsia="宋体" w:cs="宋体"/>
          <w:b/>
          <w:bCs/>
          <w:spacing w:val="-2"/>
          <w:sz w:val="24"/>
          <w:szCs w:val="24"/>
        </w:rPr>
        <w:t>生态环境影响评价</w:t>
      </w:r>
    </w:p>
    <w:p w14:paraId="35CFE8B3">
      <w:pPr>
        <w:pStyle w:val="2"/>
        <w:spacing w:line="281" w:lineRule="auto"/>
      </w:pPr>
    </w:p>
    <w:p w14:paraId="595FB265">
      <w:pPr>
        <w:spacing w:before="78" w:line="376" w:lineRule="auto"/>
        <w:ind w:left="2" w:right="63" w:firstLine="482"/>
        <w:jc w:val="both"/>
        <w:rPr>
          <w:rFonts w:ascii="宋体" w:hAnsi="宋体" w:eastAsia="宋体" w:cs="宋体"/>
          <w:sz w:val="24"/>
          <w:szCs w:val="24"/>
        </w:rPr>
      </w:pPr>
      <w:r>
        <w:rPr>
          <w:rFonts w:ascii="宋体" w:hAnsi="宋体" w:eastAsia="宋体" w:cs="宋体"/>
          <w:spacing w:val="2"/>
          <w:sz w:val="24"/>
          <w:szCs w:val="24"/>
        </w:rPr>
        <w:t>项目周边生物主要为灌丛、裸地、林地等。根据我国对畜禽养殖选址的要求，</w:t>
      </w:r>
      <w:r>
        <w:rPr>
          <w:rFonts w:ascii="宋体" w:hAnsi="宋体" w:eastAsia="宋体" w:cs="宋体"/>
          <w:spacing w:val="6"/>
          <w:sz w:val="24"/>
          <w:szCs w:val="24"/>
        </w:rPr>
        <w:t xml:space="preserve"> </w:t>
      </w:r>
      <w:r>
        <w:rPr>
          <w:rFonts w:ascii="宋体" w:hAnsi="宋体" w:eastAsia="宋体" w:cs="宋体"/>
          <w:spacing w:val="2"/>
          <w:sz w:val="24"/>
          <w:szCs w:val="24"/>
        </w:rPr>
        <w:t>本项目所在区域不属于自然保护区、生态脆弱区、考古或历史用地，仅仅是一般的</w:t>
      </w:r>
      <w:r>
        <w:rPr>
          <w:rFonts w:ascii="宋体" w:hAnsi="宋体" w:eastAsia="宋体" w:cs="宋体"/>
          <w:spacing w:val="5"/>
          <w:sz w:val="24"/>
          <w:szCs w:val="24"/>
        </w:rPr>
        <w:t xml:space="preserve"> </w:t>
      </w:r>
      <w:r>
        <w:rPr>
          <w:rFonts w:ascii="宋体" w:hAnsi="宋体" w:eastAsia="宋体" w:cs="宋体"/>
          <w:spacing w:val="-1"/>
          <w:sz w:val="24"/>
          <w:szCs w:val="24"/>
        </w:rPr>
        <w:t>旱地，项目周边林木较为单一。</w:t>
      </w:r>
    </w:p>
    <w:p w14:paraId="7EB20CA0">
      <w:pPr>
        <w:spacing w:before="1" w:line="376" w:lineRule="auto"/>
        <w:ind w:left="2" w:right="63" w:firstLine="480"/>
        <w:rPr>
          <w:rFonts w:ascii="宋体" w:hAnsi="宋体" w:eastAsia="宋体" w:cs="宋体"/>
          <w:sz w:val="24"/>
          <w:szCs w:val="24"/>
        </w:rPr>
      </w:pPr>
      <w:r>
        <w:rPr>
          <w:rFonts w:ascii="宋体" w:hAnsi="宋体" w:eastAsia="宋体" w:cs="宋体"/>
          <w:spacing w:val="2"/>
          <w:sz w:val="24"/>
          <w:szCs w:val="24"/>
        </w:rPr>
        <w:t>本项目由于厂区道路建设、办公、住宿、仓储及猪舍等用房的建设，改变了部</w:t>
      </w:r>
      <w:r>
        <w:rPr>
          <w:rFonts w:ascii="宋体" w:hAnsi="宋体" w:eastAsia="宋体" w:cs="宋体"/>
          <w:spacing w:val="9"/>
          <w:sz w:val="24"/>
          <w:szCs w:val="24"/>
        </w:rPr>
        <w:t xml:space="preserve"> </w:t>
      </w:r>
      <w:r>
        <w:rPr>
          <w:rFonts w:ascii="宋体" w:hAnsi="宋体" w:eastAsia="宋体" w:cs="宋体"/>
          <w:spacing w:val="2"/>
          <w:sz w:val="24"/>
          <w:szCs w:val="24"/>
        </w:rPr>
        <w:t>分原有地面现状，产生的临时土石方可能会导致一定量的水土流失。施工对生态及</w:t>
      </w:r>
      <w:r>
        <w:rPr>
          <w:rFonts w:ascii="宋体" w:hAnsi="宋体" w:eastAsia="宋体" w:cs="宋体"/>
          <w:spacing w:val="5"/>
          <w:sz w:val="24"/>
          <w:szCs w:val="24"/>
        </w:rPr>
        <w:t xml:space="preserve"> </w:t>
      </w:r>
      <w:r>
        <w:rPr>
          <w:rFonts w:ascii="宋体" w:hAnsi="宋体" w:eastAsia="宋体" w:cs="宋体"/>
          <w:spacing w:val="2"/>
          <w:sz w:val="24"/>
          <w:szCs w:val="24"/>
        </w:rPr>
        <w:t>植被的影响主要包括地基开挖及回填、施工人员活动等引起的原有植被及土壤性质</w:t>
      </w:r>
      <w:r>
        <w:rPr>
          <w:rFonts w:ascii="宋体" w:hAnsi="宋体" w:eastAsia="宋体" w:cs="宋体"/>
          <w:spacing w:val="5"/>
          <w:sz w:val="24"/>
          <w:szCs w:val="24"/>
        </w:rPr>
        <w:t xml:space="preserve"> </w:t>
      </w:r>
      <w:r>
        <w:rPr>
          <w:rFonts w:ascii="宋体" w:hAnsi="宋体" w:eastAsia="宋体" w:cs="宋体"/>
          <w:spacing w:val="2"/>
          <w:sz w:val="24"/>
          <w:szCs w:val="24"/>
        </w:rPr>
        <w:t>的变化，施工引起的水土流失等。在施工过程中会造成地面裸露，造成土壤侵蚀、</w:t>
      </w:r>
      <w:r>
        <w:rPr>
          <w:rFonts w:ascii="宋体" w:hAnsi="宋体" w:eastAsia="宋体" w:cs="宋体"/>
          <w:spacing w:val="5"/>
          <w:sz w:val="24"/>
          <w:szCs w:val="24"/>
        </w:rPr>
        <w:t xml:space="preserve"> </w:t>
      </w:r>
      <w:r>
        <w:rPr>
          <w:rFonts w:ascii="宋体" w:hAnsi="宋体" w:eastAsia="宋体" w:cs="宋体"/>
          <w:spacing w:val="-2"/>
          <w:sz w:val="24"/>
          <w:szCs w:val="24"/>
        </w:rPr>
        <w:t>植被破坏和水土流失。</w:t>
      </w:r>
    </w:p>
    <w:p w14:paraId="21E08239">
      <w:pPr>
        <w:spacing w:before="1" w:line="375" w:lineRule="auto"/>
        <w:ind w:left="2" w:right="63" w:firstLine="480"/>
        <w:rPr>
          <w:rFonts w:ascii="宋体" w:hAnsi="宋体" w:eastAsia="宋体" w:cs="宋体"/>
          <w:sz w:val="24"/>
          <w:szCs w:val="24"/>
        </w:rPr>
      </w:pPr>
      <w:r>
        <w:rPr>
          <w:rFonts w:ascii="宋体" w:hAnsi="宋体" w:eastAsia="宋体" w:cs="宋体"/>
          <w:spacing w:val="2"/>
          <w:sz w:val="24"/>
          <w:szCs w:val="24"/>
        </w:rPr>
        <w:t>本项目建设区域无自然风景区等敏感区域，工程的施工不会对自然风景区等环</w:t>
      </w:r>
      <w:r>
        <w:rPr>
          <w:rFonts w:ascii="宋体" w:hAnsi="宋体" w:eastAsia="宋体" w:cs="宋体"/>
          <w:spacing w:val="9"/>
          <w:sz w:val="24"/>
          <w:szCs w:val="24"/>
        </w:rPr>
        <w:t xml:space="preserve"> </w:t>
      </w:r>
      <w:r>
        <w:rPr>
          <w:rFonts w:ascii="宋体" w:hAnsi="宋体" w:eastAsia="宋体" w:cs="宋体"/>
          <w:spacing w:val="-2"/>
          <w:sz w:val="24"/>
          <w:szCs w:val="24"/>
        </w:rPr>
        <w:t>境保护目标造成影响。</w:t>
      </w:r>
    </w:p>
    <w:p w14:paraId="252B8D5E">
      <w:pPr>
        <w:spacing w:before="1" w:line="376" w:lineRule="auto"/>
        <w:ind w:right="63" w:firstLine="480"/>
        <w:jc w:val="both"/>
        <w:rPr>
          <w:rFonts w:ascii="宋体" w:hAnsi="宋体" w:eastAsia="宋体" w:cs="宋体"/>
          <w:sz w:val="24"/>
          <w:szCs w:val="24"/>
        </w:rPr>
      </w:pPr>
      <w:r>
        <w:rPr>
          <w:rFonts w:ascii="宋体" w:hAnsi="宋体" w:eastAsia="宋体" w:cs="宋体"/>
          <w:spacing w:val="2"/>
          <w:sz w:val="24"/>
          <w:szCs w:val="24"/>
        </w:rPr>
        <w:t>通过进行合理施工布置，精心组织施工管理，严格将工程施工区控制在最小范</w:t>
      </w:r>
      <w:r>
        <w:rPr>
          <w:rFonts w:ascii="宋体" w:hAnsi="宋体" w:eastAsia="宋体" w:cs="宋体"/>
          <w:spacing w:val="10"/>
          <w:sz w:val="24"/>
          <w:szCs w:val="24"/>
        </w:rPr>
        <w:t xml:space="preserve"> </w:t>
      </w:r>
      <w:r>
        <w:rPr>
          <w:rFonts w:ascii="宋体" w:hAnsi="宋体" w:eastAsia="宋体" w:cs="宋体"/>
          <w:spacing w:val="2"/>
          <w:sz w:val="24"/>
          <w:szCs w:val="24"/>
        </w:rPr>
        <w:t>围内；施工后进行地貌、植被恢复，以植被护土，防止或减轻水土流失；做好现场</w:t>
      </w:r>
      <w:r>
        <w:rPr>
          <w:rFonts w:ascii="宋体" w:hAnsi="宋体" w:eastAsia="宋体" w:cs="宋体"/>
          <w:spacing w:val="7"/>
          <w:sz w:val="24"/>
          <w:szCs w:val="24"/>
        </w:rPr>
        <w:t xml:space="preserve"> </w:t>
      </w:r>
      <w:r>
        <w:rPr>
          <w:rFonts w:ascii="宋体" w:hAnsi="宋体" w:eastAsia="宋体" w:cs="宋体"/>
          <w:spacing w:val="2"/>
          <w:sz w:val="24"/>
          <w:szCs w:val="24"/>
        </w:rPr>
        <w:t>施工人员的宣传、教育、管理工作，严禁随意砍伐破坏施工区内外的植被；在施工</w:t>
      </w:r>
      <w:r>
        <w:rPr>
          <w:rFonts w:ascii="宋体" w:hAnsi="宋体" w:eastAsia="宋体" w:cs="宋体"/>
          <w:spacing w:val="7"/>
          <w:sz w:val="24"/>
          <w:szCs w:val="24"/>
        </w:rPr>
        <w:t xml:space="preserve"> </w:t>
      </w:r>
      <w:r>
        <w:rPr>
          <w:rFonts w:ascii="宋体" w:hAnsi="宋体" w:eastAsia="宋体" w:cs="宋体"/>
          <w:spacing w:val="2"/>
          <w:sz w:val="24"/>
          <w:szCs w:val="24"/>
        </w:rPr>
        <w:t>过程中，尽量减少开挖量，回填应按原有的土层顺序进行等生态保护措施后，可最</w:t>
      </w:r>
      <w:r>
        <w:rPr>
          <w:rFonts w:ascii="宋体" w:hAnsi="宋体" w:eastAsia="宋体" w:cs="宋体"/>
          <w:spacing w:val="7"/>
          <w:sz w:val="24"/>
          <w:szCs w:val="24"/>
        </w:rPr>
        <w:t xml:space="preserve"> </w:t>
      </w:r>
      <w:r>
        <w:rPr>
          <w:rFonts w:ascii="宋体" w:hAnsi="宋体" w:eastAsia="宋体" w:cs="宋体"/>
          <w:spacing w:val="-1"/>
          <w:sz w:val="24"/>
          <w:szCs w:val="24"/>
        </w:rPr>
        <w:t>大程度的降低本项目建设对生态环境的影响和破坏。</w:t>
      </w:r>
    </w:p>
    <w:p w14:paraId="108E4E42">
      <w:pPr>
        <w:spacing w:before="2" w:line="376" w:lineRule="auto"/>
        <w:ind w:left="3" w:right="63" w:firstLine="481"/>
        <w:rPr>
          <w:rFonts w:ascii="宋体" w:hAnsi="宋体" w:eastAsia="宋体" w:cs="宋体"/>
          <w:sz w:val="24"/>
          <w:szCs w:val="24"/>
        </w:rPr>
      </w:pPr>
      <w:r>
        <w:rPr>
          <w:rFonts w:ascii="宋体" w:hAnsi="宋体" w:eastAsia="宋体" w:cs="宋体"/>
          <w:spacing w:val="2"/>
          <w:sz w:val="24"/>
          <w:szCs w:val="24"/>
        </w:rPr>
        <w:t>项目场区原为林业用地。项目建成后将完全改变土地利用状况，使其变为养殖</w:t>
      </w:r>
      <w:r>
        <w:rPr>
          <w:rFonts w:ascii="宋体" w:hAnsi="宋体" w:eastAsia="宋体" w:cs="宋体"/>
          <w:spacing w:val="6"/>
          <w:sz w:val="24"/>
          <w:szCs w:val="24"/>
        </w:rPr>
        <w:t xml:space="preserve"> </w:t>
      </w:r>
      <w:r>
        <w:rPr>
          <w:rFonts w:ascii="宋体" w:hAnsi="宋体" w:eastAsia="宋体" w:cs="宋体"/>
          <w:spacing w:val="-4"/>
          <w:sz w:val="24"/>
          <w:szCs w:val="24"/>
        </w:rPr>
        <w:t>用地。</w:t>
      </w:r>
    </w:p>
    <w:p w14:paraId="72D29C8E">
      <w:pPr>
        <w:spacing w:before="1" w:line="377" w:lineRule="auto"/>
        <w:ind w:left="1" w:right="63" w:firstLine="482"/>
        <w:jc w:val="both"/>
        <w:rPr>
          <w:rFonts w:ascii="宋体" w:hAnsi="宋体" w:eastAsia="宋体" w:cs="宋体"/>
          <w:sz w:val="24"/>
          <w:szCs w:val="24"/>
        </w:rPr>
      </w:pPr>
      <w:r>
        <w:rPr>
          <w:rFonts w:ascii="宋体" w:hAnsi="宋体" w:eastAsia="宋体" w:cs="宋体"/>
          <w:spacing w:val="2"/>
          <w:sz w:val="24"/>
          <w:szCs w:val="24"/>
        </w:rPr>
        <w:t>综上分析，本项目在施工期间对生态环境产生一定的影响，通过采取相应的生</w:t>
      </w:r>
      <w:r>
        <w:rPr>
          <w:rFonts w:ascii="宋体" w:hAnsi="宋体" w:eastAsia="宋体" w:cs="宋体"/>
          <w:spacing w:val="7"/>
          <w:sz w:val="24"/>
          <w:szCs w:val="24"/>
        </w:rPr>
        <w:t xml:space="preserve"> </w:t>
      </w:r>
      <w:r>
        <w:rPr>
          <w:rFonts w:ascii="宋体" w:hAnsi="宋体" w:eastAsia="宋体" w:cs="宋体"/>
          <w:spacing w:val="2"/>
          <w:sz w:val="24"/>
          <w:szCs w:val="24"/>
        </w:rPr>
        <w:t>态保护和恢复措施，尤其是通过施工管理和强化施工期的保护和恢复，则本项目建</w:t>
      </w:r>
      <w:r>
        <w:rPr>
          <w:rFonts w:ascii="宋体" w:hAnsi="宋体" w:eastAsia="宋体" w:cs="宋体"/>
          <w:spacing w:val="6"/>
          <w:sz w:val="24"/>
          <w:szCs w:val="24"/>
        </w:rPr>
        <w:t xml:space="preserve"> </w:t>
      </w:r>
      <w:r>
        <w:rPr>
          <w:rFonts w:ascii="宋体" w:hAnsi="宋体" w:eastAsia="宋体" w:cs="宋体"/>
          <w:spacing w:val="-1"/>
          <w:sz w:val="24"/>
          <w:szCs w:val="24"/>
        </w:rPr>
        <w:t>设对生态环境影响是可接受的。</w:t>
      </w:r>
    </w:p>
    <w:p w14:paraId="13E32FA7">
      <w:pPr>
        <w:spacing w:before="292"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5.2.8</w:t>
      </w:r>
      <w:r>
        <w:rPr>
          <w:rFonts w:ascii="宋体" w:hAnsi="宋体" w:eastAsia="宋体" w:cs="宋体"/>
          <w:b/>
          <w:bCs/>
          <w:spacing w:val="-2"/>
          <w:sz w:val="24"/>
          <w:szCs w:val="24"/>
        </w:rPr>
        <w:t>环境风险评价</w:t>
      </w:r>
    </w:p>
    <w:p w14:paraId="0209C3CA">
      <w:pPr>
        <w:pStyle w:val="2"/>
        <w:spacing w:line="249" w:lineRule="auto"/>
      </w:pPr>
    </w:p>
    <w:p w14:paraId="22EC1BEB">
      <w:pPr>
        <w:spacing w:before="78" w:line="372" w:lineRule="auto"/>
        <w:ind w:firstLine="482"/>
        <w:jc w:val="both"/>
        <w:rPr>
          <w:rFonts w:ascii="宋体" w:hAnsi="宋体" w:eastAsia="宋体" w:cs="宋体"/>
          <w:sz w:val="24"/>
          <w:szCs w:val="24"/>
        </w:rPr>
      </w:pPr>
      <w:r>
        <w:rPr>
          <w:rFonts w:ascii="宋体" w:hAnsi="宋体" w:eastAsia="宋体" w:cs="宋体"/>
          <w:sz w:val="24"/>
          <w:szCs w:val="24"/>
        </w:rPr>
        <w:t>本次评价将依据《建设项目环境风险评价技术导则》（</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169-2018</w:t>
      </w:r>
      <w:r>
        <w:rPr>
          <w:rFonts w:ascii="宋体" w:hAnsi="宋体" w:eastAsia="宋体" w:cs="宋体"/>
          <w:spacing w:val="-1"/>
          <w:sz w:val="24"/>
          <w:szCs w:val="24"/>
        </w:rPr>
        <w:t>）、《关于</w:t>
      </w:r>
      <w:r>
        <w:rPr>
          <w:rFonts w:ascii="宋体" w:hAnsi="宋体" w:eastAsia="宋体" w:cs="宋体"/>
          <w:sz w:val="24"/>
          <w:szCs w:val="24"/>
        </w:rPr>
        <w:t xml:space="preserve">  </w:t>
      </w:r>
      <w:r>
        <w:rPr>
          <w:rFonts w:ascii="宋体" w:hAnsi="宋体" w:eastAsia="宋体" w:cs="宋体"/>
          <w:spacing w:val="-4"/>
          <w:sz w:val="24"/>
          <w:szCs w:val="24"/>
        </w:rPr>
        <w:t>进一步加强环境影响评价管理防范环境风险的通知》（环发〔</w:t>
      </w:r>
      <w:r>
        <w:rPr>
          <w:rFonts w:ascii="Times New Roman" w:hAnsi="Times New Roman" w:eastAsia="Times New Roman" w:cs="Times New Roman"/>
          <w:spacing w:val="-4"/>
          <w:sz w:val="24"/>
          <w:szCs w:val="24"/>
        </w:rPr>
        <w:t>2012</w:t>
      </w:r>
      <w:r>
        <w:rPr>
          <w:rFonts w:ascii="宋体" w:hAnsi="宋体" w:eastAsia="宋体" w:cs="宋体"/>
          <w:spacing w:val="-4"/>
          <w:sz w:val="24"/>
          <w:szCs w:val="24"/>
        </w:rPr>
        <w:t>〕</w:t>
      </w:r>
      <w:r>
        <w:rPr>
          <w:rFonts w:ascii="Times New Roman" w:hAnsi="Times New Roman" w:eastAsia="Times New Roman" w:cs="Times New Roman"/>
          <w:spacing w:val="-4"/>
          <w:sz w:val="24"/>
          <w:szCs w:val="24"/>
        </w:rPr>
        <w:t>77</w:t>
      </w:r>
      <w:r>
        <w:rPr>
          <w:rFonts w:ascii="宋体" w:hAnsi="宋体" w:eastAsia="宋体" w:cs="宋体"/>
          <w:spacing w:val="-4"/>
          <w:sz w:val="24"/>
          <w:szCs w:val="24"/>
        </w:rPr>
        <w:t>）号以及《关</w:t>
      </w:r>
      <w:r>
        <w:rPr>
          <w:rFonts w:ascii="宋体" w:hAnsi="宋体" w:eastAsia="宋体" w:cs="宋体"/>
          <w:sz w:val="24"/>
          <w:szCs w:val="24"/>
        </w:rPr>
        <w:t xml:space="preserve"> </w:t>
      </w:r>
      <w:r>
        <w:rPr>
          <w:rFonts w:ascii="宋体" w:hAnsi="宋体" w:eastAsia="宋体" w:cs="宋体"/>
          <w:spacing w:val="-5"/>
          <w:sz w:val="24"/>
          <w:szCs w:val="24"/>
        </w:rPr>
        <w:t>于切实加强风险防范严格环境影响评价管理的通知》（环发〔</w:t>
      </w:r>
      <w:r>
        <w:rPr>
          <w:rFonts w:ascii="Times New Roman" w:hAnsi="Times New Roman" w:eastAsia="Times New Roman" w:cs="Times New Roman"/>
          <w:spacing w:val="-5"/>
          <w:sz w:val="24"/>
          <w:szCs w:val="24"/>
        </w:rPr>
        <w:t>2012</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98 </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号）的要求，</w:t>
      </w:r>
      <w:r>
        <w:rPr>
          <w:rFonts w:ascii="宋体" w:hAnsi="宋体" w:eastAsia="宋体" w:cs="宋体"/>
          <w:sz w:val="24"/>
          <w:szCs w:val="24"/>
        </w:rPr>
        <w:t xml:space="preserve"> 分析和预测本项目存在的潜在危险、有害因素，对本项目运营</w:t>
      </w:r>
      <w:r>
        <w:rPr>
          <w:rFonts w:ascii="宋体" w:hAnsi="宋体" w:eastAsia="宋体" w:cs="宋体"/>
          <w:spacing w:val="-1"/>
          <w:sz w:val="24"/>
          <w:szCs w:val="24"/>
        </w:rPr>
        <w:t>期间发生的可预测突</w:t>
      </w:r>
      <w:r>
        <w:rPr>
          <w:rFonts w:ascii="宋体" w:hAnsi="宋体" w:eastAsia="宋体" w:cs="宋体"/>
          <w:sz w:val="24"/>
          <w:szCs w:val="24"/>
        </w:rPr>
        <w:t xml:space="preserve">  发性事件或事故（不包括人为破坏及自然灾害印发的事故）引</w:t>
      </w:r>
      <w:r>
        <w:rPr>
          <w:rFonts w:ascii="宋体" w:hAnsi="宋体" w:eastAsia="宋体" w:cs="宋体"/>
          <w:spacing w:val="-1"/>
          <w:sz w:val="24"/>
          <w:szCs w:val="24"/>
        </w:rPr>
        <w:t>起有毒有害、易燃易</w:t>
      </w:r>
    </w:p>
    <w:p w14:paraId="29921658">
      <w:pPr>
        <w:spacing w:line="372" w:lineRule="auto"/>
        <w:rPr>
          <w:rFonts w:ascii="宋体" w:hAnsi="宋体" w:eastAsia="宋体" w:cs="宋体"/>
          <w:sz w:val="24"/>
          <w:szCs w:val="24"/>
        </w:rPr>
        <w:sectPr>
          <w:footerReference r:id="rId146" w:type="default"/>
          <w:pgSz w:w="11906" w:h="16839"/>
          <w:pgMar w:top="400" w:right="1525" w:bottom="1485" w:left="1596" w:header="0" w:footer="1249" w:gutter="0"/>
          <w:cols w:space="720" w:num="1"/>
        </w:sectPr>
      </w:pPr>
    </w:p>
    <w:p w14:paraId="65775BDC">
      <w:pPr>
        <w:pStyle w:val="2"/>
        <w:spacing w:line="264" w:lineRule="auto"/>
      </w:pPr>
    </w:p>
    <w:p w14:paraId="246A0BE8">
      <w:pPr>
        <w:pStyle w:val="2"/>
        <w:spacing w:line="264" w:lineRule="auto"/>
      </w:pPr>
    </w:p>
    <w:p w14:paraId="6D1A3B02">
      <w:pPr>
        <w:pStyle w:val="2"/>
        <w:spacing w:line="264" w:lineRule="auto"/>
      </w:pPr>
    </w:p>
    <w:p w14:paraId="662573A0">
      <w:pPr>
        <w:pStyle w:val="2"/>
        <w:spacing w:line="264" w:lineRule="auto"/>
      </w:pPr>
    </w:p>
    <w:p w14:paraId="0BE6D6E3">
      <w:pPr>
        <w:spacing w:before="78" w:line="377" w:lineRule="auto"/>
        <w:ind w:left="5" w:right="91" w:hanging="5"/>
        <w:jc w:val="both"/>
        <w:rPr>
          <w:rFonts w:ascii="宋体" w:hAnsi="宋体" w:eastAsia="宋体" w:cs="宋体"/>
          <w:sz w:val="24"/>
          <w:szCs w:val="24"/>
        </w:rPr>
      </w:pPr>
      <w:r>
        <w:rPr>
          <w:rFonts w:ascii="宋体" w:hAnsi="宋体" w:eastAsia="宋体" w:cs="宋体"/>
          <w:sz w:val="24"/>
          <w:szCs w:val="24"/>
        </w:rPr>
        <w:t>爆等物质泄漏，或突发事件产生的新的有毒有害物质，所造成的人</w:t>
      </w:r>
      <w:r>
        <w:rPr>
          <w:rFonts w:ascii="宋体" w:hAnsi="宋体" w:eastAsia="宋体" w:cs="宋体"/>
          <w:spacing w:val="-1"/>
          <w:sz w:val="24"/>
          <w:szCs w:val="24"/>
        </w:rPr>
        <w:t>身安全、环境影</w:t>
      </w:r>
      <w:r>
        <w:rPr>
          <w:rFonts w:ascii="宋体" w:hAnsi="宋体" w:eastAsia="宋体" w:cs="宋体"/>
          <w:sz w:val="24"/>
          <w:szCs w:val="24"/>
        </w:rPr>
        <w:t xml:space="preserve"> 响和损害，进行评估，并提出合理可行的防范、应急</w:t>
      </w:r>
      <w:r>
        <w:rPr>
          <w:rFonts w:ascii="宋体" w:hAnsi="宋体" w:eastAsia="宋体" w:cs="宋体"/>
          <w:spacing w:val="-1"/>
          <w:sz w:val="24"/>
          <w:szCs w:val="24"/>
        </w:rPr>
        <w:t>与减缓措施，以使本项目事故</w:t>
      </w:r>
      <w:r>
        <w:rPr>
          <w:rFonts w:ascii="宋体" w:hAnsi="宋体" w:eastAsia="宋体" w:cs="宋体"/>
          <w:sz w:val="24"/>
          <w:szCs w:val="24"/>
        </w:rPr>
        <w:t xml:space="preserve"> </w:t>
      </w:r>
      <w:r>
        <w:rPr>
          <w:rFonts w:ascii="宋体" w:hAnsi="宋体" w:eastAsia="宋体" w:cs="宋体"/>
          <w:spacing w:val="-1"/>
          <w:sz w:val="24"/>
          <w:szCs w:val="24"/>
        </w:rPr>
        <w:t>率、损失和环境影响达到可接受水平。</w:t>
      </w:r>
    </w:p>
    <w:p w14:paraId="2A106854">
      <w:pPr>
        <w:spacing w:before="1" w:line="220" w:lineRule="auto"/>
        <w:ind w:left="490"/>
        <w:rPr>
          <w:rFonts w:ascii="宋体" w:hAnsi="宋体" w:eastAsia="宋体" w:cs="宋体"/>
          <w:sz w:val="24"/>
          <w:szCs w:val="24"/>
        </w:rPr>
      </w:pPr>
      <w:r>
        <w:rPr>
          <w:rFonts w:ascii="Times New Roman" w:hAnsi="Times New Roman" w:eastAsia="Times New Roman" w:cs="Times New Roman"/>
          <w:b/>
          <w:bCs/>
          <w:spacing w:val="-8"/>
          <w:sz w:val="24"/>
          <w:szCs w:val="24"/>
        </w:rPr>
        <w:t>1</w:t>
      </w:r>
      <w:r>
        <w:rPr>
          <w:rFonts w:ascii="Times New Roman" w:hAnsi="Times New Roman" w:eastAsia="Times New Roman" w:cs="Times New Roman"/>
          <w:b/>
          <w:bCs/>
          <w:spacing w:val="-32"/>
          <w:sz w:val="24"/>
          <w:szCs w:val="24"/>
        </w:rPr>
        <w:t xml:space="preserve"> </w:t>
      </w:r>
      <w:r>
        <w:rPr>
          <w:rFonts w:ascii="宋体" w:hAnsi="宋体" w:eastAsia="宋体" w:cs="宋体"/>
          <w:b/>
          <w:bCs/>
          <w:spacing w:val="-8"/>
          <w:sz w:val="24"/>
          <w:szCs w:val="24"/>
        </w:rPr>
        <w:t>、风险源调查</w:t>
      </w:r>
    </w:p>
    <w:p w14:paraId="3F84C876">
      <w:pPr>
        <w:spacing w:before="163" w:line="382" w:lineRule="auto"/>
        <w:ind w:left="3" w:firstLine="316"/>
        <w:jc w:val="both"/>
        <w:rPr>
          <w:rFonts w:ascii="宋体" w:hAnsi="宋体" w:eastAsia="宋体" w:cs="宋体"/>
          <w:sz w:val="24"/>
          <w:szCs w:val="24"/>
        </w:rPr>
      </w:pPr>
      <w:r>
        <w:rPr>
          <w:rFonts w:ascii="宋体" w:hAnsi="宋体" w:eastAsia="宋体" w:cs="宋体"/>
          <w:spacing w:val="-1"/>
          <w:sz w:val="24"/>
          <w:szCs w:val="24"/>
        </w:rPr>
        <w:t>根据《建设项目环境风险评价技术导则》（</w:t>
      </w:r>
      <w:r>
        <w:rPr>
          <w:rFonts w:ascii="Times New Roman" w:hAnsi="Times New Roman" w:eastAsia="Times New Roman" w:cs="Times New Roman"/>
          <w:spacing w:val="-1"/>
          <w:sz w:val="24"/>
          <w:szCs w:val="24"/>
        </w:rPr>
        <w:t>HJ169-2018</w:t>
      </w:r>
      <w:r>
        <w:rPr>
          <w:rFonts w:ascii="宋体" w:hAnsi="宋体" w:eastAsia="宋体" w:cs="宋体"/>
          <w:spacing w:val="-1"/>
          <w:sz w:val="24"/>
          <w:szCs w:val="24"/>
        </w:rPr>
        <w:t>）附录</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B </w:t>
      </w:r>
      <w:r>
        <w:rPr>
          <w:rFonts w:ascii="宋体" w:hAnsi="宋体" w:eastAsia="宋体" w:cs="宋体"/>
          <w:spacing w:val="-1"/>
          <w:sz w:val="24"/>
          <w:szCs w:val="24"/>
        </w:rPr>
        <w:t>进行本项目危险</w:t>
      </w:r>
      <w:r>
        <w:rPr>
          <w:rFonts w:ascii="宋体" w:hAnsi="宋体" w:eastAsia="宋体" w:cs="宋体"/>
          <w:sz w:val="24"/>
          <w:szCs w:val="24"/>
        </w:rPr>
        <w:t xml:space="preserve"> </w:t>
      </w:r>
      <w:r>
        <w:rPr>
          <w:rFonts w:ascii="宋体" w:hAnsi="宋体" w:eastAsia="宋体" w:cs="宋体"/>
          <w:spacing w:val="2"/>
          <w:sz w:val="24"/>
          <w:szCs w:val="24"/>
        </w:rPr>
        <w:t>物质识别，本项目不存在的风险物质。风险评价工作等级为简单分析，可不进行定</w:t>
      </w:r>
      <w:r>
        <w:rPr>
          <w:rFonts w:ascii="宋体" w:hAnsi="宋体" w:eastAsia="宋体" w:cs="宋体"/>
          <w:spacing w:val="6"/>
          <w:sz w:val="24"/>
          <w:szCs w:val="24"/>
        </w:rPr>
        <w:t xml:space="preserve"> </w:t>
      </w:r>
      <w:r>
        <w:rPr>
          <w:rFonts w:ascii="宋体" w:hAnsi="宋体" w:eastAsia="宋体" w:cs="宋体"/>
          <w:spacing w:val="-3"/>
          <w:sz w:val="24"/>
          <w:szCs w:val="24"/>
        </w:rPr>
        <w:t>量风险预测。企业环境风险潜势为</w:t>
      </w:r>
      <w:r>
        <w:rPr>
          <w:rFonts w:ascii="宋体" w:hAnsi="宋体" w:eastAsia="宋体" w:cs="宋体"/>
          <w:spacing w:val="-27"/>
          <w:sz w:val="24"/>
          <w:szCs w:val="24"/>
        </w:rPr>
        <w:t xml:space="preserve"> </w:t>
      </w:r>
      <w:r>
        <w:rPr>
          <w:rFonts w:ascii="宋体" w:hAnsi="宋体" w:eastAsia="宋体" w:cs="宋体"/>
          <w:spacing w:val="-3"/>
          <w:sz w:val="24"/>
          <w:szCs w:val="24"/>
        </w:rPr>
        <w:t>Ⅰ</w:t>
      </w:r>
      <w:r>
        <w:rPr>
          <w:rFonts w:ascii="宋体" w:hAnsi="宋体" w:eastAsia="宋体" w:cs="宋体"/>
          <w:spacing w:val="-89"/>
          <w:sz w:val="24"/>
          <w:szCs w:val="24"/>
        </w:rPr>
        <w:t xml:space="preserve"> </w:t>
      </w:r>
      <w:r>
        <w:rPr>
          <w:rFonts w:ascii="宋体" w:hAnsi="宋体" w:eastAsia="宋体" w:cs="宋体"/>
          <w:spacing w:val="-3"/>
          <w:sz w:val="24"/>
          <w:szCs w:val="24"/>
        </w:rPr>
        <w:t>,</w:t>
      </w:r>
      <w:r>
        <w:rPr>
          <w:rFonts w:ascii="宋体" w:hAnsi="宋体" w:eastAsia="宋体" w:cs="宋体"/>
          <w:spacing w:val="62"/>
          <w:sz w:val="24"/>
          <w:szCs w:val="24"/>
        </w:rPr>
        <w:t xml:space="preserve"> </w:t>
      </w:r>
      <w:r>
        <w:rPr>
          <w:rFonts w:ascii="宋体" w:hAnsi="宋体" w:eastAsia="宋体" w:cs="宋体"/>
          <w:spacing w:val="-3"/>
          <w:sz w:val="24"/>
          <w:szCs w:val="24"/>
        </w:rPr>
        <w:t>仅需在描述危险物质、环境影响途径、环境</w:t>
      </w:r>
      <w:r>
        <w:rPr>
          <w:rFonts w:ascii="宋体" w:hAnsi="宋体" w:eastAsia="宋体" w:cs="宋体"/>
          <w:sz w:val="24"/>
          <w:szCs w:val="24"/>
        </w:rPr>
        <w:t xml:space="preserve"> </w:t>
      </w:r>
      <w:r>
        <w:rPr>
          <w:rFonts w:ascii="宋体" w:hAnsi="宋体" w:eastAsia="宋体" w:cs="宋体"/>
          <w:spacing w:val="-1"/>
          <w:sz w:val="24"/>
          <w:szCs w:val="24"/>
        </w:rPr>
        <w:t>危害后果、风险防范措施等方面给出定性的说明，</w:t>
      </w:r>
    </w:p>
    <w:p w14:paraId="5D87040C">
      <w:pPr>
        <w:spacing w:before="6" w:line="220" w:lineRule="auto"/>
        <w:ind w:left="480"/>
        <w:rPr>
          <w:rFonts w:ascii="宋体" w:hAnsi="宋体" w:eastAsia="宋体" w:cs="宋体"/>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33"/>
          <w:sz w:val="24"/>
          <w:szCs w:val="24"/>
        </w:rPr>
        <w:t xml:space="preserve"> </w:t>
      </w:r>
      <w:r>
        <w:rPr>
          <w:rFonts w:ascii="宋体" w:hAnsi="宋体" w:eastAsia="宋体" w:cs="宋体"/>
          <w:b/>
          <w:bCs/>
          <w:spacing w:val="-5"/>
          <w:sz w:val="24"/>
          <w:szCs w:val="24"/>
        </w:rPr>
        <w:t>、环境敏感目标概况</w:t>
      </w:r>
    </w:p>
    <w:p w14:paraId="57573A2B">
      <w:pPr>
        <w:spacing w:before="168" w:line="359" w:lineRule="exact"/>
        <w:ind w:left="483"/>
        <w:rPr>
          <w:rFonts w:ascii="宋体" w:hAnsi="宋体" w:eastAsia="宋体" w:cs="宋体"/>
          <w:sz w:val="24"/>
          <w:szCs w:val="24"/>
        </w:rPr>
      </w:pPr>
      <w:r>
        <w:rPr>
          <w:rFonts w:ascii="宋体" w:hAnsi="宋体" w:eastAsia="宋体" w:cs="宋体"/>
          <w:spacing w:val="3"/>
          <w:position w:val="2"/>
          <w:sz w:val="24"/>
          <w:szCs w:val="24"/>
        </w:rPr>
        <w:t>环境敏感目标调查详见章节</w:t>
      </w:r>
      <w:r>
        <w:rPr>
          <w:rFonts w:ascii="Times New Roman" w:hAnsi="Times New Roman" w:eastAsia="Times New Roman" w:cs="Times New Roman"/>
          <w:spacing w:val="3"/>
          <w:position w:val="2"/>
          <w:sz w:val="24"/>
          <w:szCs w:val="24"/>
        </w:rPr>
        <w:t>2.8</w:t>
      </w:r>
      <w:r>
        <w:rPr>
          <w:rFonts w:ascii="宋体" w:hAnsi="宋体" w:eastAsia="宋体" w:cs="宋体"/>
          <w:spacing w:val="3"/>
          <w:position w:val="2"/>
          <w:sz w:val="24"/>
          <w:szCs w:val="24"/>
        </w:rPr>
        <w:t>。</w:t>
      </w:r>
    </w:p>
    <w:p w14:paraId="4D0E44FB">
      <w:pPr>
        <w:spacing w:before="165" w:line="221" w:lineRule="auto"/>
        <w:ind w:left="478"/>
        <w:rPr>
          <w:rFonts w:ascii="宋体" w:hAnsi="宋体" w:eastAsia="宋体" w:cs="宋体"/>
          <w:sz w:val="24"/>
          <w:szCs w:val="24"/>
        </w:rPr>
      </w:pPr>
      <w:r>
        <w:rPr>
          <w:rFonts w:ascii="Times New Roman" w:hAnsi="Times New Roman" w:eastAsia="Times New Roman" w:cs="Times New Roman"/>
          <w:b/>
          <w:bCs/>
          <w:spacing w:val="-7"/>
          <w:sz w:val="24"/>
          <w:szCs w:val="24"/>
        </w:rPr>
        <w:t>3</w:t>
      </w:r>
      <w:r>
        <w:rPr>
          <w:rFonts w:ascii="Times New Roman" w:hAnsi="Times New Roman" w:eastAsia="Times New Roman" w:cs="Times New Roman"/>
          <w:b/>
          <w:bCs/>
          <w:spacing w:val="-31"/>
          <w:sz w:val="24"/>
          <w:szCs w:val="24"/>
        </w:rPr>
        <w:t xml:space="preserve"> </w:t>
      </w:r>
      <w:r>
        <w:rPr>
          <w:rFonts w:ascii="宋体" w:hAnsi="宋体" w:eastAsia="宋体" w:cs="宋体"/>
          <w:b/>
          <w:bCs/>
          <w:spacing w:val="-7"/>
          <w:sz w:val="24"/>
          <w:szCs w:val="24"/>
        </w:rPr>
        <w:t>、风险识别</w:t>
      </w:r>
    </w:p>
    <w:p w14:paraId="4CDEA738">
      <w:pPr>
        <w:spacing w:before="203" w:line="219" w:lineRule="auto"/>
        <w:ind w:left="484"/>
        <w:rPr>
          <w:rFonts w:ascii="宋体" w:hAnsi="宋体" w:eastAsia="宋体" w:cs="宋体"/>
          <w:sz w:val="24"/>
          <w:szCs w:val="24"/>
        </w:rPr>
      </w:pPr>
      <w:r>
        <w:rPr>
          <w:rFonts w:ascii="宋体" w:hAnsi="宋体" w:eastAsia="宋体" w:cs="宋体"/>
          <w:sz w:val="24"/>
          <w:szCs w:val="24"/>
        </w:rPr>
        <w:t>本项目存在的主要环境风险包括粪污事故性</w:t>
      </w:r>
      <w:r>
        <w:rPr>
          <w:rFonts w:ascii="宋体" w:hAnsi="宋体" w:eastAsia="宋体" w:cs="宋体"/>
          <w:spacing w:val="-1"/>
          <w:sz w:val="24"/>
          <w:szCs w:val="24"/>
        </w:rPr>
        <w:t>排放、猪的传染几个方面。</w:t>
      </w:r>
    </w:p>
    <w:p w14:paraId="3ED64EED">
      <w:pPr>
        <w:spacing w:before="166" w:line="360"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）粪污事故性排放风险</w:t>
      </w:r>
    </w:p>
    <w:p w14:paraId="382C1EC1">
      <w:pPr>
        <w:spacing w:before="165" w:line="220" w:lineRule="auto"/>
        <w:ind w:left="487"/>
        <w:rPr>
          <w:rFonts w:ascii="宋体" w:hAnsi="宋体" w:eastAsia="宋体" w:cs="宋体"/>
          <w:sz w:val="24"/>
          <w:szCs w:val="24"/>
        </w:rPr>
      </w:pPr>
      <w:r>
        <w:rPr>
          <w:rFonts w:ascii="宋体" w:hAnsi="宋体" w:eastAsia="宋体" w:cs="宋体"/>
          <w:spacing w:val="-1"/>
          <w:sz w:val="24"/>
          <w:szCs w:val="24"/>
        </w:rPr>
        <w:t>项目粪污管线及构筑物泄漏，排放到周边环境，造成土壤及地下水体污染。</w:t>
      </w:r>
    </w:p>
    <w:p w14:paraId="031EB740">
      <w:pPr>
        <w:spacing w:before="166" w:line="361"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）动物病疫事故风险</w:t>
      </w:r>
    </w:p>
    <w:p w14:paraId="6922A9BE">
      <w:pPr>
        <w:spacing w:before="166" w:line="362" w:lineRule="auto"/>
        <w:ind w:left="6" w:right="2" w:firstLine="485"/>
        <w:rPr>
          <w:rFonts w:ascii="宋体" w:hAnsi="宋体" w:eastAsia="宋体" w:cs="宋体"/>
          <w:sz w:val="24"/>
          <w:szCs w:val="24"/>
        </w:rPr>
      </w:pPr>
      <w:r>
        <w:rPr>
          <w:rFonts w:ascii="宋体" w:hAnsi="宋体" w:eastAsia="宋体" w:cs="宋体"/>
          <w:spacing w:val="2"/>
          <w:sz w:val="24"/>
          <w:szCs w:val="24"/>
        </w:rPr>
        <w:t>患人畜共患的传染病的猪和工作人员接触后引发工作人员发病，病猪的猪粪和</w:t>
      </w:r>
      <w:r>
        <w:rPr>
          <w:rFonts w:ascii="宋体" w:hAnsi="宋体" w:eastAsia="宋体" w:cs="宋体"/>
          <w:spacing w:val="1"/>
          <w:sz w:val="24"/>
          <w:szCs w:val="24"/>
        </w:rPr>
        <w:t xml:space="preserve"> </w:t>
      </w:r>
      <w:r>
        <w:rPr>
          <w:rFonts w:ascii="宋体" w:hAnsi="宋体" w:eastAsia="宋体" w:cs="宋体"/>
          <w:spacing w:val="-1"/>
          <w:sz w:val="24"/>
          <w:szCs w:val="24"/>
        </w:rPr>
        <w:t>工作人员接触后引发工作人员发病。</w:t>
      </w:r>
    </w:p>
    <w:p w14:paraId="14ED40F6">
      <w:pPr>
        <w:spacing w:line="362" w:lineRule="exact"/>
        <w:ind w:left="478"/>
        <w:rPr>
          <w:rFonts w:ascii="宋体" w:hAnsi="宋体" w:eastAsia="宋体" w:cs="宋体"/>
          <w:sz w:val="24"/>
          <w:szCs w:val="24"/>
        </w:rPr>
      </w:pPr>
      <w:r>
        <w:rPr>
          <w:rFonts w:ascii="Times New Roman" w:hAnsi="Times New Roman" w:eastAsia="Times New Roman" w:cs="Times New Roman"/>
          <w:spacing w:val="-4"/>
          <w:position w:val="2"/>
          <w:sz w:val="24"/>
          <w:szCs w:val="24"/>
        </w:rPr>
        <w:t>4</w:t>
      </w:r>
      <w:r>
        <w:rPr>
          <w:rFonts w:ascii="Times New Roman" w:hAnsi="Times New Roman" w:eastAsia="Times New Roman" w:cs="Times New Roman"/>
          <w:spacing w:val="-33"/>
          <w:position w:val="2"/>
          <w:sz w:val="24"/>
          <w:szCs w:val="24"/>
        </w:rPr>
        <w:t xml:space="preserve"> </w:t>
      </w:r>
      <w:r>
        <w:rPr>
          <w:rFonts w:ascii="宋体" w:hAnsi="宋体" w:eastAsia="宋体" w:cs="宋体"/>
          <w:spacing w:val="-4"/>
          <w:position w:val="2"/>
          <w:sz w:val="24"/>
          <w:szCs w:val="24"/>
        </w:rPr>
        <w:t>、环境风险分析</w:t>
      </w:r>
    </w:p>
    <w:p w14:paraId="7E3D9A8C">
      <w:pPr>
        <w:spacing w:before="126" w:line="360"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）粪污事故性排放风险分析</w:t>
      </w:r>
    </w:p>
    <w:p w14:paraId="61E24FAE">
      <w:pPr>
        <w:spacing w:before="168" w:line="366" w:lineRule="auto"/>
        <w:ind w:left="3" w:firstLine="480"/>
        <w:rPr>
          <w:rFonts w:ascii="宋体" w:hAnsi="宋体" w:eastAsia="宋体" w:cs="宋体"/>
          <w:sz w:val="24"/>
          <w:szCs w:val="24"/>
        </w:rPr>
      </w:pPr>
      <w:r>
        <w:rPr>
          <w:rFonts w:ascii="宋体" w:hAnsi="宋体" w:eastAsia="宋体" w:cs="宋体"/>
          <w:spacing w:val="-3"/>
          <w:sz w:val="24"/>
          <w:szCs w:val="24"/>
        </w:rPr>
        <w:t>猪舍的粪污为高浓度有机废水及粪便，</w:t>
      </w:r>
      <w:r>
        <w:rPr>
          <w:rFonts w:ascii="Times New Roman" w:hAnsi="Times New Roman" w:eastAsia="Times New Roman" w:cs="Times New Roman"/>
          <w:spacing w:val="-3"/>
          <w:sz w:val="24"/>
          <w:szCs w:val="24"/>
        </w:rPr>
        <w:t>SS</w:t>
      </w:r>
      <w:r>
        <w:rPr>
          <w:rFonts w:ascii="宋体" w:hAnsi="宋体" w:eastAsia="宋体" w:cs="宋体"/>
          <w:spacing w:val="-3"/>
          <w:sz w:val="24"/>
          <w:szCs w:val="24"/>
        </w:rPr>
        <w:t>、</w:t>
      </w:r>
      <w:r>
        <w:rPr>
          <w:rFonts w:ascii="Times New Roman" w:hAnsi="Times New Roman" w:eastAsia="Times New Roman" w:cs="Times New Roman"/>
          <w:spacing w:val="-3"/>
          <w:sz w:val="24"/>
          <w:szCs w:val="24"/>
        </w:rPr>
        <w:t>COD</w:t>
      </w:r>
      <w:r>
        <w:rPr>
          <w:rFonts w:ascii="宋体" w:hAnsi="宋体" w:eastAsia="宋体" w:cs="宋体"/>
          <w:spacing w:val="-3"/>
          <w:sz w:val="24"/>
          <w:szCs w:val="24"/>
        </w:rPr>
        <w:t>、</w:t>
      </w:r>
      <w:r>
        <w:rPr>
          <w:rFonts w:ascii="Times New Roman" w:hAnsi="Times New Roman" w:eastAsia="Times New Roman" w:cs="Times New Roman"/>
          <w:spacing w:val="-3"/>
          <w:sz w:val="24"/>
          <w:szCs w:val="24"/>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9"/>
          <w:w w:val="102"/>
          <w:position w:val="-1"/>
          <w:sz w:val="15"/>
          <w:szCs w:val="15"/>
        </w:rPr>
        <w:t xml:space="preserve"> </w:t>
      </w:r>
      <w:r>
        <w:rPr>
          <w:rFonts w:ascii="宋体" w:hAnsi="宋体" w:eastAsia="宋体" w:cs="宋体"/>
          <w:spacing w:val="-3"/>
          <w:sz w:val="24"/>
          <w:szCs w:val="24"/>
        </w:rPr>
        <w:t>浓度</w:t>
      </w:r>
      <w:r>
        <w:rPr>
          <w:rFonts w:ascii="宋体" w:hAnsi="宋体" w:eastAsia="宋体" w:cs="宋体"/>
          <w:spacing w:val="-4"/>
          <w:sz w:val="24"/>
          <w:szCs w:val="24"/>
        </w:rPr>
        <w:t>高。若粪污事故外</w:t>
      </w:r>
      <w:r>
        <w:rPr>
          <w:rFonts w:ascii="宋体" w:hAnsi="宋体" w:eastAsia="宋体" w:cs="宋体"/>
          <w:sz w:val="24"/>
          <w:szCs w:val="24"/>
        </w:rPr>
        <w:t xml:space="preserve"> </w:t>
      </w:r>
      <w:r>
        <w:rPr>
          <w:rFonts w:ascii="宋体" w:hAnsi="宋体" w:eastAsia="宋体" w:cs="宋体"/>
          <w:spacing w:val="2"/>
          <w:sz w:val="24"/>
          <w:szCs w:val="24"/>
        </w:rPr>
        <w:t>排将造成污染影响。废水会对土壤、大气环境质量造成直接影响，进而对地下水、</w:t>
      </w:r>
      <w:r>
        <w:rPr>
          <w:rFonts w:ascii="宋体" w:hAnsi="宋体" w:eastAsia="宋体" w:cs="宋体"/>
          <w:spacing w:val="8"/>
          <w:sz w:val="24"/>
          <w:szCs w:val="24"/>
        </w:rPr>
        <w:t xml:space="preserve"> </w:t>
      </w:r>
      <w:r>
        <w:rPr>
          <w:rFonts w:ascii="宋体" w:hAnsi="宋体" w:eastAsia="宋体" w:cs="宋体"/>
          <w:spacing w:val="-1"/>
          <w:sz w:val="24"/>
          <w:szCs w:val="24"/>
        </w:rPr>
        <w:t>地表水都可能产生污染性影响。</w:t>
      </w:r>
    </w:p>
    <w:p w14:paraId="576ABF40">
      <w:pPr>
        <w:spacing w:line="361" w:lineRule="exact"/>
        <w:ind w:left="495"/>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）动物疫情事故风险分析</w:t>
      </w:r>
    </w:p>
    <w:p w14:paraId="78B736B4">
      <w:pPr>
        <w:spacing w:before="167" w:line="376" w:lineRule="auto"/>
        <w:ind w:left="5" w:right="2" w:firstLine="507"/>
        <w:rPr>
          <w:rFonts w:ascii="宋体" w:hAnsi="宋体" w:eastAsia="宋体" w:cs="宋体"/>
          <w:sz w:val="24"/>
          <w:szCs w:val="24"/>
        </w:rPr>
      </w:pPr>
      <w:r>
        <w:rPr>
          <w:rFonts w:ascii="宋体" w:hAnsi="宋体" w:eastAsia="宋体" w:cs="宋体"/>
          <w:spacing w:val="1"/>
          <w:sz w:val="24"/>
          <w:szCs w:val="24"/>
        </w:rPr>
        <w:t>由于规模化养殖高密度的饲养及集约化的经营，使得猪只间的距离缩短，一些</w:t>
      </w:r>
      <w:r>
        <w:rPr>
          <w:rFonts w:ascii="宋体" w:hAnsi="宋体" w:eastAsia="宋体" w:cs="宋体"/>
          <w:spacing w:val="15"/>
          <w:sz w:val="24"/>
          <w:szCs w:val="24"/>
        </w:rPr>
        <w:t xml:space="preserve"> </w:t>
      </w:r>
      <w:r>
        <w:rPr>
          <w:rFonts w:ascii="宋体" w:hAnsi="宋体" w:eastAsia="宋体" w:cs="宋体"/>
          <w:spacing w:val="2"/>
          <w:sz w:val="24"/>
          <w:szCs w:val="24"/>
        </w:rPr>
        <w:t>常见猪病，尤其是传染性疾病传播速度快，很容易带来大量猪只死亡。近年来以继</w:t>
      </w:r>
      <w:r>
        <w:rPr>
          <w:rFonts w:ascii="宋体" w:hAnsi="宋体" w:eastAsia="宋体" w:cs="宋体"/>
          <w:spacing w:val="4"/>
          <w:sz w:val="24"/>
          <w:szCs w:val="24"/>
        </w:rPr>
        <w:t xml:space="preserve"> </w:t>
      </w:r>
      <w:r>
        <w:rPr>
          <w:rFonts w:ascii="宋体" w:hAnsi="宋体" w:eastAsia="宋体" w:cs="宋体"/>
          <w:spacing w:val="2"/>
          <w:sz w:val="24"/>
          <w:szCs w:val="24"/>
        </w:rPr>
        <w:t>发呼吸道疾病为主的传染病给规模化猪场造成了巨大的经济损失，疾病或健康水平</w:t>
      </w:r>
      <w:r>
        <w:rPr>
          <w:rFonts w:ascii="宋体" w:hAnsi="宋体" w:eastAsia="宋体" w:cs="宋体"/>
          <w:spacing w:val="4"/>
          <w:sz w:val="24"/>
          <w:szCs w:val="24"/>
        </w:rPr>
        <w:t xml:space="preserve"> </w:t>
      </w:r>
      <w:r>
        <w:rPr>
          <w:rFonts w:ascii="宋体" w:hAnsi="宋体" w:eastAsia="宋体" w:cs="宋体"/>
          <w:sz w:val="24"/>
          <w:szCs w:val="24"/>
        </w:rPr>
        <w:t>成为绝大部分规模化猪场影响生产性能的限制性因素</w:t>
      </w:r>
      <w:r>
        <w:rPr>
          <w:rFonts w:ascii="宋体" w:hAnsi="宋体" w:eastAsia="宋体" w:cs="宋体"/>
          <w:spacing w:val="-1"/>
          <w:sz w:val="24"/>
          <w:szCs w:val="24"/>
        </w:rPr>
        <w:t>，严重制约着养猪业的发展。</w:t>
      </w:r>
    </w:p>
    <w:p w14:paraId="39018967">
      <w:pPr>
        <w:spacing w:before="1" w:line="219" w:lineRule="auto"/>
        <w:ind w:right="2"/>
        <w:jc w:val="right"/>
        <w:rPr>
          <w:rFonts w:ascii="宋体" w:hAnsi="宋体" w:eastAsia="宋体" w:cs="宋体"/>
          <w:sz w:val="24"/>
          <w:szCs w:val="24"/>
        </w:rPr>
      </w:pPr>
      <w:r>
        <w:rPr>
          <w:rFonts w:ascii="宋体" w:hAnsi="宋体" w:eastAsia="宋体" w:cs="宋体"/>
          <w:spacing w:val="2"/>
          <w:sz w:val="24"/>
          <w:szCs w:val="24"/>
        </w:rPr>
        <w:t>猪的疫病包括传染病、寄生虫病、内科病、外科病及产科病等，这些疾病的发</w:t>
      </w:r>
    </w:p>
    <w:p w14:paraId="5147965A">
      <w:pPr>
        <w:spacing w:line="219" w:lineRule="auto"/>
        <w:rPr>
          <w:rFonts w:ascii="宋体" w:hAnsi="宋体" w:eastAsia="宋体" w:cs="宋体"/>
          <w:sz w:val="24"/>
          <w:szCs w:val="24"/>
        </w:rPr>
        <w:sectPr>
          <w:footerReference r:id="rId147" w:type="default"/>
          <w:pgSz w:w="11906" w:h="16839"/>
          <w:pgMar w:top="400" w:right="1585" w:bottom="1485" w:left="1594" w:header="0" w:footer="1249" w:gutter="0"/>
          <w:cols w:space="720" w:num="1"/>
        </w:sectPr>
      </w:pPr>
    </w:p>
    <w:p w14:paraId="520ABFA3">
      <w:pPr>
        <w:pStyle w:val="2"/>
        <w:spacing w:line="264" w:lineRule="auto"/>
      </w:pPr>
    </w:p>
    <w:p w14:paraId="3868FA16">
      <w:pPr>
        <w:pStyle w:val="2"/>
        <w:spacing w:line="264" w:lineRule="auto"/>
      </w:pPr>
    </w:p>
    <w:p w14:paraId="436ECFA3">
      <w:pPr>
        <w:pStyle w:val="2"/>
        <w:spacing w:line="264" w:lineRule="auto"/>
      </w:pPr>
    </w:p>
    <w:p w14:paraId="4F8603E1">
      <w:pPr>
        <w:pStyle w:val="2"/>
        <w:spacing w:line="264" w:lineRule="auto"/>
      </w:pPr>
    </w:p>
    <w:p w14:paraId="53374A80">
      <w:pPr>
        <w:spacing w:before="78" w:line="377" w:lineRule="auto"/>
        <w:ind w:right="21" w:firstLine="3"/>
        <w:jc w:val="both"/>
        <w:rPr>
          <w:rFonts w:ascii="宋体" w:hAnsi="宋体" w:eastAsia="宋体" w:cs="宋体"/>
          <w:sz w:val="24"/>
          <w:szCs w:val="24"/>
        </w:rPr>
      </w:pPr>
      <w:r>
        <w:rPr>
          <w:rFonts w:ascii="宋体" w:hAnsi="宋体" w:eastAsia="宋体" w:cs="宋体"/>
          <w:spacing w:val="2"/>
          <w:sz w:val="24"/>
          <w:szCs w:val="24"/>
        </w:rPr>
        <w:t>生，都给养猪生产造成重大损失。这些病中，尤以传染病的危害最为严重，会引发</w:t>
      </w:r>
      <w:r>
        <w:rPr>
          <w:rFonts w:ascii="宋体" w:hAnsi="宋体" w:eastAsia="宋体" w:cs="宋体"/>
          <w:spacing w:val="4"/>
          <w:sz w:val="24"/>
          <w:szCs w:val="24"/>
        </w:rPr>
        <w:t xml:space="preserve"> </w:t>
      </w:r>
      <w:r>
        <w:rPr>
          <w:rFonts w:ascii="宋体" w:hAnsi="宋体" w:eastAsia="宋体" w:cs="宋体"/>
          <w:spacing w:val="-3"/>
          <w:sz w:val="24"/>
          <w:szCs w:val="24"/>
        </w:rPr>
        <w:t>猪只大批死亡，造成巨大经济损失。项目疾病风险源主要为常见的畜禽重大传染病，</w:t>
      </w:r>
      <w:r>
        <w:rPr>
          <w:rFonts w:ascii="宋体" w:hAnsi="宋体" w:eastAsia="宋体" w:cs="宋体"/>
          <w:spacing w:val="14"/>
          <w:sz w:val="24"/>
          <w:szCs w:val="24"/>
        </w:rPr>
        <w:t xml:space="preserve"> </w:t>
      </w:r>
      <w:r>
        <w:rPr>
          <w:rFonts w:ascii="宋体" w:hAnsi="宋体" w:eastAsia="宋体" w:cs="宋体"/>
          <w:spacing w:val="-1"/>
          <w:sz w:val="24"/>
          <w:szCs w:val="24"/>
        </w:rPr>
        <w:t>传染病具有以下特点：</w:t>
      </w:r>
    </w:p>
    <w:p w14:paraId="0F39E552">
      <w:pPr>
        <w:spacing w:before="1" w:line="323" w:lineRule="auto"/>
        <w:ind w:right="85" w:firstLine="480"/>
        <w:rPr>
          <w:rFonts w:ascii="宋体" w:hAnsi="宋体" w:eastAsia="宋体" w:cs="宋体"/>
          <w:sz w:val="24"/>
          <w:szCs w:val="24"/>
        </w:rPr>
      </w:pPr>
      <w:r>
        <w:rPr>
          <w:rFonts w:ascii="宋体" w:hAnsi="宋体" w:eastAsia="宋体" w:cs="宋体"/>
          <w:spacing w:val="2"/>
          <w:sz w:val="24"/>
          <w:szCs w:val="24"/>
        </w:rPr>
        <w:t>①普遍存在性：传染病是一种具有侵袭力，且具有感染性的疾病，在养猪场地</w:t>
      </w:r>
      <w:r>
        <w:rPr>
          <w:rFonts w:ascii="宋体" w:hAnsi="宋体" w:eastAsia="宋体" w:cs="宋体"/>
          <w:spacing w:val="8"/>
          <w:sz w:val="24"/>
          <w:szCs w:val="24"/>
        </w:rPr>
        <w:t xml:space="preserve"> </w:t>
      </w:r>
      <w:r>
        <w:rPr>
          <w:rFonts w:ascii="宋体" w:hAnsi="宋体" w:eastAsia="宋体" w:cs="宋体"/>
          <w:spacing w:val="2"/>
          <w:sz w:val="24"/>
          <w:szCs w:val="24"/>
        </w:rPr>
        <w:t>出现传染病的可能性很大。造成这一现状的主要原因是：某些传染病原具有较强的</w:t>
      </w:r>
      <w:r>
        <w:rPr>
          <w:rFonts w:ascii="宋体" w:hAnsi="宋体" w:eastAsia="宋体" w:cs="宋体"/>
          <w:spacing w:val="7"/>
          <w:sz w:val="24"/>
          <w:szCs w:val="24"/>
        </w:rPr>
        <w:t xml:space="preserve"> </w:t>
      </w:r>
      <w:r>
        <w:rPr>
          <w:rFonts w:ascii="宋体" w:hAnsi="宋体" w:eastAsia="宋体" w:cs="宋体"/>
          <w:spacing w:val="-1"/>
          <w:sz w:val="24"/>
          <w:szCs w:val="24"/>
        </w:rPr>
        <w:t>抵抗力。猪的集中养猪为传染病爆发提供了有利的条件。</w:t>
      </w:r>
    </w:p>
    <w:p w14:paraId="46D956CF">
      <w:pPr>
        <w:spacing w:before="206" w:line="298" w:lineRule="auto"/>
        <w:ind w:left="17" w:right="25" w:firstLine="462"/>
        <w:rPr>
          <w:rFonts w:ascii="宋体" w:hAnsi="宋体" w:eastAsia="宋体" w:cs="宋体"/>
          <w:sz w:val="24"/>
          <w:szCs w:val="24"/>
        </w:rPr>
      </w:pPr>
      <w:r>
        <w:rPr>
          <w:rFonts w:ascii="宋体" w:hAnsi="宋体" w:eastAsia="宋体" w:cs="宋体"/>
          <w:spacing w:val="-3"/>
          <w:sz w:val="24"/>
          <w:szCs w:val="24"/>
        </w:rPr>
        <w:t>②危害性：传染病对猪造成的危害可概括为三方面：导致猪的大养猪病和死亡；</w:t>
      </w:r>
      <w:r>
        <w:rPr>
          <w:rFonts w:ascii="宋体" w:hAnsi="宋体" w:eastAsia="宋体" w:cs="宋体"/>
          <w:spacing w:val="5"/>
          <w:sz w:val="24"/>
          <w:szCs w:val="24"/>
        </w:rPr>
        <w:t xml:space="preserve"> </w:t>
      </w:r>
      <w:r>
        <w:rPr>
          <w:rFonts w:ascii="宋体" w:hAnsi="宋体" w:eastAsia="宋体" w:cs="宋体"/>
          <w:spacing w:val="-2"/>
          <w:sz w:val="24"/>
          <w:szCs w:val="24"/>
        </w:rPr>
        <w:t>阻碍猪的正常生长发育；降低饲养回报率。</w:t>
      </w:r>
    </w:p>
    <w:p w14:paraId="2E96C355">
      <w:pPr>
        <w:spacing w:before="201" w:line="298" w:lineRule="auto"/>
        <w:ind w:left="8" w:right="87" w:firstLine="471"/>
        <w:rPr>
          <w:rFonts w:ascii="宋体" w:hAnsi="宋体" w:eastAsia="宋体" w:cs="宋体"/>
          <w:sz w:val="24"/>
          <w:szCs w:val="24"/>
        </w:rPr>
      </w:pPr>
      <w:r>
        <w:rPr>
          <w:rFonts w:ascii="宋体" w:hAnsi="宋体" w:eastAsia="宋体" w:cs="宋体"/>
          <w:spacing w:val="2"/>
          <w:sz w:val="24"/>
          <w:szCs w:val="24"/>
        </w:rPr>
        <w:t>③多型性：猪传染病多种多样，且每一种传染病都有自身的特性，在同一类猪</w:t>
      </w:r>
      <w:r>
        <w:rPr>
          <w:rFonts w:ascii="宋体" w:hAnsi="宋体" w:eastAsia="宋体" w:cs="宋体"/>
          <w:spacing w:val="9"/>
          <w:sz w:val="24"/>
          <w:szCs w:val="24"/>
        </w:rPr>
        <w:t xml:space="preserve"> </w:t>
      </w:r>
      <w:r>
        <w:rPr>
          <w:rFonts w:ascii="宋体" w:hAnsi="宋体" w:eastAsia="宋体" w:cs="宋体"/>
          <w:spacing w:val="-2"/>
          <w:sz w:val="24"/>
          <w:szCs w:val="24"/>
        </w:rPr>
        <w:t>身上表现出不同的症状。</w:t>
      </w:r>
    </w:p>
    <w:p w14:paraId="6C63D61D">
      <w:pPr>
        <w:spacing w:before="201" w:line="324" w:lineRule="auto"/>
        <w:ind w:left="2" w:right="19" w:firstLine="477"/>
        <w:rPr>
          <w:rFonts w:ascii="宋体" w:hAnsi="宋体" w:eastAsia="宋体" w:cs="宋体"/>
          <w:sz w:val="24"/>
          <w:szCs w:val="24"/>
        </w:rPr>
      </w:pPr>
      <w:r>
        <w:rPr>
          <w:rFonts w:ascii="宋体" w:hAnsi="宋体" w:eastAsia="宋体" w:cs="宋体"/>
          <w:spacing w:val="-3"/>
          <w:sz w:val="24"/>
          <w:szCs w:val="24"/>
        </w:rPr>
        <w:t>④易感性：不同品种、龄期、性别的猪具有不同的感受性。在传染病的防治上，</w:t>
      </w:r>
      <w:r>
        <w:rPr>
          <w:rFonts w:ascii="宋体" w:hAnsi="宋体" w:eastAsia="宋体" w:cs="宋体"/>
          <w:spacing w:val="11"/>
          <w:sz w:val="24"/>
          <w:szCs w:val="24"/>
        </w:rPr>
        <w:t xml:space="preserve"> </w:t>
      </w:r>
      <w:r>
        <w:rPr>
          <w:rFonts w:ascii="宋体" w:hAnsi="宋体" w:eastAsia="宋体" w:cs="宋体"/>
          <w:spacing w:val="2"/>
          <w:sz w:val="24"/>
          <w:szCs w:val="24"/>
        </w:rPr>
        <w:t>必须考虑到传染病分布广泛、感染普遍、不同传染病表现不同症状等特点，采取综</w:t>
      </w:r>
      <w:r>
        <w:rPr>
          <w:rFonts w:ascii="宋体" w:hAnsi="宋体" w:eastAsia="宋体" w:cs="宋体"/>
          <w:spacing w:val="5"/>
          <w:sz w:val="24"/>
          <w:szCs w:val="24"/>
        </w:rPr>
        <w:t xml:space="preserve"> </w:t>
      </w:r>
      <w:r>
        <w:rPr>
          <w:rFonts w:ascii="宋体" w:hAnsi="宋体" w:eastAsia="宋体" w:cs="宋体"/>
          <w:spacing w:val="-1"/>
          <w:sz w:val="24"/>
          <w:szCs w:val="24"/>
        </w:rPr>
        <w:t>合防治措施，多管齐下，才能收到较好的效果。</w:t>
      </w:r>
    </w:p>
    <w:p w14:paraId="276B610D">
      <w:pPr>
        <w:spacing w:before="207" w:line="376" w:lineRule="auto"/>
        <w:ind w:firstLine="481"/>
        <w:rPr>
          <w:rFonts w:ascii="宋体" w:hAnsi="宋体" w:eastAsia="宋体" w:cs="宋体"/>
          <w:sz w:val="24"/>
          <w:szCs w:val="24"/>
        </w:rPr>
      </w:pPr>
      <w:r>
        <w:rPr>
          <w:rFonts w:ascii="宋体" w:hAnsi="宋体" w:eastAsia="宋体" w:cs="宋体"/>
          <w:spacing w:val="2"/>
          <w:sz w:val="24"/>
          <w:szCs w:val="24"/>
        </w:rPr>
        <w:t>重大传染性疾病很容易带来大量猪只死亡，如果对这些病死猪处理不当，极易</w:t>
      </w:r>
      <w:r>
        <w:rPr>
          <w:rFonts w:ascii="宋体" w:hAnsi="宋体" w:eastAsia="宋体" w:cs="宋体"/>
          <w:spacing w:val="9"/>
          <w:sz w:val="24"/>
          <w:szCs w:val="24"/>
        </w:rPr>
        <w:t xml:space="preserve"> </w:t>
      </w:r>
      <w:r>
        <w:rPr>
          <w:rFonts w:ascii="宋体" w:hAnsi="宋体" w:eastAsia="宋体" w:cs="宋体"/>
          <w:spacing w:val="3"/>
          <w:sz w:val="24"/>
          <w:szCs w:val="24"/>
        </w:rPr>
        <w:t>引起病原扩散，带有病菌、病毒和寄生虫虫卵的畜禽、皮毛、血液、粪便、</w:t>
      </w:r>
      <w:r>
        <w:rPr>
          <w:rFonts w:ascii="宋体" w:hAnsi="宋体" w:eastAsia="宋体" w:cs="宋体"/>
          <w:spacing w:val="2"/>
          <w:sz w:val="24"/>
          <w:szCs w:val="24"/>
        </w:rPr>
        <w:t>骨骼、</w:t>
      </w:r>
      <w:r>
        <w:rPr>
          <w:rFonts w:ascii="宋体" w:hAnsi="宋体" w:eastAsia="宋体" w:cs="宋体"/>
          <w:sz w:val="24"/>
          <w:szCs w:val="24"/>
        </w:rPr>
        <w:t xml:space="preserve"> </w:t>
      </w:r>
      <w:r>
        <w:rPr>
          <w:rFonts w:ascii="宋体" w:hAnsi="宋体" w:eastAsia="宋体" w:cs="宋体"/>
          <w:spacing w:val="2"/>
          <w:sz w:val="24"/>
          <w:szCs w:val="24"/>
        </w:rPr>
        <w:t>肉尸、污水等会使环境中病源种类增多、菌量增大，出现病原菌和寄生虫的大量繁</w:t>
      </w:r>
      <w:r>
        <w:rPr>
          <w:rFonts w:ascii="宋体" w:hAnsi="宋体" w:eastAsia="宋体" w:cs="宋体"/>
          <w:spacing w:val="7"/>
          <w:sz w:val="24"/>
          <w:szCs w:val="24"/>
        </w:rPr>
        <w:t xml:space="preserve"> </w:t>
      </w:r>
      <w:r>
        <w:rPr>
          <w:rFonts w:ascii="宋体" w:hAnsi="宋体" w:eastAsia="宋体" w:cs="宋体"/>
          <w:spacing w:val="-2"/>
          <w:sz w:val="24"/>
          <w:szCs w:val="24"/>
        </w:rPr>
        <w:t>殖，首先对养殖场及其周围地区的其他畜禽产生危害，导致育雏死亡率和育成死</w:t>
      </w:r>
      <w:r>
        <w:rPr>
          <w:rFonts w:ascii="宋体" w:hAnsi="宋体" w:eastAsia="宋体" w:cs="宋体"/>
          <w:spacing w:val="-3"/>
          <w:sz w:val="24"/>
          <w:szCs w:val="24"/>
        </w:rPr>
        <w:t>亡，</w:t>
      </w:r>
      <w:r>
        <w:rPr>
          <w:rFonts w:ascii="宋体" w:hAnsi="宋体" w:eastAsia="宋体" w:cs="宋体"/>
          <w:sz w:val="24"/>
          <w:szCs w:val="24"/>
        </w:rPr>
        <w:t xml:space="preserve"> </w:t>
      </w:r>
      <w:r>
        <w:rPr>
          <w:rFonts w:ascii="宋体" w:hAnsi="宋体" w:eastAsia="宋体" w:cs="宋体"/>
          <w:spacing w:val="2"/>
          <w:sz w:val="24"/>
          <w:szCs w:val="24"/>
        </w:rPr>
        <w:t>造成更大经济损失；没有对病死猪采取有效的预防和控制措施，或使病死猪流入市</w:t>
      </w:r>
      <w:r>
        <w:rPr>
          <w:rFonts w:ascii="宋体" w:hAnsi="宋体" w:eastAsia="宋体" w:cs="宋体"/>
          <w:spacing w:val="7"/>
          <w:sz w:val="24"/>
          <w:szCs w:val="24"/>
        </w:rPr>
        <w:t xml:space="preserve"> </w:t>
      </w:r>
      <w:r>
        <w:rPr>
          <w:rFonts w:ascii="宋体" w:hAnsi="宋体" w:eastAsia="宋体" w:cs="宋体"/>
          <w:spacing w:val="-2"/>
          <w:sz w:val="24"/>
          <w:szCs w:val="24"/>
        </w:rPr>
        <w:t>场，则各种带有病菌、病毒和寄生虫虫卵的畜禽、皮毛、血液、粪便、骨骼、肉</w:t>
      </w:r>
      <w:r>
        <w:rPr>
          <w:rFonts w:ascii="宋体" w:hAnsi="宋体" w:eastAsia="宋体" w:cs="宋体"/>
          <w:spacing w:val="-3"/>
          <w:sz w:val="24"/>
          <w:szCs w:val="24"/>
        </w:rPr>
        <w:t>尸、</w:t>
      </w:r>
      <w:r>
        <w:rPr>
          <w:rFonts w:ascii="宋体" w:hAnsi="宋体" w:eastAsia="宋体" w:cs="宋体"/>
          <w:sz w:val="24"/>
          <w:szCs w:val="24"/>
        </w:rPr>
        <w:t xml:space="preserve"> </w:t>
      </w:r>
      <w:r>
        <w:rPr>
          <w:rFonts w:ascii="宋体" w:hAnsi="宋体" w:eastAsia="宋体" w:cs="宋体"/>
          <w:spacing w:val="2"/>
          <w:sz w:val="24"/>
          <w:szCs w:val="24"/>
        </w:rPr>
        <w:t>污水等会使环境中病源种类增多、菌量增大，出现病原菌和寄生虫的大量繁殖，造</w:t>
      </w:r>
      <w:r>
        <w:rPr>
          <w:rFonts w:ascii="宋体" w:hAnsi="宋体" w:eastAsia="宋体" w:cs="宋体"/>
          <w:spacing w:val="7"/>
          <w:sz w:val="24"/>
          <w:szCs w:val="24"/>
        </w:rPr>
        <w:t xml:space="preserve"> </w:t>
      </w:r>
      <w:r>
        <w:rPr>
          <w:rFonts w:ascii="宋体" w:hAnsi="宋体" w:eastAsia="宋体" w:cs="宋体"/>
          <w:spacing w:val="-2"/>
          <w:sz w:val="24"/>
          <w:szCs w:val="24"/>
        </w:rPr>
        <w:t>成人、畜传染病的蔓延，会对人畜健康产生极大的威胁，严重影响了公众卫生安</w:t>
      </w:r>
      <w:r>
        <w:rPr>
          <w:rFonts w:ascii="宋体" w:hAnsi="宋体" w:eastAsia="宋体" w:cs="宋体"/>
          <w:spacing w:val="-3"/>
          <w:sz w:val="24"/>
          <w:szCs w:val="24"/>
        </w:rPr>
        <w:t>全，</w:t>
      </w:r>
      <w:r>
        <w:rPr>
          <w:rFonts w:ascii="宋体" w:hAnsi="宋体" w:eastAsia="宋体" w:cs="宋体"/>
          <w:sz w:val="24"/>
          <w:szCs w:val="24"/>
        </w:rPr>
        <w:t xml:space="preserve"> </w:t>
      </w:r>
      <w:r>
        <w:rPr>
          <w:rFonts w:ascii="宋体" w:hAnsi="宋体" w:eastAsia="宋体" w:cs="宋体"/>
          <w:spacing w:val="-1"/>
          <w:sz w:val="24"/>
          <w:szCs w:val="24"/>
        </w:rPr>
        <w:t>给人类健康和生命带来危害。</w:t>
      </w:r>
    </w:p>
    <w:p w14:paraId="681E4F16">
      <w:pPr>
        <w:spacing w:line="372" w:lineRule="auto"/>
        <w:ind w:right="77" w:firstLine="485"/>
        <w:jc w:val="both"/>
        <w:rPr>
          <w:rFonts w:ascii="宋体" w:hAnsi="宋体" w:eastAsia="宋体" w:cs="宋体"/>
          <w:sz w:val="24"/>
          <w:szCs w:val="24"/>
        </w:rPr>
      </w:pPr>
      <w:r>
        <w:rPr>
          <w:rFonts w:ascii="宋体" w:hAnsi="宋体" w:eastAsia="宋体" w:cs="宋体"/>
          <w:spacing w:val="2"/>
          <w:sz w:val="24"/>
          <w:szCs w:val="24"/>
        </w:rPr>
        <w:t>项目运行后可能发生各类猪疫情，若在疫情早期发现，并处理及时、妥当，将</w:t>
      </w:r>
      <w:r>
        <w:rPr>
          <w:rFonts w:ascii="宋体" w:hAnsi="宋体" w:eastAsia="宋体" w:cs="宋体"/>
          <w:spacing w:val="6"/>
          <w:sz w:val="24"/>
          <w:szCs w:val="24"/>
        </w:rPr>
        <w:t xml:space="preserve"> </w:t>
      </w:r>
      <w:r>
        <w:rPr>
          <w:rFonts w:ascii="宋体" w:hAnsi="宋体" w:eastAsia="宋体" w:cs="宋体"/>
          <w:spacing w:val="2"/>
          <w:sz w:val="24"/>
          <w:szCs w:val="24"/>
        </w:rPr>
        <w:t>仅造成业主自身的经济损失；但若疫情未及时发现或处理不当，将可能传染给周围</w:t>
      </w:r>
      <w:r>
        <w:rPr>
          <w:rFonts w:ascii="宋体" w:hAnsi="宋体" w:eastAsia="宋体" w:cs="宋体"/>
          <w:spacing w:val="8"/>
          <w:sz w:val="24"/>
          <w:szCs w:val="24"/>
        </w:rPr>
        <w:t xml:space="preserve"> </w:t>
      </w:r>
      <w:r>
        <w:rPr>
          <w:rFonts w:ascii="宋体" w:hAnsi="宋体" w:eastAsia="宋体" w:cs="宋体"/>
          <w:spacing w:val="2"/>
          <w:sz w:val="24"/>
          <w:szCs w:val="24"/>
        </w:rPr>
        <w:t>生物，进而传染给人群，致使当地造成经济损失，甚至人员伤亡等。因此，项目应</w:t>
      </w:r>
      <w:r>
        <w:rPr>
          <w:rFonts w:ascii="宋体" w:hAnsi="宋体" w:eastAsia="宋体" w:cs="宋体"/>
          <w:spacing w:val="8"/>
          <w:sz w:val="24"/>
          <w:szCs w:val="24"/>
        </w:rPr>
        <w:t xml:space="preserve"> </w:t>
      </w:r>
      <w:r>
        <w:rPr>
          <w:rFonts w:ascii="宋体" w:hAnsi="宋体" w:eastAsia="宋体" w:cs="宋体"/>
          <w:sz w:val="24"/>
          <w:szCs w:val="24"/>
        </w:rPr>
        <w:t>按《绿色食品——动物卫生准则》（</w:t>
      </w:r>
      <w:r>
        <w:rPr>
          <w:rFonts w:ascii="Times New Roman" w:hAnsi="Times New Roman" w:eastAsia="Times New Roman" w:cs="Times New Roman"/>
          <w:sz w:val="24"/>
          <w:szCs w:val="24"/>
        </w:rPr>
        <w:t>NY/T 473-2001</w:t>
      </w:r>
      <w:r>
        <w:rPr>
          <w:rFonts w:ascii="宋体" w:hAnsi="宋体" w:eastAsia="宋体" w:cs="宋体"/>
          <w:sz w:val="24"/>
          <w:szCs w:val="24"/>
        </w:rPr>
        <w:t>）</w:t>
      </w:r>
      <w:r>
        <w:rPr>
          <w:rFonts w:ascii="宋体" w:hAnsi="宋体" w:eastAsia="宋体" w:cs="宋体"/>
          <w:spacing w:val="-1"/>
          <w:sz w:val="24"/>
          <w:szCs w:val="24"/>
        </w:rPr>
        <w:t>要求，采取有效的风险事故防</w:t>
      </w:r>
      <w:r>
        <w:rPr>
          <w:rFonts w:ascii="宋体" w:hAnsi="宋体" w:eastAsia="宋体" w:cs="宋体"/>
          <w:sz w:val="24"/>
          <w:szCs w:val="24"/>
        </w:rPr>
        <w:t xml:space="preserve"> 范措施，防止猪疫情发生，使项目事故率、损失和</w:t>
      </w:r>
      <w:r>
        <w:rPr>
          <w:rFonts w:ascii="宋体" w:hAnsi="宋体" w:eastAsia="宋体" w:cs="宋体"/>
          <w:spacing w:val="-1"/>
          <w:sz w:val="24"/>
          <w:szCs w:val="24"/>
        </w:rPr>
        <w:t>环境影响达到最低。</w:t>
      </w:r>
    </w:p>
    <w:p w14:paraId="0DEB65A6">
      <w:pPr>
        <w:spacing w:before="27" w:line="221" w:lineRule="auto"/>
        <w:ind w:left="484"/>
        <w:rPr>
          <w:rFonts w:ascii="宋体" w:hAnsi="宋体" w:eastAsia="宋体" w:cs="宋体"/>
          <w:sz w:val="24"/>
          <w:szCs w:val="24"/>
        </w:rPr>
      </w:pPr>
      <w:r>
        <w:rPr>
          <w:rFonts w:ascii="Times New Roman" w:hAnsi="Times New Roman" w:eastAsia="Times New Roman" w:cs="Times New Roman"/>
          <w:spacing w:val="-3"/>
          <w:sz w:val="24"/>
          <w:szCs w:val="24"/>
        </w:rPr>
        <w:t>5</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、环境风险防范措施及应急要求</w:t>
      </w:r>
    </w:p>
    <w:p w14:paraId="4DB41DDA">
      <w:pPr>
        <w:spacing w:line="221" w:lineRule="auto"/>
        <w:rPr>
          <w:rFonts w:ascii="宋体" w:hAnsi="宋体" w:eastAsia="宋体" w:cs="宋体"/>
          <w:sz w:val="24"/>
          <w:szCs w:val="24"/>
        </w:rPr>
        <w:sectPr>
          <w:footerReference r:id="rId148" w:type="default"/>
          <w:pgSz w:w="11906" w:h="16839"/>
          <w:pgMar w:top="400" w:right="1503" w:bottom="1485" w:left="1596" w:header="0" w:footer="1249" w:gutter="0"/>
          <w:cols w:space="720" w:num="1"/>
        </w:sectPr>
      </w:pPr>
    </w:p>
    <w:p w14:paraId="1C15B40B">
      <w:pPr>
        <w:pStyle w:val="2"/>
        <w:spacing w:line="255" w:lineRule="auto"/>
      </w:pPr>
    </w:p>
    <w:p w14:paraId="17CCF78A">
      <w:pPr>
        <w:pStyle w:val="2"/>
        <w:spacing w:line="255" w:lineRule="auto"/>
      </w:pPr>
    </w:p>
    <w:p w14:paraId="490E23D8">
      <w:pPr>
        <w:pStyle w:val="2"/>
        <w:spacing w:line="256" w:lineRule="auto"/>
      </w:pPr>
    </w:p>
    <w:p w14:paraId="01B35643">
      <w:pPr>
        <w:pStyle w:val="2"/>
        <w:spacing w:line="256" w:lineRule="auto"/>
      </w:pPr>
    </w:p>
    <w:p w14:paraId="3613872D">
      <w:pPr>
        <w:spacing w:before="78" w:line="360"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）废水事故性排放风险防范措施</w:t>
      </w:r>
    </w:p>
    <w:p w14:paraId="49751568">
      <w:pPr>
        <w:spacing w:before="164" w:line="362" w:lineRule="auto"/>
        <w:ind w:left="20" w:right="81" w:firstLine="462"/>
        <w:rPr>
          <w:rFonts w:ascii="宋体" w:hAnsi="宋体" w:eastAsia="宋体" w:cs="宋体"/>
          <w:sz w:val="24"/>
          <w:szCs w:val="24"/>
        </w:rPr>
      </w:pPr>
      <w:r>
        <w:rPr>
          <w:rFonts w:ascii="宋体" w:hAnsi="宋体" w:eastAsia="宋体" w:cs="宋体"/>
          <w:spacing w:val="2"/>
          <w:sz w:val="24"/>
          <w:szCs w:val="24"/>
        </w:rPr>
        <w:t>粪污泄漏时，污染物浓度高，若直接排入附近河涌，将对周围水环境造成一定</w:t>
      </w:r>
      <w:r>
        <w:rPr>
          <w:rFonts w:ascii="宋体" w:hAnsi="宋体" w:eastAsia="宋体" w:cs="宋体"/>
          <w:spacing w:val="8"/>
          <w:sz w:val="24"/>
          <w:szCs w:val="24"/>
        </w:rPr>
        <w:t xml:space="preserve"> </w:t>
      </w:r>
      <w:r>
        <w:rPr>
          <w:rFonts w:ascii="宋体" w:hAnsi="宋体" w:eastAsia="宋体" w:cs="宋体"/>
          <w:spacing w:val="-1"/>
          <w:sz w:val="24"/>
          <w:szCs w:val="24"/>
        </w:rPr>
        <w:t>的不利影响。根据这些事故特征，本评价提出如下预</w:t>
      </w:r>
      <w:r>
        <w:rPr>
          <w:rFonts w:ascii="宋体" w:hAnsi="宋体" w:eastAsia="宋体" w:cs="宋体"/>
          <w:spacing w:val="-2"/>
          <w:sz w:val="24"/>
          <w:szCs w:val="24"/>
        </w:rPr>
        <w:t>防措施：</w:t>
      </w:r>
    </w:p>
    <w:p w14:paraId="48718DB9">
      <w:pPr>
        <w:spacing w:before="2" w:line="311" w:lineRule="auto"/>
        <w:ind w:left="6" w:right="137" w:firstLine="473"/>
        <w:rPr>
          <w:rFonts w:ascii="宋体" w:hAnsi="宋体" w:eastAsia="宋体" w:cs="宋体"/>
          <w:sz w:val="24"/>
          <w:szCs w:val="24"/>
        </w:rPr>
      </w:pPr>
      <w:r>
        <w:rPr>
          <w:rFonts w:ascii="宋体" w:hAnsi="宋体" w:eastAsia="宋体" w:cs="宋体"/>
          <w:sz w:val="24"/>
          <w:szCs w:val="24"/>
        </w:rPr>
        <w:t>①设置事故应急池，拟在项目污水处理站东面位置独立</w:t>
      </w:r>
      <w:r>
        <w:rPr>
          <w:rFonts w:ascii="宋体" w:hAnsi="宋体" w:eastAsia="宋体" w:cs="宋体"/>
          <w:spacing w:val="-1"/>
          <w:sz w:val="24"/>
          <w:szCs w:val="24"/>
        </w:rPr>
        <w:t>设置事故应急池</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个，</w:t>
      </w:r>
      <w:r>
        <w:rPr>
          <w:rFonts w:ascii="宋体" w:hAnsi="宋体" w:eastAsia="宋体" w:cs="宋体"/>
          <w:sz w:val="24"/>
          <w:szCs w:val="24"/>
        </w:rPr>
        <w:t xml:space="preserve"> </w:t>
      </w:r>
      <w:r>
        <w:rPr>
          <w:rFonts w:ascii="宋体" w:hAnsi="宋体" w:eastAsia="宋体" w:cs="宋体"/>
          <w:spacing w:val="-1"/>
          <w:sz w:val="24"/>
          <w:szCs w:val="24"/>
        </w:rPr>
        <w:t>并进行防渗漏处理，四周设置截水沟。。</w:t>
      </w:r>
    </w:p>
    <w:p w14:paraId="75596763">
      <w:pPr>
        <w:spacing w:before="204" w:line="298" w:lineRule="auto"/>
        <w:ind w:left="1" w:right="83" w:firstLine="477"/>
        <w:rPr>
          <w:rFonts w:ascii="宋体" w:hAnsi="宋体" w:eastAsia="宋体" w:cs="宋体"/>
          <w:sz w:val="24"/>
          <w:szCs w:val="24"/>
        </w:rPr>
      </w:pPr>
      <w:r>
        <w:rPr>
          <w:rFonts w:ascii="宋体" w:hAnsi="宋体" w:eastAsia="宋体" w:cs="宋体"/>
          <w:spacing w:val="2"/>
          <w:sz w:val="24"/>
          <w:szCs w:val="24"/>
        </w:rPr>
        <w:t>②在生产区边界预先准备适量的沙包，在场界围墙有泄漏的地方进行封堵，防</w:t>
      </w:r>
      <w:r>
        <w:rPr>
          <w:rFonts w:ascii="宋体" w:hAnsi="宋体" w:eastAsia="宋体" w:cs="宋体"/>
          <w:spacing w:val="9"/>
          <w:sz w:val="24"/>
          <w:szCs w:val="24"/>
        </w:rPr>
        <w:t xml:space="preserve"> </w:t>
      </w:r>
      <w:r>
        <w:rPr>
          <w:rFonts w:ascii="宋体" w:hAnsi="宋体" w:eastAsia="宋体" w:cs="宋体"/>
          <w:spacing w:val="-1"/>
          <w:sz w:val="24"/>
          <w:szCs w:val="24"/>
        </w:rPr>
        <w:t>止事故排放粪污向场外泄漏。</w:t>
      </w:r>
    </w:p>
    <w:p w14:paraId="599F064F">
      <w:pPr>
        <w:spacing w:before="203" w:line="324" w:lineRule="auto"/>
        <w:ind w:right="81" w:firstLine="479"/>
        <w:rPr>
          <w:rFonts w:ascii="宋体" w:hAnsi="宋体" w:eastAsia="宋体" w:cs="宋体"/>
          <w:sz w:val="24"/>
          <w:szCs w:val="24"/>
        </w:rPr>
      </w:pPr>
      <w:r>
        <w:rPr>
          <w:rFonts w:ascii="宋体" w:hAnsi="宋体" w:eastAsia="宋体" w:cs="宋体"/>
          <w:spacing w:val="2"/>
          <w:sz w:val="24"/>
          <w:szCs w:val="24"/>
        </w:rPr>
        <w:t>③在生产区四周设置环形的事故截流沟，事故状态下产生的粪污全部收集至截</w:t>
      </w:r>
      <w:r>
        <w:rPr>
          <w:rFonts w:ascii="宋体" w:hAnsi="宋体" w:eastAsia="宋体" w:cs="宋体"/>
          <w:spacing w:val="9"/>
          <w:sz w:val="24"/>
          <w:szCs w:val="24"/>
        </w:rPr>
        <w:t xml:space="preserve"> </w:t>
      </w:r>
      <w:r>
        <w:rPr>
          <w:rFonts w:ascii="宋体" w:hAnsi="宋体" w:eastAsia="宋体" w:cs="宋体"/>
          <w:spacing w:val="2"/>
          <w:sz w:val="24"/>
          <w:szCs w:val="24"/>
        </w:rPr>
        <w:t>留沟内，再自流入事故应急池。事故排放废水截留和收集系统必须有防渗、防漏措</w:t>
      </w:r>
      <w:r>
        <w:rPr>
          <w:rFonts w:ascii="宋体" w:hAnsi="宋体" w:eastAsia="宋体" w:cs="宋体"/>
          <w:spacing w:val="7"/>
          <w:sz w:val="24"/>
          <w:szCs w:val="24"/>
        </w:rPr>
        <w:t xml:space="preserve"> </w:t>
      </w:r>
      <w:r>
        <w:rPr>
          <w:rFonts w:ascii="宋体" w:hAnsi="宋体" w:eastAsia="宋体" w:cs="宋体"/>
          <w:spacing w:val="-1"/>
          <w:sz w:val="24"/>
          <w:szCs w:val="24"/>
        </w:rPr>
        <w:t>施，以确保地下水不受污染。</w:t>
      </w:r>
    </w:p>
    <w:p w14:paraId="41D28E9D">
      <w:pPr>
        <w:spacing w:before="203" w:line="298" w:lineRule="auto"/>
        <w:ind w:left="1" w:firstLine="477"/>
        <w:rPr>
          <w:rFonts w:ascii="宋体" w:hAnsi="宋体" w:eastAsia="宋体" w:cs="宋体"/>
          <w:sz w:val="24"/>
          <w:szCs w:val="24"/>
        </w:rPr>
      </w:pPr>
      <w:r>
        <w:rPr>
          <w:rFonts w:ascii="宋体" w:hAnsi="宋体" w:eastAsia="宋体" w:cs="宋体"/>
          <w:spacing w:val="2"/>
          <w:sz w:val="24"/>
          <w:szCs w:val="24"/>
        </w:rPr>
        <w:t>④一旦发生风险事故，要及时通报当地环保部门等政府有关部门和通知当地群</w:t>
      </w:r>
      <w:r>
        <w:rPr>
          <w:rFonts w:ascii="宋体" w:hAnsi="宋体" w:eastAsia="宋体" w:cs="宋体"/>
          <w:spacing w:val="9"/>
          <w:sz w:val="24"/>
          <w:szCs w:val="24"/>
        </w:rPr>
        <w:t xml:space="preserve"> </w:t>
      </w:r>
      <w:r>
        <w:rPr>
          <w:rFonts w:ascii="宋体" w:hAnsi="宋体" w:eastAsia="宋体" w:cs="宋体"/>
          <w:spacing w:val="-2"/>
          <w:sz w:val="24"/>
          <w:szCs w:val="24"/>
        </w:rPr>
        <w:t>众，及时采取各种措施，防止风险事故的进一步扩大，将事故的影</w:t>
      </w:r>
      <w:r>
        <w:rPr>
          <w:rFonts w:ascii="宋体" w:hAnsi="宋体" w:eastAsia="宋体" w:cs="宋体"/>
          <w:spacing w:val="-3"/>
          <w:sz w:val="24"/>
          <w:szCs w:val="24"/>
        </w:rPr>
        <w:t>响降到最小程度。</w:t>
      </w:r>
    </w:p>
    <w:p w14:paraId="50367FED">
      <w:pPr>
        <w:spacing w:before="203" w:line="298" w:lineRule="auto"/>
        <w:ind w:left="3" w:right="83" w:firstLine="475"/>
        <w:rPr>
          <w:rFonts w:ascii="宋体" w:hAnsi="宋体" w:eastAsia="宋体" w:cs="宋体"/>
          <w:sz w:val="24"/>
          <w:szCs w:val="24"/>
        </w:rPr>
      </w:pPr>
      <w:r>
        <w:rPr>
          <w:rFonts w:ascii="宋体" w:hAnsi="宋体" w:eastAsia="宋体" w:cs="宋体"/>
          <w:spacing w:val="2"/>
          <w:sz w:val="24"/>
          <w:szCs w:val="24"/>
        </w:rPr>
        <w:t>⑤对粪污处理系统应定期巡检、调节、保养、维修，及时发现可能引起事故的</w:t>
      </w:r>
      <w:r>
        <w:rPr>
          <w:rFonts w:ascii="宋体" w:hAnsi="宋体" w:eastAsia="宋体" w:cs="宋体"/>
          <w:spacing w:val="9"/>
          <w:sz w:val="24"/>
          <w:szCs w:val="24"/>
        </w:rPr>
        <w:t xml:space="preserve"> </w:t>
      </w:r>
      <w:r>
        <w:rPr>
          <w:rFonts w:ascii="宋体" w:hAnsi="宋体" w:eastAsia="宋体" w:cs="宋体"/>
          <w:spacing w:val="-1"/>
          <w:sz w:val="24"/>
          <w:szCs w:val="24"/>
        </w:rPr>
        <w:t>异常运行苗头，消除事故隐患。</w:t>
      </w:r>
    </w:p>
    <w:p w14:paraId="43B37915">
      <w:pPr>
        <w:spacing w:before="205" w:line="298" w:lineRule="auto"/>
        <w:ind w:left="4" w:right="83" w:firstLine="474"/>
        <w:rPr>
          <w:rFonts w:ascii="宋体" w:hAnsi="宋体" w:eastAsia="宋体" w:cs="宋体"/>
          <w:sz w:val="24"/>
          <w:szCs w:val="24"/>
        </w:rPr>
      </w:pPr>
      <w:r>
        <w:rPr>
          <w:rFonts w:ascii="宋体" w:hAnsi="宋体" w:eastAsia="宋体" w:cs="宋体"/>
          <w:spacing w:val="2"/>
          <w:sz w:val="24"/>
          <w:szCs w:val="24"/>
        </w:rPr>
        <w:t>⑥定期检查粪污处理设施各建构筑物池体渗漏情况，及时维护池壁安全（特别</w:t>
      </w:r>
      <w:r>
        <w:rPr>
          <w:rFonts w:ascii="宋体" w:hAnsi="宋体" w:eastAsia="宋体" w:cs="宋体"/>
          <w:spacing w:val="9"/>
          <w:sz w:val="24"/>
          <w:szCs w:val="24"/>
        </w:rPr>
        <w:t xml:space="preserve"> </w:t>
      </w:r>
      <w:r>
        <w:rPr>
          <w:rFonts w:ascii="宋体" w:hAnsi="宋体" w:eastAsia="宋体" w:cs="宋体"/>
          <w:spacing w:val="-3"/>
          <w:sz w:val="24"/>
          <w:szCs w:val="24"/>
        </w:rPr>
        <w:t>是雨季）。</w:t>
      </w:r>
    </w:p>
    <w:p w14:paraId="71075BB2">
      <w:pPr>
        <w:spacing w:before="165" w:line="362"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）动物疫情事故风险防范措施</w:t>
      </w:r>
    </w:p>
    <w:p w14:paraId="5B9B4C9F">
      <w:pPr>
        <w:spacing w:before="164" w:line="219" w:lineRule="auto"/>
        <w:ind w:left="480"/>
        <w:rPr>
          <w:rFonts w:ascii="宋体" w:hAnsi="宋体" w:eastAsia="宋体" w:cs="宋体"/>
          <w:sz w:val="24"/>
          <w:szCs w:val="24"/>
        </w:rPr>
      </w:pPr>
      <w:r>
        <w:rPr>
          <w:rFonts w:ascii="宋体" w:hAnsi="宋体" w:eastAsia="宋体" w:cs="宋体"/>
          <w:spacing w:val="-1"/>
          <w:sz w:val="24"/>
          <w:szCs w:val="24"/>
        </w:rPr>
        <w:t>在日常管理中，对于猪疫病的防治措施应注意以下几点：</w:t>
      </w:r>
    </w:p>
    <w:p w14:paraId="1993DBFE">
      <w:pPr>
        <w:spacing w:before="204" w:line="218" w:lineRule="auto"/>
        <w:ind w:left="480"/>
        <w:rPr>
          <w:rFonts w:ascii="宋体" w:hAnsi="宋体" w:eastAsia="宋体" w:cs="宋体"/>
          <w:sz w:val="24"/>
          <w:szCs w:val="24"/>
        </w:rPr>
      </w:pPr>
      <w:r>
        <w:rPr>
          <w:rFonts w:ascii="宋体" w:hAnsi="宋体" w:eastAsia="宋体" w:cs="宋体"/>
          <w:spacing w:val="-1"/>
          <w:sz w:val="24"/>
          <w:szCs w:val="24"/>
        </w:rPr>
        <w:t>①提高员工专业素质，增强防病观念</w:t>
      </w:r>
    </w:p>
    <w:p w14:paraId="4FFFC54F">
      <w:pPr>
        <w:spacing w:before="206" w:line="376" w:lineRule="auto"/>
        <w:ind w:left="1" w:right="83" w:firstLine="478"/>
        <w:rPr>
          <w:rFonts w:ascii="宋体" w:hAnsi="宋体" w:eastAsia="宋体" w:cs="宋体"/>
          <w:sz w:val="24"/>
          <w:szCs w:val="24"/>
        </w:rPr>
      </w:pPr>
      <w:r>
        <w:rPr>
          <w:rFonts w:ascii="宋体" w:hAnsi="宋体" w:eastAsia="宋体" w:cs="宋体"/>
          <w:spacing w:val="2"/>
          <w:sz w:val="24"/>
          <w:szCs w:val="24"/>
        </w:rPr>
        <w:t>在预防传染的措施上，首先应从人员的管理着手做起，提高员工的专业素质，</w:t>
      </w:r>
      <w:r>
        <w:rPr>
          <w:rFonts w:ascii="宋体" w:hAnsi="宋体" w:eastAsia="宋体" w:cs="宋体"/>
          <w:spacing w:val="8"/>
          <w:sz w:val="24"/>
          <w:szCs w:val="24"/>
        </w:rPr>
        <w:t xml:space="preserve"> </w:t>
      </w:r>
      <w:r>
        <w:rPr>
          <w:rFonts w:ascii="宋体" w:hAnsi="宋体" w:eastAsia="宋体" w:cs="宋体"/>
          <w:spacing w:val="2"/>
          <w:sz w:val="24"/>
          <w:szCs w:val="24"/>
        </w:rPr>
        <w:t xml:space="preserve">经常进行思想教育和技术培训等工作，逐步提高他们对传染病“预防为主，防治结 </w:t>
      </w:r>
      <w:r>
        <w:rPr>
          <w:rFonts w:ascii="宋体" w:hAnsi="宋体" w:eastAsia="宋体" w:cs="宋体"/>
          <w:spacing w:val="-2"/>
          <w:sz w:val="24"/>
          <w:szCs w:val="24"/>
        </w:rPr>
        <w:t>合</w:t>
      </w:r>
      <w:r>
        <w:rPr>
          <w:rFonts w:ascii="宋体" w:hAnsi="宋体" w:eastAsia="宋体" w:cs="宋体"/>
          <w:spacing w:val="-76"/>
          <w:sz w:val="24"/>
          <w:szCs w:val="24"/>
        </w:rPr>
        <w:t xml:space="preserve"> </w:t>
      </w:r>
      <w:r>
        <w:rPr>
          <w:rFonts w:ascii="宋体" w:hAnsi="宋体" w:eastAsia="宋体" w:cs="宋体"/>
          <w:spacing w:val="-2"/>
          <w:sz w:val="24"/>
          <w:szCs w:val="24"/>
        </w:rPr>
        <w:t>”的观念，并自觉遵守防疫制度，猪场设专人负责防疫工作。</w:t>
      </w:r>
    </w:p>
    <w:p w14:paraId="5F11B0D7">
      <w:pPr>
        <w:spacing w:before="2" w:line="217" w:lineRule="auto"/>
        <w:ind w:left="479"/>
        <w:rPr>
          <w:rFonts w:ascii="宋体" w:hAnsi="宋体" w:eastAsia="宋体" w:cs="宋体"/>
          <w:sz w:val="24"/>
          <w:szCs w:val="24"/>
        </w:rPr>
      </w:pPr>
      <w:r>
        <w:rPr>
          <w:rFonts w:ascii="宋体" w:hAnsi="宋体" w:eastAsia="宋体" w:cs="宋体"/>
          <w:spacing w:val="-1"/>
          <w:sz w:val="24"/>
          <w:szCs w:val="24"/>
        </w:rPr>
        <w:t>②卫生管理和环境消毒</w:t>
      </w:r>
    </w:p>
    <w:p w14:paraId="3AB90442">
      <w:pPr>
        <w:spacing w:before="206" w:line="376" w:lineRule="auto"/>
        <w:ind w:firstLine="483"/>
        <w:rPr>
          <w:rFonts w:ascii="宋体" w:hAnsi="宋体" w:eastAsia="宋体" w:cs="宋体"/>
          <w:sz w:val="24"/>
          <w:szCs w:val="24"/>
        </w:rPr>
      </w:pPr>
      <w:r>
        <w:rPr>
          <w:rFonts w:ascii="宋体" w:hAnsi="宋体" w:eastAsia="宋体" w:cs="宋体"/>
          <w:spacing w:val="2"/>
          <w:sz w:val="24"/>
          <w:szCs w:val="24"/>
        </w:rPr>
        <w:t>净化环境，搞好全场卫生清洁工作。传染病源一般抵抗力较强，受污染的场地</w:t>
      </w:r>
      <w:r>
        <w:rPr>
          <w:rFonts w:ascii="宋体" w:hAnsi="宋体" w:eastAsia="宋体" w:cs="宋体"/>
          <w:spacing w:val="7"/>
          <w:sz w:val="24"/>
          <w:szCs w:val="24"/>
        </w:rPr>
        <w:t xml:space="preserve"> </w:t>
      </w:r>
      <w:r>
        <w:rPr>
          <w:rFonts w:ascii="宋体" w:hAnsi="宋体" w:eastAsia="宋体" w:cs="宋体"/>
          <w:spacing w:val="2"/>
          <w:sz w:val="24"/>
          <w:szCs w:val="24"/>
        </w:rPr>
        <w:t>难以彻底将其消灭。因此，坚持做好日常的环境清洁和消毒工作，定期进行全场彻</w:t>
      </w:r>
      <w:r>
        <w:rPr>
          <w:rFonts w:ascii="宋体" w:hAnsi="宋体" w:eastAsia="宋体" w:cs="宋体"/>
          <w:spacing w:val="7"/>
          <w:sz w:val="24"/>
          <w:szCs w:val="24"/>
        </w:rPr>
        <w:t xml:space="preserve"> </w:t>
      </w:r>
      <w:r>
        <w:rPr>
          <w:rFonts w:ascii="宋体" w:hAnsi="宋体" w:eastAsia="宋体" w:cs="宋体"/>
          <w:spacing w:val="-2"/>
          <w:sz w:val="24"/>
          <w:szCs w:val="24"/>
        </w:rPr>
        <w:t>底大消毒，减少或消灭环境中的病毒和其他有安因素，是预防传染病最</w:t>
      </w:r>
      <w:r>
        <w:rPr>
          <w:rFonts w:ascii="宋体" w:hAnsi="宋体" w:eastAsia="宋体" w:cs="宋体"/>
          <w:spacing w:val="-3"/>
          <w:sz w:val="24"/>
          <w:szCs w:val="24"/>
        </w:rPr>
        <w:t>有效的手段。</w:t>
      </w:r>
    </w:p>
    <w:p w14:paraId="1E4BACEA">
      <w:pPr>
        <w:spacing w:before="1" w:line="378" w:lineRule="auto"/>
        <w:ind w:left="5" w:right="81" w:firstLine="475"/>
        <w:rPr>
          <w:rFonts w:ascii="宋体" w:hAnsi="宋体" w:eastAsia="宋体" w:cs="宋体"/>
          <w:sz w:val="24"/>
          <w:szCs w:val="24"/>
        </w:rPr>
      </w:pPr>
      <w:r>
        <w:rPr>
          <w:rFonts w:ascii="宋体" w:hAnsi="宋体" w:eastAsia="宋体" w:cs="宋体"/>
          <w:spacing w:val="2"/>
          <w:sz w:val="24"/>
          <w:szCs w:val="24"/>
        </w:rPr>
        <w:t>把好门口消毒关。场门口设置消毒池，专人执行消毒工作。消毒药可选用强力</w:t>
      </w:r>
      <w:r>
        <w:rPr>
          <w:rFonts w:ascii="宋体" w:hAnsi="宋体" w:eastAsia="宋体" w:cs="宋体"/>
          <w:spacing w:val="10"/>
          <w:sz w:val="24"/>
          <w:szCs w:val="24"/>
        </w:rPr>
        <w:t xml:space="preserve"> </w:t>
      </w:r>
      <w:r>
        <w:rPr>
          <w:rFonts w:ascii="宋体" w:hAnsi="宋体" w:eastAsia="宋体" w:cs="宋体"/>
          <w:spacing w:val="2"/>
          <w:sz w:val="24"/>
          <w:szCs w:val="24"/>
        </w:rPr>
        <w:t>消毒灵、烧碱、抗毒威、毒茵净、百毒杀等，工作人员进舍前应换上已消毒的服装</w:t>
      </w:r>
    </w:p>
    <w:p w14:paraId="0B6FC3EB">
      <w:pPr>
        <w:spacing w:line="378" w:lineRule="auto"/>
        <w:rPr>
          <w:rFonts w:ascii="宋体" w:hAnsi="宋体" w:eastAsia="宋体" w:cs="宋体"/>
          <w:sz w:val="24"/>
          <w:szCs w:val="24"/>
        </w:rPr>
        <w:sectPr>
          <w:footerReference r:id="rId149" w:type="default"/>
          <w:pgSz w:w="11906" w:h="16839"/>
          <w:pgMar w:top="400" w:right="1507" w:bottom="1485" w:left="1597" w:header="0" w:footer="1249" w:gutter="0"/>
          <w:cols w:space="720" w:num="1"/>
        </w:sectPr>
      </w:pPr>
    </w:p>
    <w:p w14:paraId="1B0C90FB">
      <w:pPr>
        <w:pStyle w:val="2"/>
        <w:spacing w:line="264" w:lineRule="auto"/>
      </w:pPr>
    </w:p>
    <w:p w14:paraId="3CC17F11">
      <w:pPr>
        <w:pStyle w:val="2"/>
        <w:spacing w:line="264" w:lineRule="auto"/>
      </w:pPr>
    </w:p>
    <w:p w14:paraId="507D8727">
      <w:pPr>
        <w:pStyle w:val="2"/>
        <w:spacing w:line="264" w:lineRule="auto"/>
      </w:pPr>
    </w:p>
    <w:p w14:paraId="00B92856">
      <w:pPr>
        <w:pStyle w:val="2"/>
        <w:spacing w:line="265" w:lineRule="auto"/>
      </w:pPr>
    </w:p>
    <w:p w14:paraId="16F2F687">
      <w:pPr>
        <w:spacing w:before="78" w:line="219" w:lineRule="auto"/>
        <w:ind w:left="2"/>
        <w:rPr>
          <w:rFonts w:ascii="宋体" w:hAnsi="宋体" w:eastAsia="宋体" w:cs="宋体"/>
          <w:sz w:val="24"/>
          <w:szCs w:val="24"/>
        </w:rPr>
      </w:pPr>
      <w:r>
        <w:rPr>
          <w:rFonts w:ascii="宋体" w:hAnsi="宋体" w:eastAsia="宋体" w:cs="宋体"/>
          <w:spacing w:val="-1"/>
          <w:sz w:val="24"/>
          <w:szCs w:val="24"/>
        </w:rPr>
        <w:t>鞋帽，外来人员及车辆等必须严格消毒后进场。</w:t>
      </w:r>
    </w:p>
    <w:p w14:paraId="324AD329">
      <w:pPr>
        <w:spacing w:before="204" w:line="362" w:lineRule="auto"/>
        <w:ind w:left="1" w:right="2" w:firstLine="479"/>
        <w:rPr>
          <w:rFonts w:ascii="宋体" w:hAnsi="宋体" w:eastAsia="宋体" w:cs="宋体"/>
          <w:sz w:val="24"/>
          <w:szCs w:val="24"/>
        </w:rPr>
      </w:pPr>
      <w:r>
        <w:rPr>
          <w:rFonts w:ascii="宋体" w:hAnsi="宋体" w:eastAsia="宋体" w:cs="宋体"/>
          <w:spacing w:val="2"/>
          <w:sz w:val="24"/>
          <w:szCs w:val="24"/>
        </w:rPr>
        <w:t>加强卫生整理。严格搞好饲料及饮水的卫生管理，每天坚持做好房舍的清洁工</w:t>
      </w:r>
      <w:r>
        <w:rPr>
          <w:rFonts w:ascii="宋体" w:hAnsi="宋体" w:eastAsia="宋体" w:cs="宋体"/>
          <w:spacing w:val="10"/>
          <w:sz w:val="24"/>
          <w:szCs w:val="24"/>
        </w:rPr>
        <w:t xml:space="preserve"> </w:t>
      </w:r>
      <w:r>
        <w:rPr>
          <w:rFonts w:ascii="宋体" w:hAnsi="宋体" w:eastAsia="宋体" w:cs="宋体"/>
          <w:spacing w:val="-1"/>
          <w:sz w:val="24"/>
          <w:szCs w:val="24"/>
        </w:rPr>
        <w:t>作，并清洗各类工具、饲槽、水具等。</w:t>
      </w:r>
    </w:p>
    <w:p w14:paraId="2075CB3E">
      <w:pPr>
        <w:spacing w:line="366" w:lineRule="auto"/>
        <w:ind w:firstLine="483"/>
        <w:rPr>
          <w:rFonts w:ascii="宋体" w:hAnsi="宋体" w:eastAsia="宋体" w:cs="宋体"/>
          <w:sz w:val="24"/>
          <w:szCs w:val="24"/>
        </w:rPr>
      </w:pPr>
      <w:r>
        <w:rPr>
          <w:rFonts w:ascii="宋体" w:hAnsi="宋体" w:eastAsia="宋体" w:cs="宋体"/>
          <w:spacing w:val="-3"/>
          <w:sz w:val="24"/>
          <w:szCs w:val="24"/>
        </w:rPr>
        <w:t>坚持灭鼠、灭虫，减少疾病传播。每月进行</w:t>
      </w:r>
      <w:r>
        <w:rPr>
          <w:rFonts w:ascii="宋体" w:hAnsi="宋体" w:eastAsia="宋体" w:cs="宋体"/>
          <w:spacing w:val="-14"/>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次全场性投药，并长期坚持尽</w:t>
      </w:r>
      <w:r>
        <w:rPr>
          <w:rFonts w:ascii="宋体" w:hAnsi="宋体" w:eastAsia="宋体" w:cs="宋体"/>
          <w:sz w:val="24"/>
          <w:szCs w:val="24"/>
        </w:rPr>
        <w:t xml:space="preserve"> </w:t>
      </w:r>
      <w:r>
        <w:rPr>
          <w:rFonts w:ascii="宋体" w:hAnsi="宋体" w:eastAsia="宋体" w:cs="宋体"/>
          <w:spacing w:val="-1"/>
          <w:sz w:val="24"/>
          <w:szCs w:val="24"/>
        </w:rPr>
        <w:t>量减少中间媒介体，减少传播机会。</w:t>
      </w:r>
    </w:p>
    <w:p w14:paraId="75C726AE">
      <w:pPr>
        <w:spacing w:before="62" w:line="220" w:lineRule="auto"/>
        <w:ind w:left="480"/>
        <w:rPr>
          <w:rFonts w:ascii="宋体" w:hAnsi="宋体" w:eastAsia="宋体" w:cs="宋体"/>
          <w:sz w:val="24"/>
          <w:szCs w:val="24"/>
        </w:rPr>
      </w:pPr>
      <w:r>
        <w:rPr>
          <w:rFonts w:ascii="宋体" w:hAnsi="宋体" w:eastAsia="宋体" w:cs="宋体"/>
          <w:sz w:val="24"/>
          <w:szCs w:val="24"/>
        </w:rPr>
        <w:t>加强防疫。留心观察猪群、有病猪或疑似病猪均</w:t>
      </w:r>
      <w:r>
        <w:rPr>
          <w:rFonts w:ascii="宋体" w:hAnsi="宋体" w:eastAsia="宋体" w:cs="宋体"/>
          <w:spacing w:val="-1"/>
          <w:sz w:val="24"/>
          <w:szCs w:val="24"/>
        </w:rPr>
        <w:t>应立即隔离或安全处置。</w:t>
      </w:r>
    </w:p>
    <w:p w14:paraId="02B79E95">
      <w:pPr>
        <w:spacing w:before="205" w:line="376" w:lineRule="auto"/>
        <w:ind w:left="6" w:right="2" w:firstLine="474"/>
        <w:rPr>
          <w:rFonts w:ascii="宋体" w:hAnsi="宋体" w:eastAsia="宋体" w:cs="宋体"/>
          <w:sz w:val="24"/>
          <w:szCs w:val="24"/>
        </w:rPr>
      </w:pPr>
      <w:r>
        <w:rPr>
          <w:rFonts w:ascii="宋体" w:hAnsi="宋体" w:eastAsia="宋体" w:cs="宋体"/>
          <w:spacing w:val="1"/>
          <w:sz w:val="24"/>
          <w:szCs w:val="24"/>
        </w:rPr>
        <w:t>加强管理。规模养猪场要实行小区或栋舍“全进全出</w:t>
      </w:r>
      <w:r>
        <w:rPr>
          <w:rFonts w:ascii="宋体" w:hAnsi="宋体" w:eastAsia="宋体" w:cs="宋体"/>
          <w:spacing w:val="-76"/>
          <w:sz w:val="24"/>
          <w:szCs w:val="24"/>
        </w:rPr>
        <w:t xml:space="preserve"> </w:t>
      </w:r>
      <w:r>
        <w:rPr>
          <w:rFonts w:ascii="宋体" w:hAnsi="宋体" w:eastAsia="宋体" w:cs="宋体"/>
          <w:spacing w:val="1"/>
          <w:sz w:val="24"/>
          <w:szCs w:val="24"/>
        </w:rPr>
        <w:t>”的饲养管理方式，以消</w:t>
      </w:r>
      <w:r>
        <w:rPr>
          <w:rFonts w:ascii="宋体" w:hAnsi="宋体" w:eastAsia="宋体" w:cs="宋体"/>
          <w:sz w:val="24"/>
          <w:szCs w:val="24"/>
        </w:rPr>
        <w:t xml:space="preserve"> </w:t>
      </w:r>
      <w:r>
        <w:rPr>
          <w:rFonts w:ascii="宋体" w:hAnsi="宋体" w:eastAsia="宋体" w:cs="宋体"/>
          <w:spacing w:val="2"/>
          <w:sz w:val="24"/>
          <w:szCs w:val="24"/>
        </w:rPr>
        <w:t>除连续感染、交叉感染，生猪出栏后，猪舍要彻底清扫、冲洗和消毒，并空置半个</w:t>
      </w:r>
      <w:r>
        <w:rPr>
          <w:rFonts w:ascii="宋体" w:hAnsi="宋体" w:eastAsia="宋体" w:cs="宋体"/>
          <w:sz w:val="24"/>
          <w:szCs w:val="24"/>
        </w:rPr>
        <w:t xml:space="preserve"> </w:t>
      </w:r>
      <w:r>
        <w:rPr>
          <w:rFonts w:ascii="宋体" w:hAnsi="宋体" w:eastAsia="宋体" w:cs="宋体"/>
          <w:spacing w:val="2"/>
          <w:sz w:val="24"/>
          <w:szCs w:val="24"/>
        </w:rPr>
        <w:t>月以上方可进猪。动物防疫监督部门要到场到户检疫，认真做好生猪检疫工作，做</w:t>
      </w:r>
      <w:r>
        <w:rPr>
          <w:rFonts w:ascii="宋体" w:hAnsi="宋体" w:eastAsia="宋体" w:cs="宋体"/>
          <w:sz w:val="24"/>
          <w:szCs w:val="24"/>
        </w:rPr>
        <w:t xml:space="preserve"> </w:t>
      </w:r>
      <w:r>
        <w:rPr>
          <w:rFonts w:ascii="宋体" w:hAnsi="宋体" w:eastAsia="宋体" w:cs="宋体"/>
          <w:spacing w:val="-1"/>
          <w:sz w:val="24"/>
          <w:szCs w:val="24"/>
        </w:rPr>
        <w:t>到及早发现疫情，并把疫情控制在最小范围内，防止传染源进入市场流通渠道。</w:t>
      </w:r>
    </w:p>
    <w:p w14:paraId="693835EB">
      <w:pPr>
        <w:spacing w:before="1" w:line="217" w:lineRule="auto"/>
        <w:ind w:left="479"/>
        <w:rPr>
          <w:rFonts w:ascii="宋体" w:hAnsi="宋体" w:eastAsia="宋体" w:cs="宋体"/>
          <w:sz w:val="24"/>
          <w:szCs w:val="24"/>
        </w:rPr>
      </w:pPr>
      <w:r>
        <w:rPr>
          <w:rFonts w:ascii="宋体" w:hAnsi="宋体" w:eastAsia="宋体" w:cs="宋体"/>
          <w:spacing w:val="-2"/>
          <w:sz w:val="24"/>
          <w:szCs w:val="24"/>
        </w:rPr>
        <w:t>③药物防疫</w:t>
      </w:r>
    </w:p>
    <w:p w14:paraId="62E647C2">
      <w:pPr>
        <w:spacing w:before="205" w:line="376" w:lineRule="auto"/>
        <w:ind w:left="1" w:right="2" w:firstLine="480"/>
        <w:rPr>
          <w:rFonts w:ascii="宋体" w:hAnsi="宋体" w:eastAsia="宋体" w:cs="宋体"/>
          <w:sz w:val="24"/>
          <w:szCs w:val="24"/>
        </w:rPr>
      </w:pPr>
      <w:r>
        <w:rPr>
          <w:rFonts w:ascii="宋体" w:hAnsi="宋体" w:eastAsia="宋体" w:cs="宋体"/>
          <w:spacing w:val="2"/>
          <w:sz w:val="24"/>
          <w:szCs w:val="24"/>
        </w:rPr>
        <w:t>合理的使用药物，即可预防猪的感染发病，又可消灭传染病原，净化环境。因</w:t>
      </w:r>
      <w:r>
        <w:rPr>
          <w:rFonts w:ascii="宋体" w:hAnsi="宋体" w:eastAsia="宋体" w:cs="宋体"/>
          <w:spacing w:val="9"/>
          <w:sz w:val="24"/>
          <w:szCs w:val="24"/>
        </w:rPr>
        <w:t xml:space="preserve"> </w:t>
      </w:r>
      <w:r>
        <w:rPr>
          <w:rFonts w:ascii="宋体" w:hAnsi="宋体" w:eastAsia="宋体" w:cs="宋体"/>
          <w:spacing w:val="-1"/>
          <w:sz w:val="24"/>
          <w:szCs w:val="24"/>
        </w:rPr>
        <w:t>此，在生产实践中预防传染病，都采用早期投药。</w:t>
      </w:r>
    </w:p>
    <w:p w14:paraId="25BEC160">
      <w:pPr>
        <w:spacing w:before="1" w:line="217" w:lineRule="auto"/>
        <w:ind w:left="479"/>
        <w:rPr>
          <w:rFonts w:ascii="宋体" w:hAnsi="宋体" w:eastAsia="宋体" w:cs="宋体"/>
          <w:sz w:val="24"/>
          <w:szCs w:val="24"/>
        </w:rPr>
      </w:pPr>
      <w:r>
        <w:rPr>
          <w:rFonts w:ascii="宋体" w:hAnsi="宋体" w:eastAsia="宋体" w:cs="宋体"/>
          <w:spacing w:val="-2"/>
          <w:sz w:val="24"/>
          <w:szCs w:val="24"/>
        </w:rPr>
        <w:t>④猪的免疫接种</w:t>
      </w:r>
    </w:p>
    <w:p w14:paraId="535229E1">
      <w:pPr>
        <w:spacing w:before="208" w:line="376" w:lineRule="auto"/>
        <w:ind w:left="2" w:right="2" w:firstLine="477"/>
        <w:rPr>
          <w:rFonts w:ascii="宋体" w:hAnsi="宋体" w:eastAsia="宋体" w:cs="宋体"/>
          <w:sz w:val="24"/>
          <w:szCs w:val="24"/>
        </w:rPr>
      </w:pPr>
      <w:r>
        <w:rPr>
          <w:rFonts w:ascii="宋体" w:hAnsi="宋体" w:eastAsia="宋体" w:cs="宋体"/>
          <w:spacing w:val="2"/>
          <w:sz w:val="24"/>
          <w:szCs w:val="24"/>
        </w:rPr>
        <w:t>对种猪要结合当地疫情进行定期检疫或临时检疫。必要时请技术人员对种猪进</w:t>
      </w:r>
      <w:r>
        <w:rPr>
          <w:rFonts w:ascii="宋体" w:hAnsi="宋体" w:eastAsia="宋体" w:cs="宋体"/>
          <w:spacing w:val="11"/>
          <w:sz w:val="24"/>
          <w:szCs w:val="24"/>
        </w:rPr>
        <w:t xml:space="preserve"> </w:t>
      </w:r>
      <w:r>
        <w:rPr>
          <w:rFonts w:ascii="宋体" w:hAnsi="宋体" w:eastAsia="宋体" w:cs="宋体"/>
          <w:spacing w:val="2"/>
          <w:sz w:val="24"/>
          <w:szCs w:val="24"/>
        </w:rPr>
        <w:t>行化验检查，对查出的猪结核病、猪布氏杆菌病等阳性病例，应当隔离，分别进行</w:t>
      </w:r>
      <w:r>
        <w:rPr>
          <w:rFonts w:ascii="宋体" w:hAnsi="宋体" w:eastAsia="宋体" w:cs="宋体"/>
          <w:spacing w:val="4"/>
          <w:sz w:val="24"/>
          <w:szCs w:val="24"/>
        </w:rPr>
        <w:t xml:space="preserve"> </w:t>
      </w:r>
      <w:r>
        <w:rPr>
          <w:rFonts w:ascii="宋体" w:hAnsi="宋体" w:eastAsia="宋体" w:cs="宋体"/>
          <w:spacing w:val="2"/>
          <w:sz w:val="24"/>
          <w:szCs w:val="24"/>
        </w:rPr>
        <w:t>治疗、育肥、屠宰或捕杀淘汰，以保证种猪健康。对新引进的种猪，要查对产地兽</w:t>
      </w:r>
      <w:r>
        <w:rPr>
          <w:rFonts w:ascii="宋体" w:hAnsi="宋体" w:eastAsia="宋体" w:cs="宋体"/>
          <w:spacing w:val="4"/>
          <w:sz w:val="24"/>
          <w:szCs w:val="24"/>
        </w:rPr>
        <w:t xml:space="preserve"> </w:t>
      </w:r>
      <w:r>
        <w:rPr>
          <w:rFonts w:ascii="宋体" w:hAnsi="宋体" w:eastAsia="宋体" w:cs="宋体"/>
          <w:spacing w:val="2"/>
          <w:sz w:val="24"/>
          <w:szCs w:val="24"/>
        </w:rPr>
        <w:t>医部门的预防注射证明和检疫证明，隔离观察一段时间，经过免疫注射，确认健康</w:t>
      </w:r>
      <w:r>
        <w:rPr>
          <w:rFonts w:ascii="宋体" w:hAnsi="宋体" w:eastAsia="宋体" w:cs="宋体"/>
          <w:spacing w:val="4"/>
          <w:sz w:val="24"/>
          <w:szCs w:val="24"/>
        </w:rPr>
        <w:t xml:space="preserve"> </w:t>
      </w:r>
      <w:r>
        <w:rPr>
          <w:rFonts w:ascii="宋体" w:hAnsi="宋体" w:eastAsia="宋体" w:cs="宋体"/>
          <w:spacing w:val="-2"/>
          <w:sz w:val="24"/>
          <w:szCs w:val="24"/>
        </w:rPr>
        <w:t>后方准进入饲养区。</w:t>
      </w:r>
    </w:p>
    <w:p w14:paraId="31427962">
      <w:pPr>
        <w:spacing w:before="6" w:line="376" w:lineRule="auto"/>
        <w:ind w:right="2" w:firstLine="504"/>
        <w:rPr>
          <w:rFonts w:ascii="宋体" w:hAnsi="宋体" w:eastAsia="宋体" w:cs="宋体"/>
          <w:sz w:val="24"/>
          <w:szCs w:val="24"/>
        </w:rPr>
      </w:pPr>
      <w:r>
        <w:rPr>
          <w:rFonts w:ascii="宋体" w:hAnsi="宋体" w:eastAsia="宋体" w:cs="宋体"/>
          <w:spacing w:val="2"/>
          <w:sz w:val="24"/>
          <w:szCs w:val="24"/>
        </w:rPr>
        <w:t>同时要建立预防接种制度。预防接种，就是对</w:t>
      </w:r>
      <w:r>
        <w:rPr>
          <w:rFonts w:ascii="宋体" w:hAnsi="宋体" w:eastAsia="宋体" w:cs="宋体"/>
          <w:spacing w:val="1"/>
          <w:sz w:val="24"/>
          <w:szCs w:val="24"/>
        </w:rPr>
        <w:t>健康猪在适当的时机注射一定数</w:t>
      </w:r>
      <w:r>
        <w:rPr>
          <w:rFonts w:ascii="宋体" w:hAnsi="宋体" w:eastAsia="宋体" w:cs="宋体"/>
          <w:sz w:val="24"/>
          <w:szCs w:val="24"/>
        </w:rPr>
        <w:t xml:space="preserve"> </w:t>
      </w:r>
      <w:r>
        <w:rPr>
          <w:rFonts w:ascii="宋体" w:hAnsi="宋体" w:eastAsia="宋体" w:cs="宋体"/>
          <w:spacing w:val="2"/>
          <w:sz w:val="24"/>
          <w:szCs w:val="24"/>
        </w:rPr>
        <w:t>量的疫苗和菌苗，使猪产生抵抗这种传染病的免疫力。预防接种分为平时定期预防</w:t>
      </w:r>
      <w:r>
        <w:rPr>
          <w:rFonts w:ascii="宋体" w:hAnsi="宋体" w:eastAsia="宋体" w:cs="宋体"/>
          <w:spacing w:val="7"/>
          <w:sz w:val="24"/>
          <w:szCs w:val="24"/>
        </w:rPr>
        <w:t xml:space="preserve"> </w:t>
      </w:r>
      <w:r>
        <w:rPr>
          <w:rFonts w:ascii="宋体" w:hAnsi="宋体" w:eastAsia="宋体" w:cs="宋体"/>
          <w:spacing w:val="2"/>
          <w:sz w:val="24"/>
          <w:szCs w:val="24"/>
        </w:rPr>
        <w:t>接种和发生病情时的紧急预防接种两种。平时的定期预防接种，例如很多农村在春</w:t>
      </w:r>
      <w:r>
        <w:rPr>
          <w:rFonts w:ascii="宋体" w:hAnsi="宋体" w:eastAsia="宋体" w:cs="宋体"/>
          <w:spacing w:val="7"/>
          <w:sz w:val="24"/>
          <w:szCs w:val="24"/>
        </w:rPr>
        <w:t xml:space="preserve"> </w:t>
      </w:r>
      <w:r>
        <w:rPr>
          <w:rFonts w:ascii="宋体" w:hAnsi="宋体" w:eastAsia="宋体" w:cs="宋体"/>
          <w:spacing w:val="2"/>
          <w:sz w:val="24"/>
          <w:szCs w:val="24"/>
        </w:rPr>
        <w:t>季或秋季对猪进行的防疫注射，是对健康猪进行的以预防为目的的接种注射，这种</w:t>
      </w:r>
      <w:r>
        <w:rPr>
          <w:rFonts w:ascii="宋体" w:hAnsi="宋体" w:eastAsia="宋体" w:cs="宋体"/>
          <w:spacing w:val="7"/>
          <w:sz w:val="24"/>
          <w:szCs w:val="24"/>
        </w:rPr>
        <w:t xml:space="preserve"> </w:t>
      </w:r>
      <w:r>
        <w:rPr>
          <w:rFonts w:ascii="宋体" w:hAnsi="宋体" w:eastAsia="宋体" w:cs="宋体"/>
          <w:spacing w:val="2"/>
          <w:sz w:val="24"/>
          <w:szCs w:val="24"/>
        </w:rPr>
        <w:t>接种方式，注射的数量多，密度大，在控制和消灭猪传染病方面起着重要的作用。</w:t>
      </w:r>
      <w:r>
        <w:rPr>
          <w:rFonts w:ascii="宋体" w:hAnsi="宋体" w:eastAsia="宋体" w:cs="宋体"/>
          <w:spacing w:val="7"/>
          <w:sz w:val="24"/>
          <w:szCs w:val="24"/>
        </w:rPr>
        <w:t xml:space="preserve"> </w:t>
      </w:r>
      <w:r>
        <w:rPr>
          <w:rFonts w:ascii="宋体" w:hAnsi="宋体" w:eastAsia="宋体" w:cs="宋体"/>
          <w:spacing w:val="2"/>
          <w:sz w:val="24"/>
          <w:szCs w:val="24"/>
        </w:rPr>
        <w:t>紧急预防接种，是在发生了疫病的地区，对还没发病的猪，或疫区周围的猪，进行</w:t>
      </w:r>
      <w:r>
        <w:rPr>
          <w:rFonts w:ascii="宋体" w:hAnsi="宋体" w:eastAsia="宋体" w:cs="宋体"/>
          <w:spacing w:val="7"/>
          <w:sz w:val="24"/>
          <w:szCs w:val="24"/>
        </w:rPr>
        <w:t xml:space="preserve"> </w:t>
      </w:r>
      <w:r>
        <w:rPr>
          <w:rFonts w:ascii="宋体" w:hAnsi="宋体" w:eastAsia="宋体" w:cs="宋体"/>
          <w:spacing w:val="2"/>
          <w:sz w:val="24"/>
          <w:szCs w:val="24"/>
        </w:rPr>
        <w:t>的接种注射。这样会保护健康猪不发生疫情，而且由这些接种猪建立起隔离带，使</w:t>
      </w:r>
      <w:r>
        <w:rPr>
          <w:rFonts w:ascii="宋体" w:hAnsi="宋体" w:eastAsia="宋体" w:cs="宋体"/>
          <w:spacing w:val="7"/>
          <w:sz w:val="24"/>
          <w:szCs w:val="24"/>
        </w:rPr>
        <w:t xml:space="preserve"> </w:t>
      </w:r>
      <w:r>
        <w:rPr>
          <w:rFonts w:ascii="宋体" w:hAnsi="宋体" w:eastAsia="宋体" w:cs="宋体"/>
          <w:spacing w:val="2"/>
          <w:sz w:val="24"/>
          <w:szCs w:val="24"/>
        </w:rPr>
        <w:t>疫区的疫情不再向外发生蔓延。这种接种方式，有的地区的农牧民称之为“顶风上</w:t>
      </w:r>
      <w:r>
        <w:rPr>
          <w:rFonts w:ascii="宋体" w:hAnsi="宋体" w:eastAsia="宋体" w:cs="宋体"/>
          <w:spacing w:val="7"/>
          <w:sz w:val="24"/>
          <w:szCs w:val="24"/>
        </w:rPr>
        <w:t xml:space="preserve"> </w:t>
      </w:r>
      <w:r>
        <w:rPr>
          <w:rFonts w:ascii="宋体" w:hAnsi="宋体" w:eastAsia="宋体" w:cs="宋体"/>
          <w:spacing w:val="-2"/>
          <w:sz w:val="24"/>
          <w:szCs w:val="24"/>
        </w:rPr>
        <w:t>的预防接种</w:t>
      </w:r>
      <w:r>
        <w:rPr>
          <w:rFonts w:ascii="宋体" w:hAnsi="宋体" w:eastAsia="宋体" w:cs="宋体"/>
          <w:spacing w:val="-80"/>
          <w:sz w:val="24"/>
          <w:szCs w:val="24"/>
        </w:rPr>
        <w:t xml:space="preserve"> </w:t>
      </w:r>
      <w:r>
        <w:rPr>
          <w:rFonts w:ascii="宋体" w:hAnsi="宋体" w:eastAsia="宋体" w:cs="宋体"/>
          <w:spacing w:val="-2"/>
          <w:sz w:val="24"/>
          <w:szCs w:val="24"/>
        </w:rPr>
        <w:t>”，在控制和扑灭传染病方面起较大的作用。</w:t>
      </w:r>
    </w:p>
    <w:p w14:paraId="33858E01">
      <w:pPr>
        <w:spacing w:line="376" w:lineRule="auto"/>
        <w:rPr>
          <w:rFonts w:ascii="宋体" w:hAnsi="宋体" w:eastAsia="宋体" w:cs="宋体"/>
          <w:sz w:val="24"/>
          <w:szCs w:val="24"/>
        </w:rPr>
        <w:sectPr>
          <w:footerReference r:id="rId150" w:type="default"/>
          <w:pgSz w:w="11906" w:h="16839"/>
          <w:pgMar w:top="400" w:right="1585" w:bottom="1485" w:left="1597" w:header="0" w:footer="1249" w:gutter="0"/>
          <w:cols w:space="720" w:num="1"/>
        </w:sectPr>
      </w:pPr>
    </w:p>
    <w:p w14:paraId="7CF63B42">
      <w:pPr>
        <w:pStyle w:val="2"/>
        <w:spacing w:line="264" w:lineRule="auto"/>
      </w:pPr>
    </w:p>
    <w:p w14:paraId="5415ECBD">
      <w:pPr>
        <w:pStyle w:val="2"/>
        <w:spacing w:line="264" w:lineRule="auto"/>
      </w:pPr>
    </w:p>
    <w:p w14:paraId="6AB439B2">
      <w:pPr>
        <w:pStyle w:val="2"/>
        <w:spacing w:line="264" w:lineRule="auto"/>
      </w:pPr>
    </w:p>
    <w:p w14:paraId="171EA981">
      <w:pPr>
        <w:pStyle w:val="2"/>
        <w:spacing w:line="265" w:lineRule="auto"/>
      </w:pPr>
    </w:p>
    <w:p w14:paraId="453EAD44">
      <w:pPr>
        <w:spacing w:before="78" w:line="218" w:lineRule="auto"/>
        <w:ind w:left="601"/>
        <w:rPr>
          <w:rFonts w:ascii="宋体" w:hAnsi="宋体" w:eastAsia="宋体" w:cs="宋体"/>
          <w:sz w:val="24"/>
          <w:szCs w:val="24"/>
        </w:rPr>
      </w:pPr>
      <w:r>
        <w:rPr>
          <w:rFonts w:ascii="宋体" w:hAnsi="宋体" w:eastAsia="宋体" w:cs="宋体"/>
          <w:spacing w:val="-1"/>
          <w:sz w:val="24"/>
          <w:szCs w:val="24"/>
        </w:rPr>
        <w:t>⑤建立疫病报告制度</w:t>
      </w:r>
    </w:p>
    <w:p w14:paraId="679DDDF7">
      <w:pPr>
        <w:spacing w:before="206" w:line="376" w:lineRule="auto"/>
        <w:ind w:left="122" w:right="113" w:firstLine="481"/>
        <w:rPr>
          <w:rFonts w:ascii="宋体" w:hAnsi="宋体" w:eastAsia="宋体" w:cs="宋体"/>
          <w:sz w:val="24"/>
          <w:szCs w:val="24"/>
        </w:rPr>
      </w:pPr>
      <w:r>
        <w:rPr>
          <w:rFonts w:ascii="宋体" w:hAnsi="宋体" w:eastAsia="宋体" w:cs="宋体"/>
          <w:spacing w:val="2"/>
          <w:sz w:val="24"/>
          <w:szCs w:val="24"/>
        </w:rPr>
        <w:t>养猪场要实行规范化管理，每栋猪舍内猪的数量、精神状况、发病死亡情况、</w:t>
      </w:r>
      <w:r>
        <w:rPr>
          <w:rFonts w:ascii="宋体" w:hAnsi="宋体" w:eastAsia="宋体" w:cs="宋体"/>
          <w:spacing w:val="9"/>
          <w:sz w:val="24"/>
          <w:szCs w:val="24"/>
        </w:rPr>
        <w:t xml:space="preserve"> </w:t>
      </w:r>
      <w:r>
        <w:rPr>
          <w:rFonts w:ascii="宋体" w:hAnsi="宋体" w:eastAsia="宋体" w:cs="宋体"/>
          <w:spacing w:val="2"/>
          <w:sz w:val="24"/>
          <w:szCs w:val="24"/>
        </w:rPr>
        <w:t>饲料消耗、粪便性状每天都应加以记载，发现有病猪、死猪，要及时向当地兽医部</w:t>
      </w:r>
      <w:r>
        <w:rPr>
          <w:rFonts w:ascii="宋体" w:hAnsi="宋体" w:eastAsia="宋体" w:cs="宋体"/>
          <w:spacing w:val="7"/>
          <w:sz w:val="24"/>
          <w:szCs w:val="24"/>
        </w:rPr>
        <w:t xml:space="preserve"> </w:t>
      </w:r>
      <w:r>
        <w:rPr>
          <w:rFonts w:ascii="宋体" w:hAnsi="宋体" w:eastAsia="宋体" w:cs="宋体"/>
          <w:spacing w:val="-1"/>
          <w:sz w:val="24"/>
          <w:szCs w:val="24"/>
        </w:rPr>
        <w:t>门报告，以便及早确诊，采取适当措施，减少损失。</w:t>
      </w:r>
    </w:p>
    <w:p w14:paraId="1BF11E4F">
      <w:pPr>
        <w:spacing w:before="1" w:line="217" w:lineRule="auto"/>
        <w:ind w:left="601"/>
        <w:rPr>
          <w:rFonts w:ascii="宋体" w:hAnsi="宋体" w:eastAsia="宋体" w:cs="宋体"/>
          <w:sz w:val="24"/>
          <w:szCs w:val="24"/>
        </w:rPr>
      </w:pPr>
      <w:r>
        <w:rPr>
          <w:rFonts w:ascii="宋体" w:hAnsi="宋体" w:eastAsia="宋体" w:cs="宋体"/>
          <w:spacing w:val="-1"/>
          <w:sz w:val="24"/>
          <w:szCs w:val="24"/>
        </w:rPr>
        <w:t>⑥病死猪尸体处置</w:t>
      </w:r>
    </w:p>
    <w:p w14:paraId="142AFE45">
      <w:pPr>
        <w:spacing w:before="170" w:line="367" w:lineRule="auto"/>
        <w:ind w:left="123" w:right="110" w:firstLine="479"/>
        <w:rPr>
          <w:rFonts w:ascii="宋体" w:hAnsi="宋体" w:eastAsia="宋体" w:cs="宋体"/>
          <w:sz w:val="24"/>
          <w:szCs w:val="24"/>
        </w:rPr>
      </w:pPr>
      <w:r>
        <w:rPr>
          <w:rFonts w:ascii="宋体" w:hAnsi="宋体" w:eastAsia="宋体" w:cs="宋体"/>
          <w:sz w:val="24"/>
          <w:szCs w:val="24"/>
        </w:rPr>
        <w:t>根据《畜禽养殖业污染防治技术规范》（</w:t>
      </w:r>
      <w:r>
        <w:rPr>
          <w:rFonts w:ascii="Times New Roman" w:hAnsi="Times New Roman" w:eastAsia="Times New Roman" w:cs="Times New Roman"/>
          <w:sz w:val="24"/>
          <w:szCs w:val="24"/>
        </w:rPr>
        <w:t>HJ/T81-2001</w:t>
      </w:r>
      <w:r>
        <w:rPr>
          <w:rFonts w:ascii="宋体" w:hAnsi="宋体" w:eastAsia="宋体" w:cs="宋体"/>
          <w:sz w:val="24"/>
          <w:szCs w:val="24"/>
        </w:rPr>
        <w:t xml:space="preserve">）的相关规定，企业对病 </w:t>
      </w:r>
      <w:r>
        <w:rPr>
          <w:rFonts w:ascii="宋体" w:hAnsi="宋体" w:eastAsia="宋体" w:cs="宋体"/>
          <w:spacing w:val="-1"/>
          <w:sz w:val="24"/>
          <w:szCs w:val="24"/>
        </w:rPr>
        <w:t>死猪尸体及时处理，不随意丢弃，不出售或作为饲料再利用。</w:t>
      </w:r>
    </w:p>
    <w:p w14:paraId="2C892663">
      <w:pPr>
        <w:spacing w:before="61" w:line="362" w:lineRule="auto"/>
        <w:ind w:left="123" w:right="113" w:firstLine="480"/>
        <w:rPr>
          <w:rFonts w:ascii="宋体" w:hAnsi="宋体" w:eastAsia="宋体" w:cs="宋体"/>
          <w:sz w:val="24"/>
          <w:szCs w:val="24"/>
        </w:rPr>
      </w:pPr>
      <w:r>
        <w:rPr>
          <w:rFonts w:ascii="宋体" w:hAnsi="宋体" w:eastAsia="宋体" w:cs="宋体"/>
          <w:spacing w:val="2"/>
          <w:sz w:val="24"/>
          <w:szCs w:val="24"/>
        </w:rPr>
        <w:t>本项目拟依托海丰县公平镇龙寨实成种养专业合作社项目安全填埋井，对正常</w:t>
      </w:r>
      <w:r>
        <w:rPr>
          <w:rFonts w:ascii="宋体" w:hAnsi="宋体" w:eastAsia="宋体" w:cs="宋体"/>
          <w:spacing w:val="9"/>
          <w:sz w:val="24"/>
          <w:szCs w:val="24"/>
        </w:rPr>
        <w:t xml:space="preserve"> </w:t>
      </w:r>
      <w:r>
        <w:rPr>
          <w:rFonts w:ascii="宋体" w:hAnsi="宋体" w:eastAsia="宋体" w:cs="宋体"/>
          <w:spacing w:val="-1"/>
          <w:sz w:val="24"/>
          <w:szCs w:val="24"/>
        </w:rPr>
        <w:t>和非正常死亡的猪尸体进行填埋处理。</w:t>
      </w:r>
    </w:p>
    <w:p w14:paraId="2E32762C">
      <w:pPr>
        <w:spacing w:line="361" w:lineRule="exact"/>
        <w:ind w:left="603"/>
        <w:rPr>
          <w:rFonts w:ascii="宋体" w:hAnsi="宋体" w:eastAsia="宋体" w:cs="宋体"/>
          <w:sz w:val="24"/>
          <w:szCs w:val="24"/>
        </w:rPr>
      </w:pPr>
      <w:r>
        <w:rPr>
          <w:rFonts w:ascii="Times New Roman" w:hAnsi="Times New Roman" w:eastAsia="Times New Roman" w:cs="Times New Roman"/>
          <w:spacing w:val="-4"/>
          <w:position w:val="2"/>
          <w:sz w:val="24"/>
          <w:szCs w:val="24"/>
        </w:rPr>
        <w:t>6</w:t>
      </w:r>
      <w:r>
        <w:rPr>
          <w:rFonts w:ascii="Times New Roman" w:hAnsi="Times New Roman" w:eastAsia="Times New Roman" w:cs="Times New Roman"/>
          <w:spacing w:val="-32"/>
          <w:position w:val="2"/>
          <w:sz w:val="24"/>
          <w:szCs w:val="24"/>
        </w:rPr>
        <w:t xml:space="preserve"> </w:t>
      </w:r>
      <w:r>
        <w:rPr>
          <w:rFonts w:ascii="宋体" w:hAnsi="宋体" w:eastAsia="宋体" w:cs="宋体"/>
          <w:spacing w:val="-4"/>
          <w:position w:val="2"/>
          <w:sz w:val="24"/>
          <w:szCs w:val="24"/>
        </w:rPr>
        <w:t>、环境风险分析结论</w:t>
      </w:r>
    </w:p>
    <w:p w14:paraId="15316CDE">
      <w:pPr>
        <w:spacing w:before="164" w:line="378" w:lineRule="auto"/>
        <w:ind w:left="266" w:right="115" w:firstLine="423"/>
        <w:rPr>
          <w:rFonts w:ascii="宋体" w:hAnsi="宋体" w:eastAsia="宋体" w:cs="宋体"/>
          <w:sz w:val="24"/>
          <w:szCs w:val="24"/>
        </w:rPr>
      </w:pPr>
      <w:r>
        <w:rPr>
          <w:rFonts w:ascii="宋体" w:hAnsi="宋体" w:eastAsia="宋体" w:cs="宋体"/>
          <w:spacing w:val="-6"/>
          <w:sz w:val="24"/>
          <w:szCs w:val="24"/>
        </w:rPr>
        <w:t>本项目环境风险潜势为</w:t>
      </w:r>
      <w:r>
        <w:rPr>
          <w:rFonts w:ascii="宋体" w:hAnsi="宋体" w:eastAsia="宋体" w:cs="宋体"/>
          <w:spacing w:val="-15"/>
          <w:sz w:val="24"/>
          <w:szCs w:val="24"/>
        </w:rPr>
        <w:t xml:space="preserve"> </w:t>
      </w:r>
      <w:r>
        <w:rPr>
          <w:rFonts w:ascii="宋体" w:hAnsi="宋体" w:eastAsia="宋体" w:cs="宋体"/>
          <w:spacing w:val="-6"/>
          <w:sz w:val="24"/>
          <w:szCs w:val="24"/>
        </w:rPr>
        <w:t>Ⅰ</w:t>
      </w:r>
      <w:r>
        <w:rPr>
          <w:rFonts w:ascii="宋体" w:hAnsi="宋体" w:eastAsia="宋体" w:cs="宋体"/>
          <w:spacing w:val="-94"/>
          <w:sz w:val="24"/>
          <w:szCs w:val="24"/>
        </w:rPr>
        <w:t xml:space="preserve"> </w:t>
      </w:r>
      <w:r>
        <w:rPr>
          <w:rFonts w:ascii="宋体" w:hAnsi="宋体" w:eastAsia="宋体" w:cs="宋体"/>
          <w:spacing w:val="-6"/>
          <w:sz w:val="24"/>
          <w:szCs w:val="24"/>
        </w:rPr>
        <w:t>,</w:t>
      </w:r>
      <w:r>
        <w:rPr>
          <w:rFonts w:ascii="宋体" w:hAnsi="宋体" w:eastAsia="宋体" w:cs="宋体"/>
          <w:spacing w:val="61"/>
          <w:sz w:val="24"/>
          <w:szCs w:val="24"/>
        </w:rPr>
        <w:t xml:space="preserve"> </w:t>
      </w:r>
      <w:r>
        <w:rPr>
          <w:rFonts w:ascii="宋体" w:hAnsi="宋体" w:eastAsia="宋体" w:cs="宋体"/>
          <w:spacing w:val="-6"/>
          <w:sz w:val="24"/>
          <w:szCs w:val="24"/>
        </w:rPr>
        <w:t>环境风险等级低于三级，在做好上述各项防范措施</w:t>
      </w:r>
      <w:r>
        <w:rPr>
          <w:rFonts w:ascii="宋体" w:hAnsi="宋体" w:eastAsia="宋体" w:cs="宋体"/>
          <w:sz w:val="24"/>
          <w:szCs w:val="24"/>
        </w:rPr>
        <w:t xml:space="preserve"> </w:t>
      </w:r>
      <w:r>
        <w:rPr>
          <w:rFonts w:ascii="宋体" w:hAnsi="宋体" w:eastAsia="宋体" w:cs="宋体"/>
          <w:spacing w:val="-1"/>
          <w:sz w:val="24"/>
          <w:szCs w:val="24"/>
        </w:rPr>
        <w:t>后，本项目生产过程的环境风险是可控的。</w:t>
      </w:r>
    </w:p>
    <w:p w14:paraId="092E950B">
      <w:pPr>
        <w:spacing w:before="7" w:line="228" w:lineRule="auto"/>
        <w:ind w:left="2691"/>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b/>
          <w:bCs/>
          <w:spacing w:val="6"/>
          <w:sz w:val="20"/>
          <w:szCs w:val="20"/>
        </w:rPr>
        <w:t xml:space="preserve">5.2-20 </w:t>
      </w:r>
      <w:r>
        <w:rPr>
          <w:rFonts w:ascii="宋体" w:hAnsi="宋体" w:eastAsia="宋体" w:cs="宋体"/>
          <w:b/>
          <w:bCs/>
          <w:spacing w:val="6"/>
          <w:sz w:val="20"/>
          <w:szCs w:val="20"/>
        </w:rPr>
        <w:t>建设项目环境风险简单分析内容表</w:t>
      </w:r>
    </w:p>
    <w:p w14:paraId="7A457344">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96"/>
        <w:gridCol w:w="1624"/>
        <w:gridCol w:w="1758"/>
        <w:gridCol w:w="1624"/>
        <w:gridCol w:w="1748"/>
      </w:tblGrid>
      <w:tr w14:paraId="635AF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196" w:type="dxa"/>
            <w:vAlign w:val="top"/>
          </w:tcPr>
          <w:p w14:paraId="23E300D6">
            <w:pPr>
              <w:pStyle w:val="6"/>
              <w:spacing w:before="62" w:line="229" w:lineRule="auto"/>
              <w:ind w:left="476"/>
            </w:pPr>
            <w:r>
              <w:rPr>
                <w:spacing w:val="7"/>
              </w:rPr>
              <w:t>建设项目名称</w:t>
            </w:r>
          </w:p>
        </w:tc>
        <w:tc>
          <w:tcPr>
            <w:tcW w:w="6754" w:type="dxa"/>
            <w:gridSpan w:val="4"/>
            <w:vAlign w:val="top"/>
          </w:tcPr>
          <w:p w14:paraId="156B4267">
            <w:pPr>
              <w:pStyle w:val="6"/>
              <w:spacing w:before="62" w:line="228" w:lineRule="auto"/>
              <w:ind w:left="1388"/>
            </w:pPr>
            <w:r>
              <w:rPr>
                <w:spacing w:val="9"/>
              </w:rPr>
              <w:t>汕尾市天磊联信种养有限公司生猪养殖项目</w:t>
            </w:r>
          </w:p>
        </w:tc>
      </w:tr>
      <w:tr w14:paraId="0EC1D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196" w:type="dxa"/>
            <w:vAlign w:val="top"/>
          </w:tcPr>
          <w:p w14:paraId="7B081293">
            <w:pPr>
              <w:pStyle w:val="6"/>
              <w:spacing w:before="58" w:line="230" w:lineRule="auto"/>
              <w:ind w:left="685"/>
            </w:pPr>
            <w:r>
              <w:rPr>
                <w:spacing w:val="6"/>
              </w:rPr>
              <w:t>建设地点</w:t>
            </w:r>
          </w:p>
        </w:tc>
        <w:tc>
          <w:tcPr>
            <w:tcW w:w="6754" w:type="dxa"/>
            <w:gridSpan w:val="4"/>
            <w:vAlign w:val="top"/>
          </w:tcPr>
          <w:p w14:paraId="6A7CF8DC">
            <w:pPr>
              <w:pStyle w:val="6"/>
              <w:spacing w:before="58" w:line="228" w:lineRule="auto"/>
              <w:ind w:left="2017"/>
            </w:pPr>
            <w:r>
              <w:rPr>
                <w:spacing w:val="9"/>
              </w:rPr>
              <w:t>汕尾市天磊联信种养有限公司</w:t>
            </w:r>
          </w:p>
        </w:tc>
      </w:tr>
      <w:tr w14:paraId="34F11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196" w:type="dxa"/>
            <w:vAlign w:val="top"/>
          </w:tcPr>
          <w:p w14:paraId="07AFE724">
            <w:pPr>
              <w:pStyle w:val="6"/>
              <w:spacing w:before="58" w:line="229" w:lineRule="auto"/>
              <w:ind w:left="683"/>
            </w:pPr>
            <w:r>
              <w:rPr>
                <w:spacing w:val="7"/>
              </w:rPr>
              <w:t>地理坐标</w:t>
            </w:r>
          </w:p>
        </w:tc>
        <w:tc>
          <w:tcPr>
            <w:tcW w:w="1624" w:type="dxa"/>
            <w:vAlign w:val="top"/>
          </w:tcPr>
          <w:p w14:paraId="6B75B687">
            <w:pPr>
              <w:pStyle w:val="6"/>
              <w:spacing w:before="58" w:line="229" w:lineRule="auto"/>
              <w:ind w:left="608"/>
            </w:pPr>
            <w:r>
              <w:rPr>
                <w:spacing w:val="3"/>
              </w:rPr>
              <w:t>经度</w:t>
            </w:r>
          </w:p>
        </w:tc>
        <w:tc>
          <w:tcPr>
            <w:tcW w:w="1758" w:type="dxa"/>
            <w:vAlign w:val="top"/>
          </w:tcPr>
          <w:p w14:paraId="560B6595">
            <w:pPr>
              <w:spacing w:before="27" w:line="274" w:lineRule="exact"/>
              <w:ind w:left="36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115.407802°</w:t>
            </w:r>
          </w:p>
        </w:tc>
        <w:tc>
          <w:tcPr>
            <w:tcW w:w="1624" w:type="dxa"/>
            <w:vAlign w:val="top"/>
          </w:tcPr>
          <w:p w14:paraId="6B5DF5DD">
            <w:pPr>
              <w:pStyle w:val="6"/>
              <w:spacing w:before="58" w:line="229" w:lineRule="auto"/>
              <w:ind w:left="609"/>
            </w:pPr>
            <w:r>
              <w:rPr>
                <w:spacing w:val="4"/>
              </w:rPr>
              <w:t>纬度</w:t>
            </w:r>
          </w:p>
        </w:tc>
        <w:tc>
          <w:tcPr>
            <w:tcW w:w="1748" w:type="dxa"/>
            <w:vAlign w:val="top"/>
          </w:tcPr>
          <w:p w14:paraId="214DC1C2">
            <w:pPr>
              <w:spacing w:before="27" w:line="274" w:lineRule="exact"/>
              <w:ind w:left="38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23.034166°</w:t>
            </w:r>
          </w:p>
        </w:tc>
      </w:tr>
      <w:tr w14:paraId="6718E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196" w:type="dxa"/>
            <w:vAlign w:val="top"/>
          </w:tcPr>
          <w:p w14:paraId="6E65EDFB">
            <w:pPr>
              <w:pStyle w:val="6"/>
              <w:spacing w:before="57" w:line="228" w:lineRule="auto"/>
              <w:ind w:left="161"/>
            </w:pPr>
            <w:r>
              <w:rPr>
                <w:spacing w:val="8"/>
              </w:rPr>
              <w:t>主要危险物质及分布</w:t>
            </w:r>
          </w:p>
        </w:tc>
        <w:tc>
          <w:tcPr>
            <w:tcW w:w="6754" w:type="dxa"/>
            <w:gridSpan w:val="4"/>
            <w:vAlign w:val="top"/>
          </w:tcPr>
          <w:p w14:paraId="53F08094">
            <w:pPr>
              <w:spacing w:before="27" w:line="274" w:lineRule="exact"/>
              <w:ind w:left="33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C6F6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2196" w:type="dxa"/>
            <w:vAlign w:val="top"/>
          </w:tcPr>
          <w:p w14:paraId="03FFF9C0">
            <w:pPr>
              <w:spacing w:line="318" w:lineRule="auto"/>
              <w:rPr>
                <w:rFonts w:ascii="Arial"/>
                <w:sz w:val="21"/>
              </w:rPr>
            </w:pPr>
          </w:p>
          <w:p w14:paraId="6D93AFBA">
            <w:pPr>
              <w:pStyle w:val="6"/>
              <w:spacing w:before="65" w:line="228" w:lineRule="auto"/>
              <w:ind w:left="159"/>
            </w:pPr>
            <w:r>
              <w:rPr>
                <w:spacing w:val="8"/>
              </w:rPr>
              <w:t>环境影响途径及危害</w:t>
            </w:r>
          </w:p>
          <w:p w14:paraId="1D667C03">
            <w:pPr>
              <w:pStyle w:val="6"/>
              <w:spacing w:before="79" w:line="228" w:lineRule="auto"/>
              <w:ind w:right="12"/>
              <w:jc w:val="right"/>
            </w:pPr>
            <w:r>
              <w:rPr>
                <w:spacing w:val="5"/>
              </w:rPr>
              <w:t>后果（大气、地表水、</w:t>
            </w:r>
          </w:p>
          <w:p w14:paraId="2D6261EB">
            <w:pPr>
              <w:pStyle w:val="6"/>
              <w:spacing w:before="79" w:line="228" w:lineRule="auto"/>
              <w:ind w:left="579"/>
            </w:pPr>
            <w:r>
              <w:rPr>
                <w:spacing w:val="5"/>
              </w:rPr>
              <w:t>地下水等）</w:t>
            </w:r>
          </w:p>
        </w:tc>
        <w:tc>
          <w:tcPr>
            <w:tcW w:w="6754" w:type="dxa"/>
            <w:gridSpan w:val="4"/>
            <w:vAlign w:val="top"/>
          </w:tcPr>
          <w:p w14:paraId="590E718A">
            <w:pPr>
              <w:pStyle w:val="6"/>
              <w:spacing w:before="27" w:line="274" w:lineRule="exact"/>
              <w:ind w:left="122"/>
            </w:pPr>
            <w:r>
              <w:rPr>
                <w:spacing w:val="8"/>
                <w:position w:val="1"/>
              </w:rPr>
              <w:t>（</w:t>
            </w:r>
            <w:r>
              <w:rPr>
                <w:rFonts w:ascii="Times New Roman" w:hAnsi="Times New Roman" w:eastAsia="Times New Roman" w:cs="Times New Roman"/>
                <w:spacing w:val="8"/>
                <w:position w:val="1"/>
              </w:rPr>
              <w:t>1</w:t>
            </w:r>
            <w:r>
              <w:rPr>
                <w:spacing w:val="8"/>
                <w:position w:val="1"/>
              </w:rPr>
              <w:t>）粪污事故性排放风险</w:t>
            </w:r>
          </w:p>
          <w:p w14:paraId="49914B11">
            <w:pPr>
              <w:pStyle w:val="6"/>
              <w:spacing w:before="83" w:line="228" w:lineRule="auto"/>
              <w:ind w:right="13"/>
              <w:jc w:val="right"/>
            </w:pPr>
            <w:r>
              <w:rPr>
                <w:spacing w:val="7"/>
              </w:rPr>
              <w:t>项目粪污管线及构筑物泄漏排放到周边环境，造成土壤及地下</w:t>
            </w:r>
            <w:r>
              <w:rPr>
                <w:spacing w:val="6"/>
              </w:rPr>
              <w:t>水体污染。</w:t>
            </w:r>
          </w:p>
          <w:p w14:paraId="0AFA6E0B">
            <w:pPr>
              <w:pStyle w:val="6"/>
              <w:spacing w:before="48" w:line="274" w:lineRule="exact"/>
              <w:ind w:left="122"/>
            </w:pPr>
            <w:r>
              <w:rPr>
                <w:spacing w:val="7"/>
                <w:position w:val="1"/>
              </w:rPr>
              <w:t>（</w:t>
            </w:r>
            <w:r>
              <w:rPr>
                <w:rFonts w:ascii="Times New Roman" w:hAnsi="Times New Roman" w:eastAsia="Times New Roman" w:cs="Times New Roman"/>
                <w:spacing w:val="7"/>
                <w:position w:val="1"/>
              </w:rPr>
              <w:t>3</w:t>
            </w:r>
            <w:r>
              <w:rPr>
                <w:spacing w:val="7"/>
                <w:position w:val="1"/>
              </w:rPr>
              <w:t>）动物病疫事故风险</w:t>
            </w:r>
          </w:p>
          <w:p w14:paraId="28023497">
            <w:pPr>
              <w:pStyle w:val="6"/>
              <w:spacing w:before="83" w:line="270" w:lineRule="auto"/>
              <w:ind w:left="111" w:right="110" w:firstLine="7"/>
            </w:pPr>
            <w:r>
              <w:rPr>
                <w:spacing w:val="10"/>
              </w:rPr>
              <w:t>患人畜共患的传染病的猪和工作人员接触后引发工作人员发病，病猪的</w:t>
            </w:r>
            <w:r>
              <w:rPr>
                <w:spacing w:val="8"/>
              </w:rPr>
              <w:t xml:space="preserve"> 猪粪和工作人员接触后引发工作人员发病。</w:t>
            </w:r>
          </w:p>
        </w:tc>
      </w:tr>
      <w:tr w14:paraId="6AE6D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4" w:hRule="atLeast"/>
        </w:trPr>
        <w:tc>
          <w:tcPr>
            <w:tcW w:w="2196" w:type="dxa"/>
            <w:vAlign w:val="top"/>
          </w:tcPr>
          <w:p w14:paraId="19C0F84A">
            <w:pPr>
              <w:spacing w:line="242" w:lineRule="auto"/>
              <w:rPr>
                <w:rFonts w:ascii="Arial"/>
                <w:sz w:val="21"/>
              </w:rPr>
            </w:pPr>
          </w:p>
          <w:p w14:paraId="4BF25ABE">
            <w:pPr>
              <w:spacing w:line="242" w:lineRule="auto"/>
              <w:rPr>
                <w:rFonts w:ascii="Arial"/>
                <w:sz w:val="21"/>
              </w:rPr>
            </w:pPr>
          </w:p>
          <w:p w14:paraId="136FBCA5">
            <w:pPr>
              <w:spacing w:line="242" w:lineRule="auto"/>
              <w:rPr>
                <w:rFonts w:ascii="Arial"/>
                <w:sz w:val="21"/>
              </w:rPr>
            </w:pPr>
          </w:p>
          <w:p w14:paraId="2873C15E">
            <w:pPr>
              <w:spacing w:line="242" w:lineRule="auto"/>
              <w:rPr>
                <w:rFonts w:ascii="Arial"/>
                <w:sz w:val="21"/>
              </w:rPr>
            </w:pPr>
          </w:p>
          <w:p w14:paraId="028A0314">
            <w:pPr>
              <w:spacing w:line="243" w:lineRule="auto"/>
              <w:rPr>
                <w:rFonts w:ascii="Arial"/>
                <w:sz w:val="21"/>
              </w:rPr>
            </w:pPr>
          </w:p>
          <w:p w14:paraId="37938493">
            <w:pPr>
              <w:pStyle w:val="6"/>
              <w:spacing w:before="65" w:line="229" w:lineRule="auto"/>
              <w:ind w:left="263"/>
            </w:pPr>
            <w:r>
              <w:rPr>
                <w:spacing w:val="8"/>
              </w:rPr>
              <w:t>风险防范措施要求</w:t>
            </w:r>
          </w:p>
        </w:tc>
        <w:tc>
          <w:tcPr>
            <w:tcW w:w="6754" w:type="dxa"/>
            <w:gridSpan w:val="4"/>
            <w:vAlign w:val="top"/>
          </w:tcPr>
          <w:p w14:paraId="4622A2A7">
            <w:pPr>
              <w:pStyle w:val="6"/>
              <w:spacing w:before="31" w:line="274" w:lineRule="exact"/>
              <w:ind w:left="122"/>
            </w:pPr>
            <w:r>
              <w:rPr>
                <w:spacing w:val="8"/>
                <w:position w:val="1"/>
              </w:rPr>
              <w:t>（</w:t>
            </w:r>
            <w:r>
              <w:rPr>
                <w:rFonts w:ascii="Times New Roman" w:hAnsi="Times New Roman" w:eastAsia="Times New Roman" w:cs="Times New Roman"/>
                <w:spacing w:val="8"/>
                <w:position w:val="1"/>
              </w:rPr>
              <w:t>1</w:t>
            </w:r>
            <w:r>
              <w:rPr>
                <w:spacing w:val="8"/>
                <w:position w:val="1"/>
              </w:rPr>
              <w:t>）粪污事故排放风险防范措施</w:t>
            </w:r>
          </w:p>
          <w:p w14:paraId="273D4BFA">
            <w:pPr>
              <w:pStyle w:val="6"/>
              <w:spacing w:before="83" w:line="301" w:lineRule="auto"/>
              <w:ind w:left="111" w:right="39" w:firstLine="3"/>
            </w:pPr>
            <w:r>
              <w:rPr>
                <w:spacing w:val="10"/>
              </w:rPr>
              <w:t>设置事故应急池；在生产区边界预先准备适量的沙包，在场界围墙有泄</w:t>
            </w:r>
            <w:r>
              <w:rPr>
                <w:spacing w:val="12"/>
              </w:rPr>
              <w:t xml:space="preserve"> </w:t>
            </w:r>
            <w:r>
              <w:rPr>
                <w:spacing w:val="10"/>
              </w:rPr>
              <w:t>漏的地方进行封堵，防止事故排放粪污向场外泄漏；在生产区和沼气池</w:t>
            </w:r>
            <w:r>
              <w:rPr>
                <w:spacing w:val="15"/>
              </w:rPr>
              <w:t xml:space="preserve"> </w:t>
            </w:r>
            <w:r>
              <w:rPr>
                <w:spacing w:val="6"/>
              </w:rPr>
              <w:t>四周设置环形的事故截流沟；对粪污处理系统应定期巡检、调节、保养、</w:t>
            </w:r>
            <w:r>
              <w:rPr>
                <w:spacing w:val="5"/>
              </w:rPr>
              <w:t xml:space="preserve"> </w:t>
            </w:r>
            <w:r>
              <w:rPr>
                <w:spacing w:val="9"/>
              </w:rPr>
              <w:t>维修，及时发现可能引起事故的异常运行苗头，消除事故隐患；</w:t>
            </w:r>
          </w:p>
          <w:p w14:paraId="4581E6AF">
            <w:pPr>
              <w:pStyle w:val="6"/>
              <w:spacing w:before="48" w:line="275" w:lineRule="exact"/>
              <w:ind w:left="122"/>
            </w:pPr>
            <w:r>
              <w:rPr>
                <w:spacing w:val="8"/>
                <w:position w:val="1"/>
              </w:rPr>
              <w:t>（</w:t>
            </w:r>
            <w:r>
              <w:rPr>
                <w:rFonts w:ascii="Times New Roman" w:hAnsi="Times New Roman" w:eastAsia="Times New Roman" w:cs="Times New Roman"/>
                <w:spacing w:val="8"/>
                <w:position w:val="1"/>
              </w:rPr>
              <w:t>2</w:t>
            </w:r>
            <w:r>
              <w:rPr>
                <w:spacing w:val="8"/>
                <w:position w:val="1"/>
              </w:rPr>
              <w:t>）动物疫情事故风险防范措施</w:t>
            </w:r>
          </w:p>
          <w:p w14:paraId="0D5D69E0">
            <w:pPr>
              <w:pStyle w:val="6"/>
              <w:spacing w:before="164" w:line="269" w:lineRule="auto"/>
              <w:ind w:left="112" w:right="110"/>
            </w:pPr>
            <w:r>
              <w:rPr>
                <w:spacing w:val="10"/>
              </w:rPr>
              <w:t>提高员工专业素质，增强防病观念；做好卫生管理和环境消毒；药物防</w:t>
            </w:r>
            <w:r>
              <w:rPr>
                <w:spacing w:val="15"/>
              </w:rPr>
              <w:t xml:space="preserve"> </w:t>
            </w:r>
            <w:r>
              <w:rPr>
                <w:spacing w:val="9"/>
              </w:rPr>
              <w:t>疫；猪的免疫接种；建立疫病报告制度；妥善处理病死猪尸体处置。</w:t>
            </w:r>
          </w:p>
        </w:tc>
      </w:tr>
      <w:tr w14:paraId="45EA7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950" w:type="dxa"/>
            <w:gridSpan w:val="5"/>
            <w:vAlign w:val="top"/>
          </w:tcPr>
          <w:p w14:paraId="01960013">
            <w:pPr>
              <w:pStyle w:val="6"/>
              <w:spacing w:before="33" w:line="274" w:lineRule="exact"/>
              <w:ind w:left="2091"/>
              <w:rPr>
                <w:rFonts w:ascii="Times New Roman" w:hAnsi="Times New Roman" w:eastAsia="Times New Roman" w:cs="Times New Roman"/>
              </w:rPr>
            </w:pPr>
            <w:r>
              <w:rPr>
                <w:spacing w:val="8"/>
                <w:position w:val="1"/>
              </w:rPr>
              <w:t>填表说明（列出项目相关信息及评价说明</w:t>
            </w:r>
            <w:r>
              <w:rPr>
                <w:spacing w:val="15"/>
                <w:position w:val="1"/>
              </w:rPr>
              <w:t>）：</w:t>
            </w:r>
            <w:r>
              <w:rPr>
                <w:spacing w:val="6"/>
                <w:position w:val="1"/>
              </w:rPr>
              <w:t xml:space="preserve">     </w:t>
            </w:r>
            <w:r>
              <w:rPr>
                <w:rFonts w:ascii="Times New Roman" w:hAnsi="Times New Roman" w:eastAsia="Times New Roman" w:cs="Times New Roman"/>
                <w:spacing w:val="8"/>
                <w:position w:val="1"/>
              </w:rPr>
              <w:t>/</w:t>
            </w:r>
          </w:p>
        </w:tc>
      </w:tr>
    </w:tbl>
    <w:p w14:paraId="17A55AB1">
      <w:pPr>
        <w:pStyle w:val="2"/>
      </w:pPr>
    </w:p>
    <w:p w14:paraId="0321F3A6">
      <w:pPr>
        <w:sectPr>
          <w:footerReference r:id="rId151" w:type="default"/>
          <w:pgSz w:w="11906" w:h="16839"/>
          <w:pgMar w:top="400" w:right="1475" w:bottom="1485" w:left="1475" w:header="0" w:footer="1249" w:gutter="0"/>
          <w:cols w:space="720" w:num="1"/>
        </w:sectPr>
      </w:pPr>
    </w:p>
    <w:p w14:paraId="0F85703D">
      <w:pPr>
        <w:pStyle w:val="2"/>
        <w:spacing w:line="250" w:lineRule="auto"/>
      </w:pPr>
    </w:p>
    <w:p w14:paraId="0C21DDFD">
      <w:pPr>
        <w:pStyle w:val="2"/>
        <w:spacing w:line="250" w:lineRule="auto"/>
      </w:pPr>
    </w:p>
    <w:p w14:paraId="1E82815B">
      <w:pPr>
        <w:pStyle w:val="2"/>
        <w:spacing w:line="250" w:lineRule="auto"/>
      </w:pPr>
    </w:p>
    <w:p w14:paraId="5F408A28">
      <w:pPr>
        <w:pStyle w:val="2"/>
        <w:spacing w:line="250" w:lineRule="auto"/>
      </w:pPr>
    </w:p>
    <w:p w14:paraId="0D270C89">
      <w:pPr>
        <w:spacing w:before="140" w:line="637" w:lineRule="exact"/>
        <w:ind w:left="1406"/>
        <w:outlineLvl w:val="0"/>
        <w:rPr>
          <w:rFonts w:ascii="黑体" w:hAnsi="黑体" w:eastAsia="黑体" w:cs="黑体"/>
          <w:sz w:val="43"/>
          <w:szCs w:val="43"/>
        </w:rPr>
      </w:pPr>
      <w:bookmarkStart w:id="37" w:name="bookmark33"/>
      <w:bookmarkEnd w:id="37"/>
      <w:bookmarkStart w:id="38" w:name="bookmark34"/>
      <w:bookmarkEnd w:id="38"/>
      <w:r>
        <w:rPr>
          <w:rFonts w:ascii="Calibri" w:hAnsi="Calibri" w:eastAsia="Calibri" w:cs="Calibri"/>
          <w:spacing w:val="7"/>
          <w:position w:val="3"/>
          <w:sz w:val="43"/>
          <w:szCs w:val="43"/>
        </w:rPr>
        <w:t>6</w:t>
      </w:r>
      <w:r>
        <w:rPr>
          <w:rFonts w:ascii="黑体" w:hAnsi="黑体" w:eastAsia="黑体" w:cs="黑体"/>
          <w:spacing w:val="7"/>
          <w:position w:val="3"/>
          <w:sz w:val="43"/>
          <w:szCs w:val="43"/>
        </w:rPr>
        <w:t>环境保护措施及其可行性论证</w:t>
      </w:r>
    </w:p>
    <w:p w14:paraId="7565EC25">
      <w:pPr>
        <w:pStyle w:val="2"/>
        <w:spacing w:line="414" w:lineRule="auto"/>
      </w:pPr>
    </w:p>
    <w:p w14:paraId="00B844DC">
      <w:pPr>
        <w:spacing w:before="101" w:line="225" w:lineRule="auto"/>
        <w:ind w:left="3"/>
        <w:outlineLvl w:val="1"/>
        <w:rPr>
          <w:rFonts w:ascii="宋体" w:hAnsi="宋体" w:eastAsia="宋体" w:cs="宋体"/>
          <w:sz w:val="31"/>
          <w:szCs w:val="31"/>
        </w:rPr>
      </w:pPr>
      <w:bookmarkStart w:id="39" w:name="bookmark62"/>
      <w:bookmarkEnd w:id="39"/>
      <w:r>
        <w:rPr>
          <w:rFonts w:ascii="Times New Roman" w:hAnsi="Times New Roman" w:eastAsia="Times New Roman" w:cs="Times New Roman"/>
          <w:b/>
          <w:bCs/>
          <w:spacing w:val="5"/>
          <w:sz w:val="31"/>
          <w:szCs w:val="31"/>
        </w:rPr>
        <w:t>6.1</w:t>
      </w:r>
      <w:r>
        <w:rPr>
          <w:rFonts w:ascii="宋体" w:hAnsi="宋体" w:eastAsia="宋体" w:cs="宋体"/>
          <w:b/>
          <w:bCs/>
          <w:spacing w:val="5"/>
          <w:sz w:val="31"/>
          <w:szCs w:val="31"/>
        </w:rPr>
        <w:t>地下水污染防治措施</w:t>
      </w:r>
    </w:p>
    <w:p w14:paraId="7E423A49">
      <w:pPr>
        <w:pStyle w:val="2"/>
        <w:spacing w:line="409" w:lineRule="auto"/>
      </w:pPr>
    </w:p>
    <w:p w14:paraId="73E3BFB7">
      <w:pPr>
        <w:spacing w:before="78" w:line="369" w:lineRule="auto"/>
        <w:ind w:right="78" w:firstLine="480"/>
        <w:jc w:val="both"/>
        <w:rPr>
          <w:rFonts w:ascii="宋体" w:hAnsi="宋体" w:eastAsia="宋体" w:cs="宋体"/>
          <w:sz w:val="24"/>
          <w:szCs w:val="24"/>
        </w:rPr>
      </w:pPr>
      <w:r>
        <w:rPr>
          <w:rFonts w:ascii="宋体" w:hAnsi="宋体" w:eastAsia="宋体" w:cs="宋体"/>
          <w:spacing w:val="2"/>
          <w:sz w:val="24"/>
          <w:szCs w:val="24"/>
        </w:rPr>
        <w:t>本项目设施均有防渗方面的要求，全部混凝土硬质化处理，正常情况下不会对</w:t>
      </w:r>
      <w:r>
        <w:rPr>
          <w:rFonts w:ascii="宋体" w:hAnsi="宋体" w:eastAsia="宋体" w:cs="宋体"/>
          <w:spacing w:val="9"/>
          <w:sz w:val="24"/>
          <w:szCs w:val="24"/>
        </w:rPr>
        <w:t xml:space="preserve"> </w:t>
      </w:r>
      <w:r>
        <w:rPr>
          <w:rFonts w:ascii="宋体" w:hAnsi="宋体" w:eastAsia="宋体" w:cs="宋体"/>
          <w:spacing w:val="2"/>
          <w:sz w:val="24"/>
          <w:szCs w:val="24"/>
        </w:rPr>
        <w:t>地下水排放污染物，另外由于开发活动导致地面硬质化，造成渗透力大大减小，可</w:t>
      </w:r>
      <w:r>
        <w:rPr>
          <w:rFonts w:ascii="宋体" w:hAnsi="宋体" w:eastAsia="宋体" w:cs="宋体"/>
          <w:spacing w:val="6"/>
          <w:sz w:val="24"/>
          <w:szCs w:val="24"/>
        </w:rPr>
        <w:t xml:space="preserve"> </w:t>
      </w:r>
      <w:r>
        <w:rPr>
          <w:rFonts w:ascii="宋体" w:hAnsi="宋体" w:eastAsia="宋体" w:cs="宋体"/>
          <w:spacing w:val="2"/>
          <w:sz w:val="24"/>
          <w:szCs w:val="24"/>
        </w:rPr>
        <w:t>使重点污染区单元防渗层渗透系数≤</w:t>
      </w:r>
      <w:r>
        <w:rPr>
          <w:rFonts w:ascii="Times New Roman" w:hAnsi="Times New Roman" w:eastAsia="Times New Roman" w:cs="Times New Roman"/>
          <w:spacing w:val="2"/>
          <w:sz w:val="24"/>
          <w:szCs w:val="24"/>
        </w:rPr>
        <w:t>10</w:t>
      </w:r>
      <w:r>
        <w:rPr>
          <w:rFonts w:ascii="Times New Roman" w:hAnsi="Times New Roman" w:eastAsia="Times New Roman" w:cs="Times New Roman"/>
          <w:sz w:val="24"/>
          <w:szCs w:val="24"/>
        </w:rPr>
        <w:t>cm</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，地面雨水中的污染物对地下水影响也</w:t>
      </w:r>
      <w:r>
        <w:rPr>
          <w:rFonts w:ascii="宋体" w:hAnsi="宋体" w:eastAsia="宋体" w:cs="宋体"/>
          <w:sz w:val="24"/>
          <w:szCs w:val="24"/>
        </w:rPr>
        <w:t xml:space="preserve"> </w:t>
      </w:r>
      <w:r>
        <w:rPr>
          <w:rFonts w:ascii="宋体" w:hAnsi="宋体" w:eastAsia="宋体" w:cs="宋体"/>
          <w:spacing w:val="-4"/>
          <w:sz w:val="24"/>
          <w:szCs w:val="24"/>
        </w:rPr>
        <w:t>减少。</w:t>
      </w:r>
    </w:p>
    <w:p w14:paraId="1D27DEEF">
      <w:pPr>
        <w:spacing w:line="361" w:lineRule="exact"/>
        <w:ind w:left="499"/>
        <w:rPr>
          <w:rFonts w:ascii="宋体" w:hAnsi="宋体" w:eastAsia="宋体" w:cs="宋体"/>
          <w:sz w:val="24"/>
          <w:szCs w:val="24"/>
        </w:rPr>
      </w:pPr>
      <w:r>
        <w:rPr>
          <w:rFonts w:ascii="Times New Roman" w:hAnsi="Times New Roman" w:eastAsia="Times New Roman" w:cs="Times New Roman"/>
          <w:spacing w:val="-7"/>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7"/>
          <w:position w:val="2"/>
          <w:sz w:val="24"/>
          <w:szCs w:val="24"/>
        </w:rPr>
        <w:t>、污染防治分区</w:t>
      </w:r>
    </w:p>
    <w:p w14:paraId="3610E629">
      <w:pPr>
        <w:spacing w:before="164" w:line="368" w:lineRule="auto"/>
        <w:ind w:left="1" w:right="73" w:firstLine="479"/>
        <w:rPr>
          <w:rFonts w:ascii="宋体" w:hAnsi="宋体" w:eastAsia="宋体" w:cs="宋体"/>
          <w:sz w:val="24"/>
          <w:szCs w:val="24"/>
        </w:rPr>
      </w:pPr>
      <w:r>
        <w:rPr>
          <w:rFonts w:ascii="宋体" w:hAnsi="宋体" w:eastAsia="宋体" w:cs="宋体"/>
          <w:spacing w:val="2"/>
          <w:sz w:val="24"/>
          <w:szCs w:val="24"/>
        </w:rPr>
        <w:t>根据各区域的特点可将项目区域划分为重点污染防治区、一般污染防治和非污</w:t>
      </w:r>
      <w:r>
        <w:rPr>
          <w:rFonts w:ascii="宋体" w:hAnsi="宋体" w:eastAsia="宋体" w:cs="宋体"/>
          <w:spacing w:val="10"/>
          <w:sz w:val="24"/>
          <w:szCs w:val="24"/>
        </w:rPr>
        <w:t xml:space="preserve"> </w:t>
      </w:r>
      <w:r>
        <w:rPr>
          <w:rFonts w:ascii="宋体" w:hAnsi="宋体" w:eastAsia="宋体" w:cs="宋体"/>
          <w:spacing w:val="2"/>
          <w:sz w:val="24"/>
          <w:szCs w:val="24"/>
        </w:rPr>
        <w:t>染防治区，针对不同的区域提出相应的防渗要求。项目防渗措施参照《石油化工程</w:t>
      </w:r>
      <w:r>
        <w:rPr>
          <w:rFonts w:ascii="宋体" w:hAnsi="宋体" w:eastAsia="宋体" w:cs="宋体"/>
          <w:spacing w:val="5"/>
          <w:sz w:val="24"/>
          <w:szCs w:val="24"/>
        </w:rPr>
        <w:t xml:space="preserve"> </w:t>
      </w:r>
      <w:r>
        <w:rPr>
          <w:rFonts w:ascii="宋体" w:hAnsi="宋体" w:eastAsia="宋体" w:cs="宋体"/>
          <w:spacing w:val="1"/>
          <w:sz w:val="24"/>
          <w:szCs w:val="24"/>
        </w:rPr>
        <w:t>防渗技术规范》（</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/T50934-2013</w:t>
      </w:r>
      <w:r>
        <w:rPr>
          <w:rFonts w:ascii="宋体" w:hAnsi="宋体" w:eastAsia="宋体" w:cs="宋体"/>
          <w:spacing w:val="1"/>
          <w:sz w:val="24"/>
          <w:szCs w:val="24"/>
        </w:rPr>
        <w:t>）、《一般工业固体废物贮存、处置场污染控制</w:t>
      </w:r>
      <w:r>
        <w:rPr>
          <w:rFonts w:ascii="宋体" w:hAnsi="宋体" w:eastAsia="宋体" w:cs="宋体"/>
          <w:spacing w:val="12"/>
          <w:sz w:val="24"/>
          <w:szCs w:val="24"/>
        </w:rPr>
        <w:t xml:space="preserve"> </w:t>
      </w:r>
      <w:r>
        <w:rPr>
          <w:rFonts w:ascii="宋体" w:hAnsi="宋体" w:eastAsia="宋体" w:cs="宋体"/>
          <w:sz w:val="24"/>
          <w:szCs w:val="24"/>
        </w:rPr>
        <w:t>标准》（</w:t>
      </w:r>
      <w:r>
        <w:rPr>
          <w:rFonts w:ascii="Times New Roman" w:hAnsi="Times New Roman" w:eastAsia="Times New Roman" w:cs="Times New Roman"/>
          <w:sz w:val="24"/>
          <w:szCs w:val="24"/>
        </w:rPr>
        <w:t>GB18599-2001</w:t>
      </w:r>
      <w:r>
        <w:rPr>
          <w:rFonts w:ascii="宋体" w:hAnsi="宋体" w:eastAsia="宋体" w:cs="宋体"/>
          <w:sz w:val="24"/>
          <w:szCs w:val="24"/>
        </w:rPr>
        <w:t>）和《危险废物贮存污</w:t>
      </w:r>
      <w:r>
        <w:rPr>
          <w:rFonts w:ascii="宋体" w:hAnsi="宋体" w:eastAsia="宋体" w:cs="宋体"/>
          <w:spacing w:val="-1"/>
          <w:sz w:val="24"/>
          <w:szCs w:val="24"/>
        </w:rPr>
        <w:t>染控制标准》（</w:t>
      </w:r>
      <w:r>
        <w:rPr>
          <w:rFonts w:ascii="Times New Roman" w:hAnsi="Times New Roman" w:eastAsia="Times New Roman" w:cs="Times New Roman"/>
          <w:spacing w:val="-1"/>
          <w:sz w:val="24"/>
          <w:szCs w:val="24"/>
        </w:rPr>
        <w:t>GB18597-2001</w:t>
      </w:r>
      <w:r>
        <w:rPr>
          <w:rFonts w:ascii="宋体" w:hAnsi="宋体" w:eastAsia="宋体" w:cs="宋体"/>
          <w:spacing w:val="-1"/>
          <w:sz w:val="24"/>
          <w:szCs w:val="24"/>
        </w:rPr>
        <w:t>）进行</w:t>
      </w:r>
      <w:r>
        <w:rPr>
          <w:rFonts w:ascii="宋体" w:hAnsi="宋体" w:eastAsia="宋体" w:cs="宋体"/>
          <w:sz w:val="24"/>
          <w:szCs w:val="24"/>
        </w:rPr>
        <w:t xml:space="preserve"> </w:t>
      </w:r>
      <w:r>
        <w:rPr>
          <w:rFonts w:ascii="宋体" w:hAnsi="宋体" w:eastAsia="宋体" w:cs="宋体"/>
          <w:spacing w:val="-3"/>
          <w:sz w:val="24"/>
          <w:szCs w:val="24"/>
        </w:rPr>
        <w:t>防渗设计。</w:t>
      </w:r>
    </w:p>
    <w:p w14:paraId="0447BD29">
      <w:pPr>
        <w:spacing w:before="17" w:line="361" w:lineRule="exact"/>
        <w:ind w:left="492"/>
        <w:outlineLvl w:val="0"/>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）重点污染防治区</w:t>
      </w:r>
    </w:p>
    <w:p w14:paraId="78C851D1">
      <w:pPr>
        <w:spacing w:before="165" w:line="369" w:lineRule="auto"/>
        <w:ind w:firstLine="482"/>
        <w:jc w:val="both"/>
        <w:rPr>
          <w:rFonts w:ascii="宋体" w:hAnsi="宋体" w:eastAsia="宋体" w:cs="宋体"/>
          <w:sz w:val="24"/>
          <w:szCs w:val="24"/>
        </w:rPr>
      </w:pPr>
      <w:r>
        <w:rPr>
          <w:rFonts w:ascii="宋体" w:hAnsi="宋体" w:eastAsia="宋体" w:cs="宋体"/>
          <w:spacing w:val="2"/>
          <w:sz w:val="24"/>
          <w:szCs w:val="24"/>
        </w:rPr>
        <w:t>指对地下水环境有污染的物料或泄漏后，不能及时发现和处理的区域部位重点</w:t>
      </w:r>
      <w:r>
        <w:rPr>
          <w:rFonts w:ascii="宋体" w:hAnsi="宋体" w:eastAsia="宋体" w:cs="宋体"/>
          <w:spacing w:val="7"/>
          <w:sz w:val="24"/>
          <w:szCs w:val="24"/>
        </w:rPr>
        <w:t xml:space="preserve"> </w:t>
      </w:r>
      <w:r>
        <w:rPr>
          <w:rFonts w:ascii="宋体" w:hAnsi="宋体" w:eastAsia="宋体" w:cs="宋体"/>
          <w:spacing w:val="-2"/>
          <w:sz w:val="24"/>
          <w:szCs w:val="24"/>
        </w:rPr>
        <w:t>污染防治区中的依托环保设施已按相关要求设计。污水管道、管沟</w:t>
      </w:r>
      <w:r>
        <w:rPr>
          <w:rFonts w:ascii="宋体" w:hAnsi="宋体" w:eastAsia="宋体" w:cs="宋体"/>
          <w:spacing w:val="-3"/>
          <w:sz w:val="24"/>
          <w:szCs w:val="24"/>
        </w:rPr>
        <w:t>、污水处理设施、</w:t>
      </w:r>
      <w:r>
        <w:rPr>
          <w:rFonts w:ascii="宋体" w:hAnsi="宋体" w:eastAsia="宋体" w:cs="宋体"/>
          <w:sz w:val="24"/>
          <w:szCs w:val="24"/>
        </w:rPr>
        <w:t xml:space="preserve"> </w:t>
      </w:r>
      <w:r>
        <w:rPr>
          <w:rFonts w:ascii="宋体" w:hAnsi="宋体" w:eastAsia="宋体" w:cs="宋体"/>
          <w:spacing w:val="1"/>
          <w:sz w:val="24"/>
          <w:szCs w:val="24"/>
        </w:rPr>
        <w:t>事故池的防渗措施应满足《石油化工程防渗技术规范》（</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/T50934-2013</w:t>
      </w:r>
      <w:r>
        <w:rPr>
          <w:rFonts w:ascii="宋体" w:hAnsi="宋体" w:eastAsia="宋体" w:cs="宋体"/>
          <w:spacing w:val="1"/>
          <w:sz w:val="24"/>
          <w:szCs w:val="24"/>
        </w:rPr>
        <w:t>）中的要</w:t>
      </w:r>
      <w:r>
        <w:rPr>
          <w:rFonts w:ascii="宋体" w:hAnsi="宋体" w:eastAsia="宋体" w:cs="宋体"/>
          <w:spacing w:val="13"/>
          <w:sz w:val="24"/>
          <w:szCs w:val="24"/>
        </w:rPr>
        <w:t xml:space="preserve"> </w:t>
      </w:r>
      <w:r>
        <w:rPr>
          <w:rFonts w:ascii="宋体" w:hAnsi="宋体" w:eastAsia="宋体" w:cs="宋体"/>
          <w:spacing w:val="-5"/>
          <w:sz w:val="24"/>
          <w:szCs w:val="24"/>
        </w:rPr>
        <w:t>求。</w:t>
      </w:r>
    </w:p>
    <w:p w14:paraId="5CCE24B5">
      <w:pPr>
        <w:spacing w:before="1" w:line="361" w:lineRule="exact"/>
        <w:ind w:left="492"/>
        <w:outlineLvl w:val="0"/>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）一般污染防治区</w:t>
      </w:r>
    </w:p>
    <w:p w14:paraId="79F06B7C">
      <w:pPr>
        <w:spacing w:before="163" w:line="369" w:lineRule="auto"/>
        <w:ind w:left="3" w:right="81" w:firstLine="480"/>
        <w:jc w:val="both"/>
        <w:rPr>
          <w:rFonts w:ascii="宋体" w:hAnsi="宋体" w:eastAsia="宋体" w:cs="宋体"/>
          <w:sz w:val="24"/>
          <w:szCs w:val="24"/>
        </w:rPr>
      </w:pPr>
      <w:r>
        <w:rPr>
          <w:rFonts w:ascii="宋体" w:hAnsi="宋体" w:eastAsia="宋体" w:cs="宋体"/>
          <w:spacing w:val="2"/>
          <w:sz w:val="24"/>
          <w:szCs w:val="24"/>
        </w:rPr>
        <w:t>指对地下水环境有污染的物料或泄漏后，可及时发现和处理的区域部位。主要</w:t>
      </w:r>
      <w:r>
        <w:rPr>
          <w:rFonts w:ascii="宋体" w:hAnsi="宋体" w:eastAsia="宋体" w:cs="宋体"/>
          <w:spacing w:val="7"/>
          <w:sz w:val="24"/>
          <w:szCs w:val="24"/>
        </w:rPr>
        <w:t xml:space="preserve"> </w:t>
      </w:r>
      <w:r>
        <w:rPr>
          <w:rFonts w:ascii="宋体" w:hAnsi="宋体" w:eastAsia="宋体" w:cs="宋体"/>
          <w:spacing w:val="-9"/>
          <w:sz w:val="24"/>
          <w:szCs w:val="24"/>
        </w:rPr>
        <w:t>为</w:t>
      </w:r>
      <w:r>
        <w:rPr>
          <w:rFonts w:ascii="宋体" w:hAnsi="宋体" w:eastAsia="宋体" w:cs="宋体"/>
          <w:spacing w:val="-67"/>
          <w:sz w:val="24"/>
          <w:szCs w:val="24"/>
        </w:rPr>
        <w:t xml:space="preserve"> </w:t>
      </w:r>
      <w:r>
        <w:rPr>
          <w:rFonts w:ascii="宋体" w:hAnsi="宋体" w:eastAsia="宋体" w:cs="宋体"/>
          <w:spacing w:val="-9"/>
          <w:sz w:val="24"/>
          <w:szCs w:val="24"/>
        </w:rPr>
        <w:t>猪</w:t>
      </w:r>
      <w:r>
        <w:rPr>
          <w:rFonts w:ascii="宋体" w:hAnsi="宋体" w:eastAsia="宋体" w:cs="宋体"/>
          <w:spacing w:val="-67"/>
          <w:sz w:val="24"/>
          <w:szCs w:val="24"/>
        </w:rPr>
        <w:t xml:space="preserve"> </w:t>
      </w:r>
      <w:r>
        <w:rPr>
          <w:rFonts w:ascii="宋体" w:hAnsi="宋体" w:eastAsia="宋体" w:cs="宋体"/>
          <w:spacing w:val="-9"/>
          <w:sz w:val="24"/>
          <w:szCs w:val="24"/>
        </w:rPr>
        <w:t>舍</w:t>
      </w:r>
      <w:r>
        <w:rPr>
          <w:rFonts w:ascii="宋体" w:hAnsi="宋体" w:eastAsia="宋体" w:cs="宋体"/>
          <w:spacing w:val="-65"/>
          <w:sz w:val="24"/>
          <w:szCs w:val="24"/>
        </w:rPr>
        <w:t xml:space="preserve"> </w:t>
      </w:r>
      <w:r>
        <w:rPr>
          <w:rFonts w:ascii="宋体" w:hAnsi="宋体" w:eastAsia="宋体" w:cs="宋体"/>
          <w:spacing w:val="-9"/>
          <w:sz w:val="24"/>
          <w:szCs w:val="24"/>
        </w:rPr>
        <w:t>等</w:t>
      </w:r>
      <w:r>
        <w:rPr>
          <w:rFonts w:ascii="宋体" w:hAnsi="宋体" w:eastAsia="宋体" w:cs="宋体"/>
          <w:spacing w:val="-44"/>
          <w:sz w:val="24"/>
          <w:szCs w:val="24"/>
        </w:rPr>
        <w:t xml:space="preserve"> </w:t>
      </w:r>
      <w:r>
        <w:rPr>
          <w:rFonts w:ascii="宋体" w:hAnsi="宋体" w:eastAsia="宋体" w:cs="宋体"/>
          <w:spacing w:val="-9"/>
          <w:sz w:val="24"/>
          <w:szCs w:val="24"/>
        </w:rPr>
        <w:t>。</w:t>
      </w:r>
      <w:r>
        <w:rPr>
          <w:rFonts w:ascii="宋体" w:hAnsi="宋体" w:eastAsia="宋体" w:cs="宋体"/>
          <w:spacing w:val="-65"/>
          <w:sz w:val="24"/>
          <w:szCs w:val="24"/>
        </w:rPr>
        <w:t xml:space="preserve"> </w:t>
      </w:r>
      <w:r>
        <w:rPr>
          <w:rFonts w:ascii="宋体" w:hAnsi="宋体" w:eastAsia="宋体" w:cs="宋体"/>
          <w:spacing w:val="-9"/>
          <w:sz w:val="24"/>
          <w:szCs w:val="24"/>
        </w:rPr>
        <w:t>一</w:t>
      </w:r>
      <w:r>
        <w:rPr>
          <w:rFonts w:ascii="宋体" w:hAnsi="宋体" w:eastAsia="宋体" w:cs="宋体"/>
          <w:spacing w:val="-71"/>
          <w:sz w:val="24"/>
          <w:szCs w:val="24"/>
        </w:rPr>
        <w:t xml:space="preserve"> </w:t>
      </w:r>
      <w:r>
        <w:rPr>
          <w:rFonts w:ascii="宋体" w:hAnsi="宋体" w:eastAsia="宋体" w:cs="宋体"/>
          <w:spacing w:val="-9"/>
          <w:sz w:val="24"/>
          <w:szCs w:val="24"/>
        </w:rPr>
        <w:t>般</w:t>
      </w:r>
      <w:r>
        <w:rPr>
          <w:rFonts w:ascii="宋体" w:hAnsi="宋体" w:eastAsia="宋体" w:cs="宋体"/>
          <w:spacing w:val="-65"/>
          <w:sz w:val="24"/>
          <w:szCs w:val="24"/>
        </w:rPr>
        <w:t xml:space="preserve"> </w:t>
      </w:r>
      <w:r>
        <w:rPr>
          <w:rFonts w:ascii="宋体" w:hAnsi="宋体" w:eastAsia="宋体" w:cs="宋体"/>
          <w:spacing w:val="-9"/>
          <w:sz w:val="24"/>
          <w:szCs w:val="24"/>
        </w:rPr>
        <w:t>污</w:t>
      </w:r>
      <w:r>
        <w:rPr>
          <w:rFonts w:ascii="宋体" w:hAnsi="宋体" w:eastAsia="宋体" w:cs="宋体"/>
          <w:spacing w:val="-64"/>
          <w:sz w:val="24"/>
          <w:szCs w:val="24"/>
        </w:rPr>
        <w:t xml:space="preserve"> </w:t>
      </w:r>
      <w:r>
        <w:rPr>
          <w:rFonts w:ascii="宋体" w:hAnsi="宋体" w:eastAsia="宋体" w:cs="宋体"/>
          <w:spacing w:val="-9"/>
          <w:sz w:val="24"/>
          <w:szCs w:val="24"/>
        </w:rPr>
        <w:t>染</w:t>
      </w:r>
      <w:r>
        <w:rPr>
          <w:rFonts w:ascii="宋体" w:hAnsi="宋体" w:eastAsia="宋体" w:cs="宋体"/>
          <w:spacing w:val="-52"/>
          <w:sz w:val="24"/>
          <w:szCs w:val="24"/>
        </w:rPr>
        <w:t xml:space="preserve"> </w:t>
      </w:r>
      <w:r>
        <w:rPr>
          <w:rFonts w:ascii="宋体" w:hAnsi="宋体" w:eastAsia="宋体" w:cs="宋体"/>
          <w:spacing w:val="-9"/>
          <w:sz w:val="24"/>
          <w:szCs w:val="24"/>
        </w:rPr>
        <w:t>防</w:t>
      </w:r>
      <w:r>
        <w:rPr>
          <w:rFonts w:ascii="宋体" w:hAnsi="宋体" w:eastAsia="宋体" w:cs="宋体"/>
          <w:spacing w:val="-62"/>
          <w:sz w:val="24"/>
          <w:szCs w:val="24"/>
        </w:rPr>
        <w:t xml:space="preserve"> </w:t>
      </w:r>
      <w:r>
        <w:rPr>
          <w:rFonts w:ascii="宋体" w:hAnsi="宋体" w:eastAsia="宋体" w:cs="宋体"/>
          <w:spacing w:val="-9"/>
          <w:sz w:val="24"/>
          <w:szCs w:val="24"/>
        </w:rPr>
        <w:t>治区</w:t>
      </w:r>
      <w:r>
        <w:rPr>
          <w:rFonts w:ascii="宋体" w:hAnsi="宋体" w:eastAsia="宋体" w:cs="宋体"/>
          <w:spacing w:val="-67"/>
          <w:sz w:val="24"/>
          <w:szCs w:val="24"/>
        </w:rPr>
        <w:t xml:space="preserve"> </w:t>
      </w:r>
      <w:r>
        <w:rPr>
          <w:rFonts w:ascii="宋体" w:hAnsi="宋体" w:eastAsia="宋体" w:cs="宋体"/>
          <w:spacing w:val="-9"/>
          <w:sz w:val="24"/>
          <w:szCs w:val="24"/>
        </w:rPr>
        <w:t>地</w:t>
      </w:r>
      <w:r>
        <w:rPr>
          <w:rFonts w:ascii="宋体" w:hAnsi="宋体" w:eastAsia="宋体" w:cs="宋体"/>
          <w:spacing w:val="-67"/>
          <w:sz w:val="24"/>
          <w:szCs w:val="24"/>
        </w:rPr>
        <w:t xml:space="preserve"> </w:t>
      </w:r>
      <w:r>
        <w:rPr>
          <w:rFonts w:ascii="宋体" w:hAnsi="宋体" w:eastAsia="宋体" w:cs="宋体"/>
          <w:spacing w:val="-9"/>
          <w:sz w:val="24"/>
          <w:szCs w:val="24"/>
        </w:rPr>
        <w:t>面</w:t>
      </w:r>
      <w:r>
        <w:rPr>
          <w:rFonts w:ascii="宋体" w:hAnsi="宋体" w:eastAsia="宋体" w:cs="宋体"/>
          <w:spacing w:val="-52"/>
          <w:sz w:val="24"/>
          <w:szCs w:val="24"/>
        </w:rPr>
        <w:t xml:space="preserve"> </w:t>
      </w:r>
      <w:r>
        <w:rPr>
          <w:rFonts w:ascii="宋体" w:hAnsi="宋体" w:eastAsia="宋体" w:cs="宋体"/>
          <w:spacing w:val="-9"/>
          <w:sz w:val="24"/>
          <w:szCs w:val="24"/>
        </w:rPr>
        <w:t>防</w:t>
      </w:r>
      <w:r>
        <w:rPr>
          <w:rFonts w:ascii="宋体" w:hAnsi="宋体" w:eastAsia="宋体" w:cs="宋体"/>
          <w:spacing w:val="-67"/>
          <w:sz w:val="24"/>
          <w:szCs w:val="24"/>
        </w:rPr>
        <w:t xml:space="preserve"> </w:t>
      </w:r>
      <w:r>
        <w:rPr>
          <w:rFonts w:ascii="宋体" w:hAnsi="宋体" w:eastAsia="宋体" w:cs="宋体"/>
          <w:spacing w:val="-9"/>
          <w:sz w:val="24"/>
          <w:szCs w:val="24"/>
        </w:rPr>
        <w:t>渗</w:t>
      </w:r>
      <w:r>
        <w:rPr>
          <w:rFonts w:ascii="宋体" w:hAnsi="宋体" w:eastAsia="宋体" w:cs="宋体"/>
          <w:spacing w:val="-65"/>
          <w:sz w:val="24"/>
          <w:szCs w:val="24"/>
        </w:rPr>
        <w:t xml:space="preserve"> </w:t>
      </w:r>
      <w:r>
        <w:rPr>
          <w:rFonts w:ascii="宋体" w:hAnsi="宋体" w:eastAsia="宋体" w:cs="宋体"/>
          <w:spacing w:val="-9"/>
          <w:sz w:val="24"/>
          <w:szCs w:val="24"/>
        </w:rPr>
        <w:t>参</w:t>
      </w:r>
      <w:r>
        <w:rPr>
          <w:rFonts w:ascii="宋体" w:hAnsi="宋体" w:eastAsia="宋体" w:cs="宋体"/>
          <w:spacing w:val="-67"/>
          <w:sz w:val="24"/>
          <w:szCs w:val="24"/>
        </w:rPr>
        <w:t xml:space="preserve"> </w:t>
      </w:r>
      <w:r>
        <w:rPr>
          <w:rFonts w:ascii="宋体" w:hAnsi="宋体" w:eastAsia="宋体" w:cs="宋体"/>
          <w:spacing w:val="-9"/>
          <w:sz w:val="24"/>
          <w:szCs w:val="24"/>
        </w:rPr>
        <w:t>照《</w:t>
      </w:r>
      <w:r>
        <w:rPr>
          <w:rFonts w:ascii="宋体" w:hAnsi="宋体" w:eastAsia="宋体" w:cs="宋体"/>
          <w:spacing w:val="-43"/>
          <w:sz w:val="24"/>
          <w:szCs w:val="24"/>
        </w:rPr>
        <w:t xml:space="preserve"> </w:t>
      </w:r>
      <w:r>
        <w:rPr>
          <w:rFonts w:ascii="宋体" w:hAnsi="宋体" w:eastAsia="宋体" w:cs="宋体"/>
          <w:spacing w:val="-9"/>
          <w:sz w:val="24"/>
          <w:szCs w:val="24"/>
        </w:rPr>
        <w:t>石</w:t>
      </w:r>
      <w:r>
        <w:rPr>
          <w:rFonts w:ascii="宋体" w:hAnsi="宋体" w:eastAsia="宋体" w:cs="宋体"/>
          <w:spacing w:val="-63"/>
          <w:sz w:val="24"/>
          <w:szCs w:val="24"/>
        </w:rPr>
        <w:t xml:space="preserve"> </w:t>
      </w:r>
      <w:r>
        <w:rPr>
          <w:rFonts w:ascii="宋体" w:hAnsi="宋体" w:eastAsia="宋体" w:cs="宋体"/>
          <w:spacing w:val="-9"/>
          <w:sz w:val="24"/>
          <w:szCs w:val="24"/>
        </w:rPr>
        <w:t>油</w:t>
      </w:r>
      <w:r>
        <w:rPr>
          <w:rFonts w:ascii="宋体" w:hAnsi="宋体" w:eastAsia="宋体" w:cs="宋体"/>
          <w:spacing w:val="-67"/>
          <w:sz w:val="24"/>
          <w:szCs w:val="24"/>
        </w:rPr>
        <w:t xml:space="preserve"> </w:t>
      </w:r>
      <w:r>
        <w:rPr>
          <w:rFonts w:ascii="宋体" w:hAnsi="宋体" w:eastAsia="宋体" w:cs="宋体"/>
          <w:spacing w:val="-9"/>
          <w:sz w:val="24"/>
          <w:szCs w:val="24"/>
        </w:rPr>
        <w:t>化</w:t>
      </w:r>
      <w:r>
        <w:rPr>
          <w:rFonts w:ascii="宋体" w:hAnsi="宋体" w:eastAsia="宋体" w:cs="宋体"/>
          <w:spacing w:val="-64"/>
          <w:sz w:val="24"/>
          <w:szCs w:val="24"/>
        </w:rPr>
        <w:t xml:space="preserve"> </w:t>
      </w:r>
      <w:r>
        <w:rPr>
          <w:rFonts w:ascii="宋体" w:hAnsi="宋体" w:eastAsia="宋体" w:cs="宋体"/>
          <w:spacing w:val="-9"/>
          <w:sz w:val="24"/>
          <w:szCs w:val="24"/>
        </w:rPr>
        <w:t>工</w:t>
      </w:r>
      <w:r>
        <w:rPr>
          <w:rFonts w:ascii="宋体" w:hAnsi="宋体" w:eastAsia="宋体" w:cs="宋体"/>
          <w:spacing w:val="-69"/>
          <w:sz w:val="24"/>
          <w:szCs w:val="24"/>
        </w:rPr>
        <w:t xml:space="preserve"> </w:t>
      </w:r>
      <w:r>
        <w:rPr>
          <w:rFonts w:ascii="宋体" w:hAnsi="宋体" w:eastAsia="宋体" w:cs="宋体"/>
          <w:spacing w:val="-9"/>
          <w:sz w:val="24"/>
          <w:szCs w:val="24"/>
        </w:rPr>
        <w:t>程</w:t>
      </w:r>
      <w:r>
        <w:rPr>
          <w:rFonts w:ascii="宋体" w:hAnsi="宋体" w:eastAsia="宋体" w:cs="宋体"/>
          <w:spacing w:val="-52"/>
          <w:sz w:val="24"/>
          <w:szCs w:val="24"/>
        </w:rPr>
        <w:t xml:space="preserve"> </w:t>
      </w:r>
      <w:r>
        <w:rPr>
          <w:rFonts w:ascii="宋体" w:hAnsi="宋体" w:eastAsia="宋体" w:cs="宋体"/>
          <w:spacing w:val="-9"/>
          <w:sz w:val="24"/>
          <w:szCs w:val="24"/>
        </w:rPr>
        <w:t>防</w:t>
      </w:r>
      <w:r>
        <w:rPr>
          <w:rFonts w:ascii="宋体" w:hAnsi="宋体" w:eastAsia="宋体" w:cs="宋体"/>
          <w:spacing w:val="-66"/>
          <w:sz w:val="24"/>
          <w:szCs w:val="24"/>
        </w:rPr>
        <w:t xml:space="preserve"> </w:t>
      </w:r>
      <w:r>
        <w:rPr>
          <w:rFonts w:ascii="宋体" w:hAnsi="宋体" w:eastAsia="宋体" w:cs="宋体"/>
          <w:spacing w:val="-9"/>
          <w:sz w:val="24"/>
          <w:szCs w:val="24"/>
        </w:rPr>
        <w:t>渗</w:t>
      </w:r>
      <w:r>
        <w:rPr>
          <w:rFonts w:ascii="宋体" w:hAnsi="宋体" w:eastAsia="宋体" w:cs="宋体"/>
          <w:spacing w:val="-67"/>
          <w:sz w:val="24"/>
          <w:szCs w:val="24"/>
        </w:rPr>
        <w:t xml:space="preserve"> </w:t>
      </w:r>
      <w:r>
        <w:rPr>
          <w:rFonts w:ascii="宋体" w:hAnsi="宋体" w:eastAsia="宋体" w:cs="宋体"/>
          <w:spacing w:val="-9"/>
          <w:sz w:val="24"/>
          <w:szCs w:val="24"/>
        </w:rPr>
        <w:t>技</w:t>
      </w:r>
      <w:r>
        <w:rPr>
          <w:rFonts w:ascii="宋体" w:hAnsi="宋体" w:eastAsia="宋体" w:cs="宋体"/>
          <w:spacing w:val="-65"/>
          <w:sz w:val="24"/>
          <w:szCs w:val="24"/>
        </w:rPr>
        <w:t xml:space="preserve"> </w:t>
      </w:r>
      <w:r>
        <w:rPr>
          <w:rFonts w:ascii="宋体" w:hAnsi="宋体" w:eastAsia="宋体" w:cs="宋体"/>
          <w:spacing w:val="-10"/>
          <w:sz w:val="24"/>
          <w:szCs w:val="24"/>
        </w:rPr>
        <w:t>术</w:t>
      </w:r>
      <w:r>
        <w:rPr>
          <w:rFonts w:ascii="宋体" w:hAnsi="宋体" w:eastAsia="宋体" w:cs="宋体"/>
          <w:spacing w:val="-67"/>
          <w:sz w:val="24"/>
          <w:szCs w:val="24"/>
        </w:rPr>
        <w:t xml:space="preserve"> </w:t>
      </w:r>
      <w:r>
        <w:rPr>
          <w:rFonts w:ascii="宋体" w:hAnsi="宋体" w:eastAsia="宋体" w:cs="宋体"/>
          <w:spacing w:val="-10"/>
          <w:sz w:val="24"/>
          <w:szCs w:val="24"/>
        </w:rPr>
        <w:t>规</w:t>
      </w:r>
      <w:r>
        <w:rPr>
          <w:rFonts w:ascii="宋体" w:hAnsi="宋体" w:eastAsia="宋体" w:cs="宋体"/>
          <w:spacing w:val="-62"/>
          <w:sz w:val="24"/>
          <w:szCs w:val="24"/>
        </w:rPr>
        <w:t xml:space="preserve"> </w:t>
      </w:r>
      <w:r>
        <w:rPr>
          <w:rFonts w:ascii="宋体" w:hAnsi="宋体" w:eastAsia="宋体" w:cs="宋体"/>
          <w:spacing w:val="-10"/>
          <w:sz w:val="24"/>
          <w:szCs w:val="24"/>
        </w:rPr>
        <w:t>范》</w:t>
      </w:r>
      <w:r>
        <w:rPr>
          <w:rFonts w:ascii="宋体" w:hAnsi="宋体" w:eastAsia="宋体" w:cs="宋体"/>
          <w:sz w:val="24"/>
          <w:szCs w:val="24"/>
        </w:rPr>
        <w:t xml:space="preserve"> </w:t>
      </w:r>
      <w:r>
        <w:rPr>
          <w:rFonts w:ascii="宋体" w:hAnsi="宋体" w:eastAsia="宋体" w:cs="宋体"/>
          <w:spacing w:val="-8"/>
          <w:sz w:val="24"/>
          <w:szCs w:val="24"/>
        </w:rPr>
        <w:t>（</w:t>
      </w:r>
      <w:r>
        <w:rPr>
          <w:rFonts w:ascii="宋体" w:hAnsi="宋体" w:eastAsia="宋体" w:cs="宋体"/>
          <w:spacing w:val="-71"/>
          <w:sz w:val="24"/>
          <w:szCs w:val="24"/>
        </w:rPr>
        <w:t xml:space="preserve"> </w:t>
      </w:r>
      <w:r>
        <w:rPr>
          <w:rFonts w:ascii="Times New Roman" w:hAnsi="Times New Roman" w:eastAsia="Times New Roman" w:cs="Times New Roman"/>
          <w:spacing w:val="-8"/>
          <w:sz w:val="24"/>
          <w:szCs w:val="24"/>
        </w:rPr>
        <w:t>GB/T50934-2013</w:t>
      </w:r>
      <w:r>
        <w:rPr>
          <w:rFonts w:ascii="Times New Roman" w:hAnsi="Times New Roman" w:eastAsia="Times New Roman" w:cs="Times New Roman"/>
          <w:spacing w:val="18"/>
          <w:w w:val="101"/>
          <w:sz w:val="24"/>
          <w:szCs w:val="24"/>
        </w:rPr>
        <w:t xml:space="preserve"> </w:t>
      </w:r>
      <w:r>
        <w:rPr>
          <w:rFonts w:ascii="宋体" w:hAnsi="宋体" w:eastAsia="宋体" w:cs="宋体"/>
          <w:spacing w:val="-8"/>
          <w:sz w:val="24"/>
          <w:szCs w:val="24"/>
        </w:rPr>
        <w:t>）</w:t>
      </w:r>
      <w:r>
        <w:rPr>
          <w:rFonts w:ascii="宋体" w:hAnsi="宋体" w:eastAsia="宋体" w:cs="宋体"/>
          <w:spacing w:val="-71"/>
          <w:sz w:val="24"/>
          <w:szCs w:val="24"/>
        </w:rPr>
        <w:t xml:space="preserve"> </w:t>
      </w:r>
      <w:r>
        <w:rPr>
          <w:rFonts w:ascii="宋体" w:hAnsi="宋体" w:eastAsia="宋体" w:cs="宋体"/>
          <w:spacing w:val="-8"/>
          <w:sz w:val="24"/>
          <w:szCs w:val="24"/>
        </w:rPr>
        <w:t>及《</w:t>
      </w:r>
      <w:r>
        <w:rPr>
          <w:rFonts w:ascii="宋体" w:hAnsi="宋体" w:eastAsia="宋体" w:cs="宋体"/>
          <w:spacing w:val="-43"/>
          <w:sz w:val="24"/>
          <w:szCs w:val="24"/>
        </w:rPr>
        <w:t xml:space="preserve"> </w:t>
      </w:r>
      <w:r>
        <w:rPr>
          <w:rFonts w:ascii="宋体" w:hAnsi="宋体" w:eastAsia="宋体" w:cs="宋体"/>
          <w:spacing w:val="-8"/>
          <w:sz w:val="24"/>
          <w:szCs w:val="24"/>
        </w:rPr>
        <w:t>一</w:t>
      </w:r>
      <w:r>
        <w:rPr>
          <w:rFonts w:ascii="宋体" w:hAnsi="宋体" w:eastAsia="宋体" w:cs="宋体"/>
          <w:spacing w:val="-70"/>
          <w:sz w:val="24"/>
          <w:szCs w:val="24"/>
        </w:rPr>
        <w:t xml:space="preserve"> </w:t>
      </w:r>
      <w:r>
        <w:rPr>
          <w:rFonts w:ascii="宋体" w:hAnsi="宋体" w:eastAsia="宋体" w:cs="宋体"/>
          <w:spacing w:val="-8"/>
          <w:sz w:val="24"/>
          <w:szCs w:val="24"/>
        </w:rPr>
        <w:t>般</w:t>
      </w:r>
      <w:r>
        <w:rPr>
          <w:rFonts w:ascii="宋体" w:hAnsi="宋体" w:eastAsia="宋体" w:cs="宋体"/>
          <w:spacing w:val="-67"/>
          <w:sz w:val="24"/>
          <w:szCs w:val="24"/>
        </w:rPr>
        <w:t xml:space="preserve"> </w:t>
      </w:r>
      <w:r>
        <w:rPr>
          <w:rFonts w:ascii="宋体" w:hAnsi="宋体" w:eastAsia="宋体" w:cs="宋体"/>
          <w:spacing w:val="-8"/>
          <w:sz w:val="24"/>
          <w:szCs w:val="24"/>
        </w:rPr>
        <w:t>工</w:t>
      </w:r>
      <w:r>
        <w:rPr>
          <w:rFonts w:ascii="宋体" w:hAnsi="宋体" w:eastAsia="宋体" w:cs="宋体"/>
          <w:spacing w:val="-69"/>
          <w:sz w:val="24"/>
          <w:szCs w:val="24"/>
        </w:rPr>
        <w:t xml:space="preserve"> </w:t>
      </w:r>
      <w:r>
        <w:rPr>
          <w:rFonts w:ascii="宋体" w:hAnsi="宋体" w:eastAsia="宋体" w:cs="宋体"/>
          <w:spacing w:val="-8"/>
          <w:sz w:val="24"/>
          <w:szCs w:val="24"/>
        </w:rPr>
        <w:t>业</w:t>
      </w:r>
      <w:r>
        <w:rPr>
          <w:rFonts w:ascii="宋体" w:hAnsi="宋体" w:eastAsia="宋体" w:cs="宋体"/>
          <w:spacing w:val="-49"/>
          <w:sz w:val="24"/>
          <w:szCs w:val="24"/>
        </w:rPr>
        <w:t xml:space="preserve"> </w:t>
      </w:r>
      <w:r>
        <w:rPr>
          <w:rFonts w:ascii="宋体" w:hAnsi="宋体" w:eastAsia="宋体" w:cs="宋体"/>
          <w:spacing w:val="-8"/>
          <w:sz w:val="24"/>
          <w:szCs w:val="24"/>
        </w:rPr>
        <w:t>固</w:t>
      </w:r>
      <w:r>
        <w:rPr>
          <w:rFonts w:ascii="宋体" w:hAnsi="宋体" w:eastAsia="宋体" w:cs="宋体"/>
          <w:spacing w:val="-70"/>
          <w:sz w:val="24"/>
          <w:szCs w:val="24"/>
        </w:rPr>
        <w:t xml:space="preserve"> </w:t>
      </w:r>
      <w:r>
        <w:rPr>
          <w:rFonts w:ascii="宋体" w:hAnsi="宋体" w:eastAsia="宋体" w:cs="宋体"/>
          <w:spacing w:val="-8"/>
          <w:sz w:val="24"/>
          <w:szCs w:val="24"/>
        </w:rPr>
        <w:t>体</w:t>
      </w:r>
      <w:r>
        <w:rPr>
          <w:rFonts w:ascii="宋体" w:hAnsi="宋体" w:eastAsia="宋体" w:cs="宋体"/>
          <w:spacing w:val="-71"/>
          <w:sz w:val="24"/>
          <w:szCs w:val="24"/>
        </w:rPr>
        <w:t xml:space="preserve"> </w:t>
      </w:r>
      <w:r>
        <w:rPr>
          <w:rFonts w:ascii="宋体" w:hAnsi="宋体" w:eastAsia="宋体" w:cs="宋体"/>
          <w:spacing w:val="-8"/>
          <w:sz w:val="24"/>
          <w:szCs w:val="24"/>
        </w:rPr>
        <w:t>废</w:t>
      </w:r>
      <w:r>
        <w:rPr>
          <w:rFonts w:ascii="宋体" w:hAnsi="宋体" w:eastAsia="宋体" w:cs="宋体"/>
          <w:spacing w:val="-70"/>
          <w:sz w:val="24"/>
          <w:szCs w:val="24"/>
        </w:rPr>
        <w:t xml:space="preserve"> </w:t>
      </w:r>
      <w:r>
        <w:rPr>
          <w:rFonts w:ascii="宋体" w:hAnsi="宋体" w:eastAsia="宋体" w:cs="宋体"/>
          <w:spacing w:val="-8"/>
          <w:sz w:val="24"/>
          <w:szCs w:val="24"/>
        </w:rPr>
        <w:t>物</w:t>
      </w:r>
      <w:r>
        <w:rPr>
          <w:rFonts w:ascii="宋体" w:hAnsi="宋体" w:eastAsia="宋体" w:cs="宋体"/>
          <w:spacing w:val="-68"/>
          <w:sz w:val="24"/>
          <w:szCs w:val="24"/>
        </w:rPr>
        <w:t xml:space="preserve"> </w:t>
      </w:r>
      <w:r>
        <w:rPr>
          <w:rFonts w:ascii="宋体" w:hAnsi="宋体" w:eastAsia="宋体" w:cs="宋体"/>
          <w:spacing w:val="-8"/>
          <w:sz w:val="24"/>
          <w:szCs w:val="24"/>
        </w:rPr>
        <w:t>贮</w:t>
      </w:r>
      <w:r>
        <w:rPr>
          <w:rFonts w:ascii="宋体" w:hAnsi="宋体" w:eastAsia="宋体" w:cs="宋体"/>
          <w:spacing w:val="-71"/>
          <w:sz w:val="24"/>
          <w:szCs w:val="24"/>
        </w:rPr>
        <w:t xml:space="preserve"> </w:t>
      </w:r>
      <w:r>
        <w:rPr>
          <w:rFonts w:ascii="宋体" w:hAnsi="宋体" w:eastAsia="宋体" w:cs="宋体"/>
          <w:spacing w:val="-8"/>
          <w:sz w:val="24"/>
          <w:szCs w:val="24"/>
        </w:rPr>
        <w:t>存</w:t>
      </w:r>
      <w:r>
        <w:rPr>
          <w:rFonts w:ascii="宋体" w:hAnsi="宋体" w:eastAsia="宋体" w:cs="宋体"/>
          <w:spacing w:val="-53"/>
          <w:sz w:val="24"/>
          <w:szCs w:val="24"/>
        </w:rPr>
        <w:t xml:space="preserve"> </w:t>
      </w:r>
      <w:r>
        <w:rPr>
          <w:rFonts w:ascii="宋体" w:hAnsi="宋体" w:eastAsia="宋体" w:cs="宋体"/>
          <w:spacing w:val="-8"/>
          <w:sz w:val="24"/>
          <w:szCs w:val="24"/>
        </w:rPr>
        <w:t>、</w:t>
      </w:r>
      <w:r>
        <w:rPr>
          <w:rFonts w:ascii="宋体" w:hAnsi="宋体" w:eastAsia="宋体" w:cs="宋体"/>
          <w:spacing w:val="-65"/>
          <w:sz w:val="24"/>
          <w:szCs w:val="24"/>
        </w:rPr>
        <w:t xml:space="preserve"> </w:t>
      </w:r>
      <w:r>
        <w:rPr>
          <w:rFonts w:ascii="宋体" w:hAnsi="宋体" w:eastAsia="宋体" w:cs="宋体"/>
          <w:spacing w:val="-8"/>
          <w:sz w:val="24"/>
          <w:szCs w:val="24"/>
        </w:rPr>
        <w:t>处</w:t>
      </w:r>
      <w:r>
        <w:rPr>
          <w:rFonts w:ascii="宋体" w:hAnsi="宋体" w:eastAsia="宋体" w:cs="宋体"/>
          <w:spacing w:val="-72"/>
          <w:sz w:val="24"/>
          <w:szCs w:val="24"/>
        </w:rPr>
        <w:t xml:space="preserve"> </w:t>
      </w:r>
      <w:r>
        <w:rPr>
          <w:rFonts w:ascii="宋体" w:hAnsi="宋体" w:eastAsia="宋体" w:cs="宋体"/>
          <w:spacing w:val="-8"/>
          <w:sz w:val="24"/>
          <w:szCs w:val="24"/>
        </w:rPr>
        <w:t>置</w:t>
      </w:r>
      <w:r>
        <w:rPr>
          <w:rFonts w:ascii="宋体" w:hAnsi="宋体" w:eastAsia="宋体" w:cs="宋体"/>
          <w:spacing w:val="-68"/>
          <w:sz w:val="24"/>
          <w:szCs w:val="24"/>
        </w:rPr>
        <w:t xml:space="preserve"> </w:t>
      </w:r>
      <w:r>
        <w:rPr>
          <w:rFonts w:ascii="宋体" w:hAnsi="宋体" w:eastAsia="宋体" w:cs="宋体"/>
          <w:spacing w:val="-8"/>
          <w:sz w:val="24"/>
          <w:szCs w:val="24"/>
        </w:rPr>
        <w:t>场</w:t>
      </w:r>
      <w:r>
        <w:rPr>
          <w:rFonts w:ascii="宋体" w:hAnsi="宋体" w:eastAsia="宋体" w:cs="宋体"/>
          <w:spacing w:val="-68"/>
          <w:sz w:val="24"/>
          <w:szCs w:val="24"/>
        </w:rPr>
        <w:t xml:space="preserve"> </w:t>
      </w:r>
      <w:r>
        <w:rPr>
          <w:rFonts w:ascii="宋体" w:hAnsi="宋体" w:eastAsia="宋体" w:cs="宋体"/>
          <w:spacing w:val="-8"/>
          <w:sz w:val="24"/>
          <w:szCs w:val="24"/>
        </w:rPr>
        <w:t>污</w:t>
      </w:r>
      <w:r>
        <w:rPr>
          <w:rFonts w:ascii="宋体" w:hAnsi="宋体" w:eastAsia="宋体" w:cs="宋体"/>
          <w:spacing w:val="-66"/>
          <w:sz w:val="24"/>
          <w:szCs w:val="24"/>
        </w:rPr>
        <w:t xml:space="preserve"> </w:t>
      </w:r>
      <w:r>
        <w:rPr>
          <w:rFonts w:ascii="宋体" w:hAnsi="宋体" w:eastAsia="宋体" w:cs="宋体"/>
          <w:spacing w:val="-8"/>
          <w:sz w:val="24"/>
          <w:szCs w:val="24"/>
        </w:rPr>
        <w:t>染</w:t>
      </w:r>
      <w:r>
        <w:rPr>
          <w:rFonts w:ascii="宋体" w:hAnsi="宋体" w:eastAsia="宋体" w:cs="宋体"/>
          <w:spacing w:val="-71"/>
          <w:sz w:val="24"/>
          <w:szCs w:val="24"/>
        </w:rPr>
        <w:t xml:space="preserve"> </w:t>
      </w:r>
      <w:r>
        <w:rPr>
          <w:rFonts w:ascii="宋体" w:hAnsi="宋体" w:eastAsia="宋体" w:cs="宋体"/>
          <w:spacing w:val="-8"/>
          <w:sz w:val="24"/>
          <w:szCs w:val="24"/>
        </w:rPr>
        <w:t>控</w:t>
      </w:r>
      <w:r>
        <w:rPr>
          <w:rFonts w:ascii="宋体" w:hAnsi="宋体" w:eastAsia="宋体" w:cs="宋体"/>
          <w:spacing w:val="-69"/>
          <w:sz w:val="24"/>
          <w:szCs w:val="24"/>
        </w:rPr>
        <w:t xml:space="preserve"> </w:t>
      </w:r>
      <w:r>
        <w:rPr>
          <w:rFonts w:ascii="宋体" w:hAnsi="宋体" w:eastAsia="宋体" w:cs="宋体"/>
          <w:spacing w:val="-8"/>
          <w:sz w:val="24"/>
          <w:szCs w:val="24"/>
        </w:rPr>
        <w:t>制</w:t>
      </w:r>
      <w:r>
        <w:rPr>
          <w:rFonts w:ascii="宋体" w:hAnsi="宋体" w:eastAsia="宋体" w:cs="宋体"/>
          <w:spacing w:val="-69"/>
          <w:sz w:val="24"/>
          <w:szCs w:val="24"/>
        </w:rPr>
        <w:t xml:space="preserve"> </w:t>
      </w:r>
      <w:r>
        <w:rPr>
          <w:rFonts w:ascii="宋体" w:hAnsi="宋体" w:eastAsia="宋体" w:cs="宋体"/>
          <w:spacing w:val="-9"/>
          <w:sz w:val="24"/>
          <w:szCs w:val="24"/>
        </w:rPr>
        <w:t>标</w:t>
      </w:r>
      <w:r>
        <w:rPr>
          <w:rFonts w:ascii="宋体" w:hAnsi="宋体" w:eastAsia="宋体" w:cs="宋体"/>
          <w:spacing w:val="-68"/>
          <w:sz w:val="24"/>
          <w:szCs w:val="24"/>
        </w:rPr>
        <w:t xml:space="preserve"> </w:t>
      </w:r>
      <w:r>
        <w:rPr>
          <w:rFonts w:ascii="宋体" w:hAnsi="宋体" w:eastAsia="宋体" w:cs="宋体"/>
          <w:spacing w:val="-9"/>
          <w:sz w:val="24"/>
          <w:szCs w:val="24"/>
        </w:rPr>
        <w:t>准</w:t>
      </w:r>
      <w:r>
        <w:rPr>
          <w:rFonts w:ascii="宋体" w:hAnsi="宋体" w:eastAsia="宋体" w:cs="宋体"/>
          <w:spacing w:val="-56"/>
          <w:sz w:val="24"/>
          <w:szCs w:val="24"/>
        </w:rPr>
        <w:t xml:space="preserve"> </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GB18599-2001</w:t>
      </w:r>
      <w:r>
        <w:rPr>
          <w:rFonts w:ascii="宋体" w:hAnsi="宋体" w:eastAsia="宋体" w:cs="宋体"/>
          <w:spacing w:val="-1"/>
          <w:sz w:val="24"/>
          <w:szCs w:val="24"/>
        </w:rPr>
        <w:t>）中的要求。</w:t>
      </w:r>
    </w:p>
    <w:p w14:paraId="5A6DB65B">
      <w:pPr>
        <w:spacing w:line="362" w:lineRule="exact"/>
        <w:ind w:left="492"/>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）非污染防治区</w:t>
      </w:r>
    </w:p>
    <w:p w14:paraId="2006C3A4">
      <w:pPr>
        <w:spacing w:before="166" w:line="362" w:lineRule="auto"/>
        <w:ind w:firstLine="483"/>
        <w:rPr>
          <w:rFonts w:ascii="宋体" w:hAnsi="宋体" w:eastAsia="宋体" w:cs="宋体"/>
          <w:sz w:val="24"/>
          <w:szCs w:val="24"/>
        </w:rPr>
      </w:pPr>
      <w:r>
        <w:rPr>
          <w:rFonts w:ascii="宋体" w:hAnsi="宋体" w:eastAsia="宋体" w:cs="宋体"/>
          <w:spacing w:val="-2"/>
          <w:sz w:val="24"/>
          <w:szCs w:val="24"/>
        </w:rPr>
        <w:t>指一般和重点防治区以外的区域或部位。主要包</w:t>
      </w:r>
      <w:r>
        <w:rPr>
          <w:rFonts w:ascii="宋体" w:hAnsi="宋体" w:eastAsia="宋体" w:cs="宋体"/>
          <w:spacing w:val="-3"/>
          <w:sz w:val="24"/>
          <w:szCs w:val="24"/>
        </w:rPr>
        <w:t>括配套生活区、绿化及道路等。</w:t>
      </w:r>
      <w:r>
        <w:rPr>
          <w:rFonts w:ascii="宋体" w:hAnsi="宋体" w:eastAsia="宋体" w:cs="宋体"/>
          <w:sz w:val="24"/>
          <w:szCs w:val="24"/>
        </w:rPr>
        <w:t xml:space="preserve"> </w:t>
      </w:r>
      <w:r>
        <w:rPr>
          <w:rFonts w:ascii="宋体" w:hAnsi="宋体" w:eastAsia="宋体" w:cs="宋体"/>
          <w:spacing w:val="-2"/>
          <w:sz w:val="24"/>
          <w:szCs w:val="24"/>
        </w:rPr>
        <w:t>对于基本上不产生污染物的非污染防治区，不采取专门针对地下水污染</w:t>
      </w:r>
      <w:r>
        <w:rPr>
          <w:rFonts w:ascii="宋体" w:hAnsi="宋体" w:eastAsia="宋体" w:cs="宋体"/>
          <w:spacing w:val="-3"/>
          <w:sz w:val="24"/>
          <w:szCs w:val="24"/>
        </w:rPr>
        <w:t>的防治措施。</w:t>
      </w:r>
    </w:p>
    <w:p w14:paraId="08F500F7">
      <w:pPr>
        <w:spacing w:line="360" w:lineRule="exact"/>
        <w:ind w:left="476"/>
        <w:rPr>
          <w:rFonts w:ascii="宋体" w:hAnsi="宋体" w:eastAsia="宋体" w:cs="宋体"/>
          <w:sz w:val="24"/>
          <w:szCs w:val="24"/>
        </w:rPr>
      </w:pP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31"/>
          <w:position w:val="2"/>
          <w:sz w:val="24"/>
          <w:szCs w:val="24"/>
        </w:rPr>
        <w:t xml:space="preserve"> </w:t>
      </w:r>
      <w:r>
        <w:rPr>
          <w:rFonts w:ascii="宋体" w:hAnsi="宋体" w:eastAsia="宋体" w:cs="宋体"/>
          <w:spacing w:val="-4"/>
          <w:position w:val="2"/>
          <w:sz w:val="24"/>
          <w:szCs w:val="24"/>
        </w:rPr>
        <w:t>、地下水防治措施</w:t>
      </w:r>
    </w:p>
    <w:p w14:paraId="126C0A73">
      <w:pPr>
        <w:spacing w:line="360" w:lineRule="exact"/>
        <w:rPr>
          <w:rFonts w:ascii="宋体" w:hAnsi="宋体" w:eastAsia="宋体" w:cs="宋体"/>
          <w:sz w:val="24"/>
          <w:szCs w:val="24"/>
        </w:rPr>
        <w:sectPr>
          <w:footerReference r:id="rId152" w:type="default"/>
          <w:pgSz w:w="11906" w:h="16839"/>
          <w:pgMar w:top="400" w:right="1507" w:bottom="1485" w:left="1597" w:header="0" w:footer="1249" w:gutter="0"/>
          <w:cols w:space="720" w:num="1"/>
        </w:sectPr>
      </w:pPr>
    </w:p>
    <w:p w14:paraId="71A3307B">
      <w:pPr>
        <w:pStyle w:val="2"/>
        <w:spacing w:line="264" w:lineRule="auto"/>
      </w:pPr>
    </w:p>
    <w:p w14:paraId="0100E241">
      <w:pPr>
        <w:pStyle w:val="2"/>
        <w:spacing w:line="264" w:lineRule="auto"/>
      </w:pPr>
    </w:p>
    <w:p w14:paraId="25E9AA51">
      <w:pPr>
        <w:pStyle w:val="2"/>
        <w:spacing w:line="264" w:lineRule="auto"/>
      </w:pPr>
    </w:p>
    <w:p w14:paraId="1F9DC602">
      <w:pPr>
        <w:pStyle w:val="2"/>
        <w:spacing w:line="265" w:lineRule="auto"/>
      </w:pPr>
    </w:p>
    <w:p w14:paraId="72E533A2">
      <w:pPr>
        <w:spacing w:before="78" w:line="219" w:lineRule="auto"/>
        <w:ind w:left="485"/>
        <w:rPr>
          <w:rFonts w:ascii="宋体" w:hAnsi="宋体" w:eastAsia="宋体" w:cs="宋体"/>
          <w:sz w:val="24"/>
          <w:szCs w:val="24"/>
        </w:rPr>
      </w:pPr>
      <w:r>
        <w:rPr>
          <w:rFonts w:ascii="宋体" w:hAnsi="宋体" w:eastAsia="宋体" w:cs="宋体"/>
          <w:spacing w:val="-1"/>
          <w:sz w:val="24"/>
          <w:szCs w:val="24"/>
        </w:rPr>
        <w:t>本项目为防治地下污染，在遵循以上规则的前提下采取以下措施：</w:t>
      </w:r>
    </w:p>
    <w:p w14:paraId="6AF83C2A">
      <w:pPr>
        <w:spacing w:before="169" w:line="360" w:lineRule="exact"/>
        <w:ind w:left="496"/>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w:t>
      </w:r>
      <w:r>
        <w:rPr>
          <w:rFonts w:ascii="宋体" w:hAnsi="宋体" w:eastAsia="宋体" w:cs="宋体"/>
          <w:spacing w:val="-1"/>
          <w:position w:val="2"/>
          <w:sz w:val="24"/>
          <w:szCs w:val="24"/>
        </w:rPr>
        <w:t>）场内生产区地面全部水泥硬化，管道防渗；</w:t>
      </w:r>
    </w:p>
    <w:p w14:paraId="32C66831">
      <w:pPr>
        <w:spacing w:before="126" w:line="361" w:lineRule="exact"/>
        <w:ind w:left="496"/>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w:t>
      </w:r>
      <w:r>
        <w:rPr>
          <w:rFonts w:ascii="宋体" w:hAnsi="宋体" w:eastAsia="宋体" w:cs="宋体"/>
          <w:spacing w:val="-1"/>
          <w:position w:val="2"/>
          <w:sz w:val="24"/>
          <w:szCs w:val="24"/>
        </w:rPr>
        <w:t>）粪污处理系统四周及底部必须人工加强防渗措施避免废水下渗；</w:t>
      </w:r>
    </w:p>
    <w:p w14:paraId="4CE5D9E7">
      <w:pPr>
        <w:spacing w:before="128" w:line="334" w:lineRule="auto"/>
        <w:ind w:left="5" w:right="6"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）定期检修集污池、集污管，加强防渗处理的工程管理，发生设备故障、泄</w:t>
      </w:r>
      <w:r>
        <w:rPr>
          <w:rFonts w:ascii="宋体" w:hAnsi="宋体" w:eastAsia="宋体" w:cs="宋体"/>
          <w:spacing w:val="16"/>
          <w:sz w:val="24"/>
          <w:szCs w:val="24"/>
        </w:rPr>
        <w:t xml:space="preserve"> </w:t>
      </w:r>
      <w:r>
        <w:rPr>
          <w:rFonts w:ascii="宋体" w:hAnsi="宋体" w:eastAsia="宋体" w:cs="宋体"/>
          <w:spacing w:val="2"/>
          <w:sz w:val="24"/>
          <w:szCs w:val="24"/>
        </w:rPr>
        <w:t>漏事故等意外时，应及时采取有效措施，如采用备用设备、紧急停运检修等，降低</w:t>
      </w:r>
      <w:r>
        <w:rPr>
          <w:rFonts w:ascii="宋体" w:hAnsi="宋体" w:eastAsia="宋体" w:cs="宋体"/>
          <w:spacing w:val="6"/>
          <w:sz w:val="24"/>
          <w:szCs w:val="24"/>
        </w:rPr>
        <w:t xml:space="preserve"> </w:t>
      </w:r>
      <w:r>
        <w:rPr>
          <w:rFonts w:ascii="宋体" w:hAnsi="宋体" w:eastAsia="宋体" w:cs="宋体"/>
          <w:spacing w:val="-2"/>
          <w:sz w:val="24"/>
          <w:szCs w:val="24"/>
        </w:rPr>
        <w:t>风险环境影响；</w:t>
      </w:r>
    </w:p>
    <w:p w14:paraId="3DCA7B69">
      <w:pPr>
        <w:spacing w:before="166" w:line="312" w:lineRule="auto"/>
        <w:ind w:left="6" w:right="1475" w:firstLine="48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）严格控制处理单元的处理参数等，确保处理效果的稳定性；</w:t>
      </w:r>
      <w:r>
        <w:rPr>
          <w:rFonts w:ascii="宋体" w:hAnsi="宋体" w:eastAsia="宋体" w:cs="宋体"/>
          <w:spacing w:val="4"/>
          <w:sz w:val="24"/>
          <w:szCs w:val="24"/>
        </w:rPr>
        <w:t xml:space="preserve"> </w:t>
      </w:r>
      <w:r>
        <w:rPr>
          <w:rFonts w:ascii="宋体" w:hAnsi="宋体" w:eastAsia="宋体" w:cs="宋体"/>
          <w:spacing w:val="-1"/>
          <w:sz w:val="24"/>
          <w:szCs w:val="24"/>
        </w:rPr>
        <w:t>经采取以上措施，可防止粪污事故排放影响地下水水质。</w:t>
      </w:r>
    </w:p>
    <w:p w14:paraId="17883AFA">
      <w:pPr>
        <w:pStyle w:val="2"/>
        <w:spacing w:line="403" w:lineRule="auto"/>
      </w:pPr>
    </w:p>
    <w:p w14:paraId="59ABE809">
      <w:pPr>
        <w:spacing w:before="100" w:line="226" w:lineRule="auto"/>
        <w:ind w:left="7"/>
        <w:outlineLvl w:val="1"/>
        <w:rPr>
          <w:rFonts w:ascii="宋体" w:hAnsi="宋体" w:eastAsia="宋体" w:cs="宋体"/>
          <w:sz w:val="31"/>
          <w:szCs w:val="31"/>
        </w:rPr>
      </w:pPr>
      <w:bookmarkStart w:id="40" w:name="bookmark35"/>
      <w:bookmarkEnd w:id="40"/>
      <w:r>
        <w:rPr>
          <w:rFonts w:ascii="Times New Roman" w:hAnsi="Times New Roman" w:eastAsia="Times New Roman" w:cs="Times New Roman"/>
          <w:b/>
          <w:bCs/>
          <w:spacing w:val="6"/>
          <w:sz w:val="31"/>
          <w:szCs w:val="31"/>
        </w:rPr>
        <w:t>6.2</w:t>
      </w:r>
      <w:r>
        <w:rPr>
          <w:rFonts w:ascii="宋体" w:hAnsi="宋体" w:eastAsia="宋体" w:cs="宋体"/>
          <w:b/>
          <w:bCs/>
          <w:spacing w:val="6"/>
          <w:sz w:val="31"/>
          <w:szCs w:val="31"/>
        </w:rPr>
        <w:t>大气污染防治措施可行性分析</w:t>
      </w:r>
    </w:p>
    <w:p w14:paraId="339E7FFA">
      <w:pPr>
        <w:pStyle w:val="2"/>
        <w:spacing w:line="444" w:lineRule="auto"/>
      </w:pPr>
    </w:p>
    <w:p w14:paraId="4547A0FB">
      <w:pPr>
        <w:spacing w:before="79" w:line="221" w:lineRule="auto"/>
        <w:ind w:left="4"/>
        <w:outlineLvl w:val="2"/>
        <w:rPr>
          <w:rFonts w:ascii="宋体" w:hAnsi="宋体" w:eastAsia="宋体" w:cs="宋体"/>
          <w:sz w:val="24"/>
          <w:szCs w:val="24"/>
        </w:rPr>
      </w:pPr>
      <w:r>
        <w:rPr>
          <w:rFonts w:ascii="Times New Roman" w:hAnsi="Times New Roman" w:eastAsia="Times New Roman" w:cs="Times New Roman"/>
          <w:b/>
          <w:bCs/>
          <w:spacing w:val="-2"/>
          <w:sz w:val="24"/>
          <w:szCs w:val="24"/>
        </w:rPr>
        <w:t>6.2.1</w:t>
      </w:r>
      <w:r>
        <w:rPr>
          <w:rFonts w:ascii="宋体" w:hAnsi="宋体" w:eastAsia="宋体" w:cs="宋体"/>
          <w:b/>
          <w:bCs/>
          <w:spacing w:val="-2"/>
          <w:sz w:val="24"/>
          <w:szCs w:val="24"/>
        </w:rPr>
        <w:t>大气污染物防治措施</w:t>
      </w:r>
    </w:p>
    <w:p w14:paraId="19C65BCD">
      <w:pPr>
        <w:pStyle w:val="2"/>
        <w:spacing w:line="278" w:lineRule="auto"/>
      </w:pPr>
    </w:p>
    <w:p w14:paraId="2BCAFD06">
      <w:pPr>
        <w:spacing w:before="79" w:line="220" w:lineRule="auto"/>
        <w:ind w:left="491"/>
        <w:rPr>
          <w:rFonts w:ascii="宋体" w:hAnsi="宋体" w:eastAsia="宋体" w:cs="宋体"/>
          <w:sz w:val="24"/>
          <w:szCs w:val="24"/>
        </w:rPr>
      </w:pPr>
      <w:r>
        <w:rPr>
          <w:rFonts w:ascii="Times New Roman" w:hAnsi="Times New Roman" w:eastAsia="Times New Roman" w:cs="Times New Roman"/>
          <w:b/>
          <w:bCs/>
          <w:spacing w:val="-9"/>
          <w:sz w:val="24"/>
          <w:szCs w:val="24"/>
        </w:rPr>
        <w:t>1</w:t>
      </w:r>
      <w:r>
        <w:rPr>
          <w:rFonts w:ascii="Times New Roman" w:hAnsi="Times New Roman" w:eastAsia="Times New Roman" w:cs="Times New Roman"/>
          <w:b/>
          <w:bCs/>
          <w:spacing w:val="-31"/>
          <w:sz w:val="24"/>
          <w:szCs w:val="24"/>
        </w:rPr>
        <w:t xml:space="preserve"> </w:t>
      </w:r>
      <w:r>
        <w:rPr>
          <w:rFonts w:ascii="宋体" w:hAnsi="宋体" w:eastAsia="宋体" w:cs="宋体"/>
          <w:b/>
          <w:bCs/>
          <w:spacing w:val="-9"/>
          <w:sz w:val="24"/>
          <w:szCs w:val="24"/>
        </w:rPr>
        <w:t>、猪舍恶臭</w:t>
      </w:r>
    </w:p>
    <w:p w14:paraId="5DD7F86B">
      <w:pPr>
        <w:spacing w:before="116" w:line="359" w:lineRule="auto"/>
        <w:ind w:left="4" w:right="7" w:firstLine="481"/>
        <w:rPr>
          <w:rFonts w:ascii="宋体" w:hAnsi="宋体" w:eastAsia="宋体" w:cs="宋体"/>
          <w:sz w:val="24"/>
          <w:szCs w:val="24"/>
        </w:rPr>
      </w:pPr>
      <w:r>
        <w:rPr>
          <w:rFonts w:ascii="宋体" w:hAnsi="宋体" w:eastAsia="宋体" w:cs="宋体"/>
          <w:spacing w:val="2"/>
          <w:sz w:val="24"/>
          <w:szCs w:val="24"/>
        </w:rPr>
        <w:t>气味的控制方法有多种，但最有效的控制方法是控制气味产生的源头和扩散渠</w:t>
      </w:r>
      <w:r>
        <w:rPr>
          <w:rFonts w:ascii="宋体" w:hAnsi="宋体" w:eastAsia="宋体" w:cs="宋体"/>
          <w:spacing w:val="9"/>
          <w:sz w:val="24"/>
          <w:szCs w:val="24"/>
        </w:rPr>
        <w:t xml:space="preserve"> </w:t>
      </w:r>
      <w:r>
        <w:rPr>
          <w:rFonts w:ascii="宋体" w:hAnsi="宋体" w:eastAsia="宋体" w:cs="宋体"/>
          <w:sz w:val="24"/>
          <w:szCs w:val="24"/>
        </w:rPr>
        <w:t>道。这就要从整个场区的设计入手。本报告提出如下两</w:t>
      </w:r>
      <w:r>
        <w:rPr>
          <w:rFonts w:ascii="宋体" w:hAnsi="宋体" w:eastAsia="宋体" w:cs="宋体"/>
          <w:spacing w:val="-1"/>
          <w:sz w:val="24"/>
          <w:szCs w:val="24"/>
        </w:rPr>
        <w:t>种治理措施并做比较。</w:t>
      </w:r>
    </w:p>
    <w:p w14:paraId="5BC6FCED">
      <w:pPr>
        <w:spacing w:before="53" w:line="361" w:lineRule="exact"/>
        <w:ind w:left="503"/>
        <w:outlineLvl w:val="0"/>
        <w:rPr>
          <w:rFonts w:ascii="宋体" w:hAnsi="宋体" w:eastAsia="宋体" w:cs="宋体"/>
          <w:sz w:val="24"/>
          <w:szCs w:val="24"/>
        </w:rPr>
      </w:pPr>
      <w:r>
        <w:rPr>
          <w:rFonts w:ascii="Times New Roman" w:hAnsi="Times New Roman" w:eastAsia="Times New Roman" w:cs="Times New Roman"/>
          <w:spacing w:val="-4"/>
          <w:position w:val="2"/>
          <w:sz w:val="24"/>
          <w:szCs w:val="24"/>
        </w:rPr>
        <w:t>1</w:t>
      </w:r>
      <w:r>
        <w:rPr>
          <w:rFonts w:ascii="宋体" w:hAnsi="宋体" w:eastAsia="宋体" w:cs="宋体"/>
          <w:spacing w:val="-4"/>
          <w:position w:val="2"/>
          <w:sz w:val="24"/>
          <w:szCs w:val="24"/>
        </w:rPr>
        <w:t>）综合治理方法</w:t>
      </w:r>
    </w:p>
    <w:p w14:paraId="1B9B61FA">
      <w:pPr>
        <w:spacing w:before="163" w:line="376" w:lineRule="auto"/>
        <w:ind w:right="6" w:firstLine="485"/>
        <w:rPr>
          <w:rFonts w:ascii="宋体" w:hAnsi="宋体" w:eastAsia="宋体" w:cs="宋体"/>
          <w:sz w:val="24"/>
          <w:szCs w:val="24"/>
        </w:rPr>
      </w:pPr>
      <w:r>
        <w:rPr>
          <w:rFonts w:ascii="宋体" w:hAnsi="宋体" w:eastAsia="宋体" w:cs="宋体"/>
          <w:spacing w:val="-2"/>
          <w:sz w:val="24"/>
          <w:szCs w:val="24"/>
        </w:rPr>
        <w:t>这种方法从源头入手，分为三个阶段减少恶臭的产生。即优化饲料</w:t>
      </w:r>
      <w:r>
        <w:rPr>
          <w:rFonts w:ascii="Times New Roman" w:hAnsi="Times New Roman" w:eastAsia="Times New Roman" w:cs="Times New Roman"/>
          <w:spacing w:val="-2"/>
          <w:sz w:val="24"/>
          <w:szCs w:val="24"/>
        </w:rPr>
        <w:t>+</w:t>
      </w:r>
      <w:r>
        <w:rPr>
          <w:rFonts w:ascii="宋体" w:hAnsi="宋体" w:eastAsia="宋体" w:cs="宋体"/>
          <w:spacing w:val="-2"/>
          <w:sz w:val="24"/>
          <w:szCs w:val="24"/>
        </w:rPr>
        <w:t>喷洒除臭剂</w:t>
      </w:r>
      <w:r>
        <w:rPr>
          <w:rFonts w:ascii="宋体" w:hAnsi="宋体" w:eastAsia="宋体" w:cs="宋体"/>
          <w:spacing w:val="12"/>
          <w:sz w:val="24"/>
          <w:szCs w:val="24"/>
        </w:rPr>
        <w:t xml:space="preserve"> </w:t>
      </w:r>
      <w:r>
        <w:rPr>
          <w:rFonts w:ascii="Times New Roman" w:hAnsi="Times New Roman" w:eastAsia="Times New Roman" w:cs="Times New Roman"/>
          <w:spacing w:val="-1"/>
          <w:sz w:val="24"/>
          <w:szCs w:val="24"/>
        </w:rPr>
        <w:t>+</w:t>
      </w:r>
      <w:r>
        <w:rPr>
          <w:rFonts w:ascii="宋体" w:hAnsi="宋体" w:eastAsia="宋体" w:cs="宋体"/>
          <w:spacing w:val="-1"/>
          <w:sz w:val="24"/>
          <w:szCs w:val="24"/>
        </w:rPr>
        <w:t>加强绿化。分述如下：</w:t>
      </w:r>
    </w:p>
    <w:p w14:paraId="21844067">
      <w:pPr>
        <w:spacing w:before="1" w:line="217" w:lineRule="auto"/>
        <w:ind w:left="484"/>
        <w:outlineLvl w:val="0"/>
        <w:rPr>
          <w:rFonts w:ascii="宋体" w:hAnsi="宋体" w:eastAsia="宋体" w:cs="宋体"/>
          <w:sz w:val="24"/>
          <w:szCs w:val="24"/>
        </w:rPr>
      </w:pPr>
      <w:r>
        <w:rPr>
          <w:rFonts w:ascii="宋体" w:hAnsi="宋体" w:eastAsia="宋体" w:cs="宋体"/>
          <w:spacing w:val="-2"/>
          <w:sz w:val="24"/>
          <w:szCs w:val="24"/>
        </w:rPr>
        <w:t>①优化饲料</w:t>
      </w:r>
    </w:p>
    <w:p w14:paraId="12F8322D">
      <w:pPr>
        <w:spacing w:before="206" w:line="358" w:lineRule="auto"/>
        <w:ind w:left="4" w:firstLine="480"/>
        <w:jc w:val="both"/>
        <w:rPr>
          <w:rFonts w:ascii="宋体" w:hAnsi="宋体" w:eastAsia="宋体" w:cs="宋体"/>
          <w:sz w:val="24"/>
          <w:szCs w:val="24"/>
        </w:rPr>
      </w:pPr>
      <w:r>
        <w:rPr>
          <w:rFonts w:ascii="宋体" w:hAnsi="宋体" w:eastAsia="宋体" w:cs="宋体"/>
          <w:b/>
          <w:bCs/>
          <w:sz w:val="24"/>
          <w:szCs w:val="24"/>
        </w:rPr>
        <w:t>科学配置饲料：</w:t>
      </w:r>
      <w:r>
        <w:rPr>
          <w:rFonts w:ascii="宋体" w:hAnsi="宋体" w:eastAsia="宋体" w:cs="宋体"/>
          <w:sz w:val="24"/>
          <w:szCs w:val="24"/>
        </w:rPr>
        <w:t>选用绿色饲料添加剂，</w:t>
      </w:r>
      <w:r>
        <w:rPr>
          <w:rFonts w:ascii="宋体" w:hAnsi="宋体" w:eastAsia="宋体" w:cs="宋体"/>
          <w:spacing w:val="-53"/>
          <w:sz w:val="24"/>
          <w:szCs w:val="24"/>
        </w:rPr>
        <w:t xml:space="preserve"> </w:t>
      </w:r>
      <w:r>
        <w:rPr>
          <w:rFonts w:ascii="宋体" w:hAnsi="宋体" w:eastAsia="宋体" w:cs="宋体"/>
          <w:sz w:val="24"/>
          <w:szCs w:val="24"/>
        </w:rPr>
        <w:t xml:space="preserve">目前常用的绿色饲料添加剂主要为酶制 </w:t>
      </w:r>
      <w:r>
        <w:rPr>
          <w:rFonts w:ascii="宋体" w:hAnsi="宋体" w:eastAsia="宋体" w:cs="宋体"/>
          <w:spacing w:val="2"/>
          <w:sz w:val="24"/>
          <w:szCs w:val="24"/>
        </w:rPr>
        <w:t>剂、益生素和丝兰属植物提取物。酶制剂可将饲料中难以为单胃动物消化吸收的植</w:t>
      </w:r>
      <w:r>
        <w:rPr>
          <w:rFonts w:ascii="宋体" w:hAnsi="宋体" w:eastAsia="宋体" w:cs="宋体"/>
          <w:spacing w:val="7"/>
          <w:sz w:val="24"/>
          <w:szCs w:val="24"/>
        </w:rPr>
        <w:t xml:space="preserve"> </w:t>
      </w:r>
      <w:r>
        <w:rPr>
          <w:rFonts w:ascii="宋体" w:hAnsi="宋体" w:eastAsia="宋体" w:cs="宋体"/>
          <w:spacing w:val="2"/>
          <w:sz w:val="24"/>
          <w:szCs w:val="24"/>
        </w:rPr>
        <w:t>酸盐降解为易消化吸收的正磷酸盐，这样就可以减少饲料中无机磷的添加率从而减</w:t>
      </w:r>
      <w:r>
        <w:rPr>
          <w:rFonts w:ascii="宋体" w:hAnsi="宋体" w:eastAsia="宋体" w:cs="宋体"/>
          <w:spacing w:val="7"/>
          <w:sz w:val="24"/>
          <w:szCs w:val="24"/>
        </w:rPr>
        <w:t xml:space="preserve"> </w:t>
      </w:r>
      <w:r>
        <w:rPr>
          <w:rFonts w:ascii="宋体" w:hAnsi="宋体" w:eastAsia="宋体" w:cs="宋体"/>
          <w:spacing w:val="2"/>
          <w:sz w:val="24"/>
          <w:szCs w:val="24"/>
        </w:rPr>
        <w:t>少猪粪便中的磷污染。益生素能排斥和抑制大肠杆菌、沙门菌等病原微生物的生长</w:t>
      </w:r>
      <w:r>
        <w:rPr>
          <w:rFonts w:ascii="宋体" w:hAnsi="宋体" w:eastAsia="宋体" w:cs="宋体"/>
          <w:spacing w:val="7"/>
          <w:sz w:val="24"/>
          <w:szCs w:val="24"/>
        </w:rPr>
        <w:t xml:space="preserve"> </w:t>
      </w:r>
      <w:r>
        <w:rPr>
          <w:rFonts w:ascii="宋体" w:hAnsi="宋体" w:eastAsia="宋体" w:cs="宋体"/>
          <w:spacing w:val="2"/>
          <w:sz w:val="24"/>
          <w:szCs w:val="24"/>
        </w:rPr>
        <w:t>繁殖，促进乳酸菌等有益微生物的生产，减少动物患病的机会，还能减少粪便中臭</w:t>
      </w:r>
      <w:r>
        <w:rPr>
          <w:rFonts w:ascii="宋体" w:hAnsi="宋体" w:eastAsia="宋体" w:cs="宋体"/>
          <w:spacing w:val="7"/>
          <w:sz w:val="24"/>
          <w:szCs w:val="24"/>
        </w:rPr>
        <w:t xml:space="preserve"> </w:t>
      </w:r>
      <w:r>
        <w:rPr>
          <w:rFonts w:ascii="宋体" w:hAnsi="宋体" w:eastAsia="宋体" w:cs="宋体"/>
          <w:spacing w:val="2"/>
          <w:sz w:val="24"/>
          <w:szCs w:val="24"/>
        </w:rPr>
        <w:t>气的产生量。丝兰素植物提取物是植物提取天然制品。它具有两个生物活性成分，</w:t>
      </w:r>
      <w:r>
        <w:rPr>
          <w:rFonts w:ascii="宋体" w:hAnsi="宋体" w:eastAsia="宋体" w:cs="宋体"/>
          <w:spacing w:val="14"/>
          <w:sz w:val="24"/>
          <w:szCs w:val="24"/>
        </w:rPr>
        <w:t xml:space="preserve"> </w:t>
      </w:r>
      <w:r>
        <w:rPr>
          <w:rFonts w:ascii="宋体" w:hAnsi="宋体" w:eastAsia="宋体" w:cs="宋体"/>
          <w:spacing w:val="2"/>
          <w:sz w:val="24"/>
          <w:szCs w:val="24"/>
        </w:rPr>
        <w:t>一个可以和氨结合，另一个可以和硫化氢、甲基吲哚等有毒有害气体结合，因而可</w:t>
      </w:r>
      <w:r>
        <w:rPr>
          <w:rFonts w:ascii="宋体" w:hAnsi="宋体" w:eastAsia="宋体" w:cs="宋体"/>
          <w:spacing w:val="7"/>
          <w:sz w:val="24"/>
          <w:szCs w:val="24"/>
        </w:rPr>
        <w:t xml:space="preserve"> </w:t>
      </w:r>
      <w:r>
        <w:rPr>
          <w:rFonts w:ascii="宋体" w:hAnsi="宋体" w:eastAsia="宋体" w:cs="宋体"/>
          <w:spacing w:val="2"/>
          <w:sz w:val="24"/>
          <w:szCs w:val="24"/>
        </w:rPr>
        <w:t>控制养猪场地恶臭的作用，该物质还与肠道内的微生物作用，帮助消化饲料，有资</w:t>
      </w:r>
      <w:r>
        <w:rPr>
          <w:rFonts w:ascii="宋体" w:hAnsi="宋体" w:eastAsia="宋体" w:cs="宋体"/>
          <w:spacing w:val="7"/>
          <w:sz w:val="24"/>
          <w:szCs w:val="24"/>
        </w:rPr>
        <w:t xml:space="preserve"> </w:t>
      </w:r>
      <w:r>
        <w:rPr>
          <w:rFonts w:ascii="宋体" w:hAnsi="宋体" w:eastAsia="宋体" w:cs="宋体"/>
          <w:spacing w:val="-3"/>
          <w:sz w:val="24"/>
          <w:szCs w:val="24"/>
        </w:rPr>
        <w:t>料显示，采用此类饲料添加剂后，可减少粪尿中氨的排放量</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40~60</w:t>
      </w:r>
      <w:r>
        <w:rPr>
          <w:rFonts w:ascii="宋体" w:hAnsi="宋体" w:eastAsia="宋体" w:cs="宋体"/>
          <w:spacing w:val="-3"/>
          <w:sz w:val="24"/>
          <w:szCs w:val="24"/>
        </w:rPr>
        <w:t>％之多。从而减少</w:t>
      </w:r>
      <w:r>
        <w:rPr>
          <w:rFonts w:ascii="宋体" w:hAnsi="宋体" w:eastAsia="宋体" w:cs="宋体"/>
          <w:sz w:val="24"/>
          <w:szCs w:val="24"/>
        </w:rPr>
        <w:t xml:space="preserve"> </w:t>
      </w:r>
      <w:r>
        <w:rPr>
          <w:rFonts w:ascii="宋体" w:hAnsi="宋体" w:eastAsia="宋体" w:cs="宋体"/>
          <w:spacing w:val="-1"/>
          <w:sz w:val="24"/>
          <w:szCs w:val="24"/>
        </w:rPr>
        <w:t>了场区恶臭的产生量。</w:t>
      </w:r>
    </w:p>
    <w:p w14:paraId="3A233EF6">
      <w:pPr>
        <w:spacing w:line="358" w:lineRule="auto"/>
        <w:rPr>
          <w:rFonts w:ascii="宋体" w:hAnsi="宋体" w:eastAsia="宋体" w:cs="宋体"/>
          <w:sz w:val="24"/>
          <w:szCs w:val="24"/>
        </w:rPr>
        <w:sectPr>
          <w:footerReference r:id="rId153" w:type="default"/>
          <w:pgSz w:w="11906" w:h="16839"/>
          <w:pgMar w:top="400" w:right="1581" w:bottom="1485" w:left="1593" w:header="0" w:footer="1249" w:gutter="0"/>
          <w:cols w:space="720" w:num="1"/>
        </w:sectPr>
      </w:pPr>
    </w:p>
    <w:p w14:paraId="58EE8E7C">
      <w:pPr>
        <w:pStyle w:val="2"/>
        <w:spacing w:line="264" w:lineRule="auto"/>
      </w:pPr>
    </w:p>
    <w:p w14:paraId="3B454FAC">
      <w:pPr>
        <w:pStyle w:val="2"/>
        <w:spacing w:line="264" w:lineRule="auto"/>
      </w:pPr>
    </w:p>
    <w:p w14:paraId="5F7CC955">
      <w:pPr>
        <w:pStyle w:val="2"/>
        <w:spacing w:line="264" w:lineRule="auto"/>
      </w:pPr>
    </w:p>
    <w:p w14:paraId="1EAEF145">
      <w:pPr>
        <w:pStyle w:val="2"/>
        <w:spacing w:line="264" w:lineRule="auto"/>
      </w:pPr>
    </w:p>
    <w:p w14:paraId="325E5039">
      <w:pPr>
        <w:spacing w:before="78" w:line="377" w:lineRule="auto"/>
        <w:ind w:left="4" w:right="68" w:firstLine="494"/>
        <w:rPr>
          <w:rFonts w:ascii="宋体" w:hAnsi="宋体" w:eastAsia="宋体" w:cs="宋体"/>
          <w:sz w:val="24"/>
          <w:szCs w:val="24"/>
        </w:rPr>
      </w:pPr>
      <w:r>
        <w:rPr>
          <w:rFonts w:ascii="宋体" w:hAnsi="宋体" w:eastAsia="宋体" w:cs="宋体"/>
          <w:b/>
          <w:bCs/>
          <w:spacing w:val="1"/>
          <w:sz w:val="24"/>
          <w:szCs w:val="24"/>
        </w:rPr>
        <w:t>降低养殖饲料中的硫份含量：</w:t>
      </w:r>
      <w:r>
        <w:rPr>
          <w:rFonts w:ascii="宋体" w:hAnsi="宋体" w:eastAsia="宋体" w:cs="宋体"/>
          <w:spacing w:val="1"/>
          <w:sz w:val="24"/>
          <w:szCs w:val="24"/>
        </w:rPr>
        <w:t>通过减少硫元素的摄入，减少猪粪中硫元素的排</w:t>
      </w:r>
      <w:r>
        <w:rPr>
          <w:rFonts w:ascii="宋体" w:hAnsi="宋体" w:eastAsia="宋体" w:cs="宋体"/>
          <w:spacing w:val="4"/>
          <w:sz w:val="24"/>
          <w:szCs w:val="24"/>
        </w:rPr>
        <w:t xml:space="preserve"> </w:t>
      </w:r>
      <w:r>
        <w:rPr>
          <w:rFonts w:ascii="宋体" w:hAnsi="宋体" w:eastAsia="宋体" w:cs="宋体"/>
          <w:spacing w:val="-2"/>
          <w:sz w:val="24"/>
          <w:szCs w:val="24"/>
        </w:rPr>
        <w:t xml:space="preserve">泄，进而减少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、甲硫醇等恶臭气体的排放。</w:t>
      </w:r>
    </w:p>
    <w:p w14:paraId="06751B04">
      <w:pPr>
        <w:spacing w:line="298" w:lineRule="auto"/>
        <w:ind w:left="1" w:right="80" w:firstLine="479"/>
        <w:outlineLvl w:val="0"/>
        <w:rPr>
          <w:rFonts w:ascii="宋体" w:hAnsi="宋体" w:eastAsia="宋体" w:cs="宋体"/>
          <w:sz w:val="24"/>
          <w:szCs w:val="24"/>
        </w:rPr>
      </w:pPr>
      <w:r>
        <w:rPr>
          <w:rFonts w:ascii="宋体" w:hAnsi="宋体" w:eastAsia="宋体" w:cs="宋体"/>
          <w:spacing w:val="2"/>
          <w:sz w:val="24"/>
          <w:szCs w:val="24"/>
        </w:rPr>
        <w:t>根据不同饲养阶段给以不同营养组分的饲料，使饲料养分更接近猪只的生长需</w:t>
      </w:r>
      <w:r>
        <w:rPr>
          <w:rFonts w:ascii="宋体" w:hAnsi="宋体" w:eastAsia="宋体" w:cs="宋体"/>
          <w:spacing w:val="10"/>
          <w:sz w:val="24"/>
          <w:szCs w:val="24"/>
        </w:rPr>
        <w:t xml:space="preserve"> </w:t>
      </w:r>
      <w:r>
        <w:rPr>
          <w:rFonts w:ascii="宋体" w:hAnsi="宋体" w:eastAsia="宋体" w:cs="宋体"/>
          <w:spacing w:val="-1"/>
          <w:sz w:val="24"/>
          <w:szCs w:val="24"/>
        </w:rPr>
        <w:t>要，避免养分的浪费和对环境的污染。</w:t>
      </w:r>
    </w:p>
    <w:p w14:paraId="17BF0926">
      <w:pPr>
        <w:spacing w:before="200" w:line="218" w:lineRule="auto"/>
        <w:ind w:left="479"/>
        <w:outlineLvl w:val="0"/>
        <w:rPr>
          <w:rFonts w:ascii="宋体" w:hAnsi="宋体" w:eastAsia="宋体" w:cs="宋体"/>
          <w:sz w:val="24"/>
          <w:szCs w:val="24"/>
        </w:rPr>
      </w:pPr>
      <w:r>
        <w:rPr>
          <w:rFonts w:ascii="宋体" w:hAnsi="宋体" w:eastAsia="宋体" w:cs="宋体"/>
          <w:spacing w:val="-2"/>
          <w:sz w:val="24"/>
          <w:szCs w:val="24"/>
        </w:rPr>
        <w:t>②喷洒除臭剂</w:t>
      </w:r>
    </w:p>
    <w:p w14:paraId="56991C94">
      <w:pPr>
        <w:spacing w:before="206" w:line="376" w:lineRule="auto"/>
        <w:ind w:left="1" w:right="80" w:firstLine="478"/>
        <w:jc w:val="both"/>
        <w:rPr>
          <w:rFonts w:ascii="宋体" w:hAnsi="宋体" w:eastAsia="宋体" w:cs="宋体"/>
          <w:sz w:val="24"/>
          <w:szCs w:val="24"/>
        </w:rPr>
      </w:pPr>
      <w:r>
        <w:rPr>
          <w:rFonts w:ascii="宋体" w:hAnsi="宋体" w:eastAsia="宋体" w:cs="宋体"/>
          <w:spacing w:val="2"/>
          <w:sz w:val="24"/>
          <w:szCs w:val="24"/>
        </w:rPr>
        <w:t>在各养猪档口安装除臭剂，用一种较强烈、能散发令人愉快的芳香气味去掩盖</w:t>
      </w:r>
      <w:r>
        <w:rPr>
          <w:rFonts w:ascii="宋体" w:hAnsi="宋体" w:eastAsia="宋体" w:cs="宋体"/>
          <w:spacing w:val="11"/>
          <w:sz w:val="24"/>
          <w:szCs w:val="24"/>
        </w:rPr>
        <w:t xml:space="preserve"> </w:t>
      </w:r>
      <w:r>
        <w:rPr>
          <w:rFonts w:ascii="宋体" w:hAnsi="宋体" w:eastAsia="宋体" w:cs="宋体"/>
          <w:spacing w:val="2"/>
          <w:sz w:val="24"/>
          <w:szCs w:val="24"/>
        </w:rPr>
        <w:t>令人不快的臭味，达到除臭的目的，具体的有喷洒除臭剂、放置除臭丸和烧香等，</w:t>
      </w:r>
      <w:r>
        <w:rPr>
          <w:rFonts w:ascii="宋体" w:hAnsi="宋体" w:eastAsia="宋体" w:cs="宋体"/>
          <w:spacing w:val="5"/>
          <w:sz w:val="24"/>
          <w:szCs w:val="24"/>
        </w:rPr>
        <w:t xml:space="preserve"> </w:t>
      </w:r>
      <w:r>
        <w:rPr>
          <w:rFonts w:ascii="宋体" w:hAnsi="宋体" w:eastAsia="宋体" w:cs="宋体"/>
          <w:spacing w:val="-1"/>
          <w:sz w:val="24"/>
          <w:szCs w:val="24"/>
        </w:rPr>
        <w:t>该除臭方法使用比较广泛。</w:t>
      </w:r>
    </w:p>
    <w:p w14:paraId="7E881B7C">
      <w:pPr>
        <w:spacing w:before="3" w:line="376" w:lineRule="auto"/>
        <w:ind w:right="80" w:firstLine="480"/>
        <w:jc w:val="both"/>
        <w:rPr>
          <w:rFonts w:ascii="宋体" w:hAnsi="宋体" w:eastAsia="宋体" w:cs="宋体"/>
          <w:sz w:val="24"/>
          <w:szCs w:val="24"/>
        </w:rPr>
      </w:pPr>
      <w:r>
        <w:rPr>
          <w:rFonts w:ascii="宋体" w:hAnsi="宋体" w:eastAsia="宋体" w:cs="宋体"/>
          <w:spacing w:val="2"/>
          <w:sz w:val="24"/>
          <w:szCs w:val="24"/>
        </w:rPr>
        <w:t>对于本项目可采用向猪舍喷洒除臭剂方法，将场区产生令人不愉快的气味掩盖</w:t>
      </w:r>
      <w:r>
        <w:rPr>
          <w:rFonts w:ascii="宋体" w:hAnsi="宋体" w:eastAsia="宋体" w:cs="宋体"/>
          <w:spacing w:val="11"/>
          <w:sz w:val="24"/>
          <w:szCs w:val="24"/>
        </w:rPr>
        <w:t xml:space="preserve"> </w:t>
      </w:r>
      <w:r>
        <w:rPr>
          <w:rFonts w:ascii="宋体" w:hAnsi="宋体" w:eastAsia="宋体" w:cs="宋体"/>
          <w:spacing w:val="2"/>
          <w:sz w:val="24"/>
          <w:szCs w:val="24"/>
        </w:rPr>
        <w:t>住，达到除臭的效果。这种方法投资较小，简便易行，具有较好的效果。但采用的</w:t>
      </w:r>
      <w:r>
        <w:rPr>
          <w:rFonts w:ascii="宋体" w:hAnsi="宋体" w:eastAsia="宋体" w:cs="宋体"/>
          <w:spacing w:val="7"/>
          <w:sz w:val="24"/>
          <w:szCs w:val="24"/>
        </w:rPr>
        <w:t xml:space="preserve"> </w:t>
      </w:r>
      <w:r>
        <w:rPr>
          <w:rFonts w:ascii="宋体" w:hAnsi="宋体" w:eastAsia="宋体" w:cs="宋体"/>
          <w:spacing w:val="-1"/>
          <w:sz w:val="24"/>
          <w:szCs w:val="24"/>
        </w:rPr>
        <w:t>除臭剂必须是无毒、无害，在环境中不会蓄积的。</w:t>
      </w:r>
    </w:p>
    <w:p w14:paraId="66A9D9B7">
      <w:pPr>
        <w:spacing w:before="3" w:line="370" w:lineRule="auto"/>
        <w:ind w:firstLine="525"/>
        <w:rPr>
          <w:rFonts w:ascii="宋体" w:hAnsi="宋体" w:eastAsia="宋体" w:cs="宋体"/>
          <w:sz w:val="24"/>
          <w:szCs w:val="24"/>
        </w:rPr>
      </w:pPr>
      <w:r>
        <w:rPr>
          <w:rFonts w:ascii="宋体" w:hAnsi="宋体" w:eastAsia="宋体" w:cs="宋体"/>
          <w:spacing w:val="-4"/>
          <w:sz w:val="24"/>
          <w:szCs w:val="24"/>
        </w:rPr>
        <w:t>目前除臭剂的种类较多，主要有姜满添加剂、沸石、绿矾、高锰酸钾、磷酸钙、</w:t>
      </w:r>
      <w:r>
        <w:rPr>
          <w:rFonts w:ascii="宋体" w:hAnsi="宋体" w:eastAsia="宋体" w:cs="宋体"/>
          <w:spacing w:val="12"/>
          <w:sz w:val="24"/>
          <w:szCs w:val="24"/>
        </w:rPr>
        <w:t xml:space="preserve"> </w:t>
      </w:r>
      <w:r>
        <w:rPr>
          <w:rFonts w:ascii="宋体" w:hAnsi="宋体" w:eastAsia="宋体" w:cs="宋体"/>
          <w:spacing w:val="-3"/>
          <w:sz w:val="24"/>
          <w:szCs w:val="24"/>
        </w:rPr>
        <w:t>过氧化氢和</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Bio—G</w:t>
      </w:r>
      <w:r>
        <w:rPr>
          <w:rFonts w:ascii="Times New Roman" w:hAnsi="Times New Roman" w:eastAsia="Times New Roman" w:cs="Times New Roman"/>
          <w:spacing w:val="23"/>
          <w:w w:val="101"/>
          <w:sz w:val="24"/>
          <w:szCs w:val="24"/>
        </w:rPr>
        <w:t xml:space="preserve"> </w:t>
      </w:r>
      <w:r>
        <w:rPr>
          <w:rFonts w:ascii="宋体" w:hAnsi="宋体" w:eastAsia="宋体" w:cs="宋体"/>
          <w:spacing w:val="-3"/>
          <w:sz w:val="24"/>
          <w:szCs w:val="24"/>
        </w:rPr>
        <w:t>除臭剂等，这些除臭剂的除臭效果好，运行比较稳定。建议采用</w:t>
      </w:r>
      <w:r>
        <w:rPr>
          <w:rFonts w:ascii="宋体" w:hAnsi="宋体" w:eastAsia="宋体" w:cs="宋体"/>
          <w:sz w:val="24"/>
          <w:szCs w:val="24"/>
        </w:rPr>
        <w:t xml:space="preserve"> </w:t>
      </w:r>
      <w:r>
        <w:rPr>
          <w:rFonts w:ascii="宋体" w:hAnsi="宋体" w:eastAsia="宋体" w:cs="宋体"/>
          <w:spacing w:val="-2"/>
          <w:sz w:val="24"/>
          <w:szCs w:val="24"/>
        </w:rPr>
        <w:t>过氧化氢和</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Bio—G</w:t>
      </w:r>
      <w:r>
        <w:rPr>
          <w:rFonts w:ascii="Times New Roman" w:hAnsi="Times New Roman" w:eastAsia="Times New Roman" w:cs="Times New Roman"/>
          <w:spacing w:val="25"/>
          <w:w w:val="101"/>
          <w:sz w:val="24"/>
          <w:szCs w:val="24"/>
        </w:rPr>
        <w:t xml:space="preserve"> </w:t>
      </w:r>
      <w:r>
        <w:rPr>
          <w:rFonts w:ascii="宋体" w:hAnsi="宋体" w:eastAsia="宋体" w:cs="宋体"/>
          <w:spacing w:val="-2"/>
          <w:sz w:val="24"/>
          <w:szCs w:val="24"/>
        </w:rPr>
        <w:t>除臭剂，</w:t>
      </w:r>
      <w:r>
        <w:rPr>
          <w:rFonts w:ascii="Times New Roman" w:hAnsi="Times New Roman" w:eastAsia="Times New Roman" w:cs="Times New Roman"/>
          <w:spacing w:val="-2"/>
          <w:sz w:val="24"/>
          <w:szCs w:val="24"/>
        </w:rPr>
        <w:t>Bio—G</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除臭剂系沙果、香蕉、</w:t>
      </w:r>
      <w:r>
        <w:rPr>
          <w:rFonts w:ascii="宋体" w:hAnsi="宋体" w:eastAsia="宋体" w:cs="宋体"/>
          <w:spacing w:val="-3"/>
          <w:sz w:val="24"/>
          <w:szCs w:val="24"/>
        </w:rPr>
        <w:t>甜瓜、橙子、红萝 卜、</w:t>
      </w:r>
      <w:r>
        <w:rPr>
          <w:rFonts w:ascii="宋体" w:hAnsi="宋体" w:eastAsia="宋体" w:cs="宋体"/>
          <w:sz w:val="24"/>
          <w:szCs w:val="24"/>
        </w:rPr>
        <w:t xml:space="preserve"> </w:t>
      </w:r>
      <w:r>
        <w:rPr>
          <w:rFonts w:ascii="宋体" w:hAnsi="宋体" w:eastAsia="宋体" w:cs="宋体"/>
          <w:spacing w:val="-2"/>
          <w:sz w:val="24"/>
          <w:szCs w:val="24"/>
        </w:rPr>
        <w:t>柿子、番茄、桔子、树叶、蜂蜜、草药等按一定配比制成的</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100</w:t>
      </w:r>
      <w:r>
        <w:rPr>
          <w:rFonts w:ascii="Times New Roman" w:hAnsi="Times New Roman" w:eastAsia="Times New Roman" w:cs="Times New Roman"/>
          <w:spacing w:val="-3"/>
          <w:sz w:val="24"/>
          <w:szCs w:val="24"/>
        </w:rPr>
        <w:t>%</w:t>
      </w:r>
      <w:r>
        <w:rPr>
          <w:rFonts w:ascii="宋体" w:hAnsi="宋体" w:eastAsia="宋体" w:cs="宋体"/>
          <w:spacing w:val="-3"/>
          <w:sz w:val="24"/>
          <w:szCs w:val="24"/>
        </w:rPr>
        <w:t>天然发酵液，这两</w:t>
      </w:r>
      <w:r>
        <w:rPr>
          <w:rFonts w:ascii="宋体" w:hAnsi="宋体" w:eastAsia="宋体" w:cs="宋体"/>
          <w:sz w:val="24"/>
          <w:szCs w:val="24"/>
        </w:rPr>
        <w:t xml:space="preserve"> </w:t>
      </w:r>
      <w:r>
        <w:rPr>
          <w:rFonts w:ascii="宋体" w:hAnsi="宋体" w:eastAsia="宋体" w:cs="宋体"/>
          <w:spacing w:val="-1"/>
          <w:sz w:val="24"/>
          <w:szCs w:val="24"/>
        </w:rPr>
        <w:t>种除臭剂使用过程无二次污染，除臭效果可达</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50%</w:t>
      </w:r>
      <w:r>
        <w:rPr>
          <w:rFonts w:ascii="宋体" w:hAnsi="宋体" w:eastAsia="宋体" w:cs="宋体"/>
          <w:spacing w:val="-1"/>
          <w:sz w:val="24"/>
          <w:szCs w:val="24"/>
        </w:rPr>
        <w:t>以上。</w:t>
      </w:r>
    </w:p>
    <w:p w14:paraId="19E4F49A">
      <w:pPr>
        <w:spacing w:before="35" w:line="218" w:lineRule="auto"/>
        <w:ind w:left="479"/>
        <w:outlineLvl w:val="0"/>
        <w:rPr>
          <w:rFonts w:ascii="宋体" w:hAnsi="宋体" w:eastAsia="宋体" w:cs="宋体"/>
          <w:sz w:val="24"/>
          <w:szCs w:val="24"/>
        </w:rPr>
      </w:pPr>
      <w:r>
        <w:rPr>
          <w:rFonts w:ascii="宋体" w:hAnsi="宋体" w:eastAsia="宋体" w:cs="宋体"/>
          <w:spacing w:val="-2"/>
          <w:sz w:val="24"/>
          <w:szCs w:val="24"/>
        </w:rPr>
        <w:t>③加强绿化</w:t>
      </w:r>
    </w:p>
    <w:p w14:paraId="566C050F">
      <w:pPr>
        <w:spacing w:before="112" w:line="361" w:lineRule="auto"/>
        <w:ind w:firstLine="479"/>
        <w:jc w:val="both"/>
        <w:rPr>
          <w:rFonts w:ascii="宋体" w:hAnsi="宋体" w:eastAsia="宋体" w:cs="宋体"/>
          <w:sz w:val="24"/>
          <w:szCs w:val="24"/>
        </w:rPr>
      </w:pPr>
      <w:r>
        <w:rPr>
          <w:rFonts w:ascii="宋体" w:hAnsi="宋体" w:eastAsia="宋体" w:cs="宋体"/>
          <w:spacing w:val="-2"/>
          <w:sz w:val="24"/>
          <w:szCs w:val="24"/>
        </w:rPr>
        <w:t>在养猪场地以及周围种植绿色植物是为了防止气味扩散</w:t>
      </w:r>
      <w:r>
        <w:rPr>
          <w:rFonts w:ascii="宋体" w:hAnsi="宋体" w:eastAsia="宋体" w:cs="宋体"/>
          <w:spacing w:val="-3"/>
          <w:sz w:val="24"/>
          <w:szCs w:val="24"/>
        </w:rPr>
        <w:t>，降低场区温度和噪音、</w:t>
      </w:r>
      <w:r>
        <w:rPr>
          <w:rFonts w:ascii="宋体" w:hAnsi="宋体" w:eastAsia="宋体" w:cs="宋体"/>
          <w:sz w:val="24"/>
          <w:szCs w:val="24"/>
        </w:rPr>
        <w:t xml:space="preserve"> </w:t>
      </w:r>
      <w:r>
        <w:rPr>
          <w:rFonts w:ascii="宋体" w:hAnsi="宋体" w:eastAsia="宋体" w:cs="宋体"/>
          <w:spacing w:val="2"/>
          <w:sz w:val="24"/>
          <w:szCs w:val="24"/>
        </w:rPr>
        <w:t>提高环境质量最有效的手段。种植绿色植物首先可以降低风速，防止气味传播到更</w:t>
      </w:r>
      <w:r>
        <w:rPr>
          <w:rFonts w:ascii="宋体" w:hAnsi="宋体" w:eastAsia="宋体" w:cs="宋体"/>
          <w:spacing w:val="6"/>
          <w:sz w:val="24"/>
          <w:szCs w:val="24"/>
        </w:rPr>
        <w:t xml:space="preserve"> </w:t>
      </w:r>
      <w:r>
        <w:rPr>
          <w:rFonts w:ascii="宋体" w:hAnsi="宋体" w:eastAsia="宋体" w:cs="宋体"/>
          <w:spacing w:val="2"/>
          <w:sz w:val="24"/>
          <w:szCs w:val="24"/>
        </w:rPr>
        <w:t>远的距离，减少气味的污染范围。根据国内的研究资料表明，在场区上风向种植防</w:t>
      </w:r>
      <w:r>
        <w:rPr>
          <w:rFonts w:ascii="宋体" w:hAnsi="宋体" w:eastAsia="宋体" w:cs="宋体"/>
          <w:spacing w:val="6"/>
          <w:sz w:val="24"/>
          <w:szCs w:val="24"/>
        </w:rPr>
        <w:t xml:space="preserve"> </w:t>
      </w:r>
      <w:r>
        <w:rPr>
          <w:rFonts w:ascii="宋体" w:hAnsi="宋体" w:eastAsia="宋体" w:cs="宋体"/>
          <w:spacing w:val="-1"/>
          <w:sz w:val="24"/>
          <w:szCs w:val="24"/>
        </w:rPr>
        <w:t>风林可使场区风速降低</w:t>
      </w:r>
      <w:r>
        <w:rPr>
          <w:rFonts w:ascii="Times New Roman" w:hAnsi="Times New Roman" w:eastAsia="Times New Roman" w:cs="Times New Roman"/>
          <w:spacing w:val="-1"/>
          <w:sz w:val="24"/>
          <w:szCs w:val="24"/>
        </w:rPr>
        <w:t>75</w:t>
      </w:r>
      <w:r>
        <w:rPr>
          <w:rFonts w:ascii="宋体" w:hAnsi="宋体" w:eastAsia="宋体" w:cs="宋体"/>
          <w:spacing w:val="-1"/>
          <w:sz w:val="24"/>
          <w:szCs w:val="24"/>
        </w:rPr>
        <w:t>～</w:t>
      </w:r>
      <w:r>
        <w:rPr>
          <w:rFonts w:ascii="Times New Roman" w:hAnsi="Times New Roman" w:eastAsia="Times New Roman" w:cs="Times New Roman"/>
          <w:spacing w:val="-1"/>
          <w:sz w:val="24"/>
          <w:szCs w:val="24"/>
        </w:rPr>
        <w:t>80%</w:t>
      </w:r>
      <w:r>
        <w:rPr>
          <w:rFonts w:ascii="宋体" w:hAnsi="宋体" w:eastAsia="宋体" w:cs="宋体"/>
          <w:spacing w:val="-1"/>
          <w:sz w:val="24"/>
          <w:szCs w:val="24"/>
        </w:rPr>
        <w:t>，有效范围可达树高的</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倍。同时绿色植物还可通</w:t>
      </w:r>
      <w:r>
        <w:rPr>
          <w:rFonts w:ascii="宋体" w:hAnsi="宋体" w:eastAsia="宋体" w:cs="宋体"/>
          <w:sz w:val="24"/>
          <w:szCs w:val="24"/>
        </w:rPr>
        <w:t xml:space="preserve"> </w:t>
      </w:r>
      <w:r>
        <w:rPr>
          <w:rFonts w:ascii="宋体" w:hAnsi="宋体" w:eastAsia="宋体" w:cs="宋体"/>
          <w:spacing w:val="2"/>
          <w:sz w:val="24"/>
          <w:szCs w:val="24"/>
        </w:rPr>
        <w:t>过控制温度改善局部环境。树叶还可以直接吸收、过滤含有气味的气体和尘粒，从</w:t>
      </w:r>
      <w:r>
        <w:rPr>
          <w:rFonts w:ascii="宋体" w:hAnsi="宋体" w:eastAsia="宋体" w:cs="宋体"/>
          <w:spacing w:val="6"/>
          <w:sz w:val="24"/>
          <w:szCs w:val="24"/>
        </w:rPr>
        <w:t xml:space="preserve"> </w:t>
      </w:r>
      <w:r>
        <w:rPr>
          <w:rFonts w:ascii="宋体" w:hAnsi="宋体" w:eastAsia="宋体" w:cs="宋体"/>
          <w:spacing w:val="1"/>
          <w:sz w:val="24"/>
          <w:szCs w:val="24"/>
        </w:rPr>
        <w:t>而减少空气中的气味，有害气体经过绿化带后，至少有</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25%</w:t>
      </w:r>
      <w:r>
        <w:rPr>
          <w:rFonts w:ascii="宋体" w:hAnsi="宋体" w:eastAsia="宋体" w:cs="宋体"/>
          <w:spacing w:val="1"/>
          <w:sz w:val="24"/>
          <w:szCs w:val="24"/>
        </w:rPr>
        <w:t>被吸收，恶臭可减少约</w:t>
      </w:r>
      <w:r>
        <w:rPr>
          <w:rFonts w:ascii="宋体" w:hAnsi="宋体" w:eastAsia="宋体" w:cs="宋体"/>
          <w:sz w:val="24"/>
          <w:szCs w:val="24"/>
        </w:rPr>
        <w:t xml:space="preserve"> </w:t>
      </w:r>
      <w:r>
        <w:rPr>
          <w:rFonts w:ascii="Times New Roman" w:hAnsi="Times New Roman" w:eastAsia="Times New Roman" w:cs="Times New Roman"/>
          <w:spacing w:val="-3"/>
          <w:sz w:val="24"/>
          <w:szCs w:val="24"/>
        </w:rPr>
        <w:t>55%</w:t>
      </w:r>
      <w:r>
        <w:rPr>
          <w:rFonts w:ascii="宋体" w:hAnsi="宋体" w:eastAsia="宋体" w:cs="宋体"/>
          <w:spacing w:val="-3"/>
          <w:sz w:val="24"/>
          <w:szCs w:val="24"/>
        </w:rPr>
        <w:t>。树木通过光合作用吸收空气中的二氧化碳、释放氧气，可使动物</w:t>
      </w:r>
      <w:r>
        <w:rPr>
          <w:rFonts w:ascii="宋体" w:hAnsi="宋体" w:eastAsia="宋体" w:cs="宋体"/>
          <w:spacing w:val="-4"/>
          <w:sz w:val="24"/>
          <w:szCs w:val="24"/>
        </w:rPr>
        <w:t>呼出的二氧化</w:t>
      </w:r>
      <w:r>
        <w:rPr>
          <w:rFonts w:ascii="宋体" w:hAnsi="宋体" w:eastAsia="宋体" w:cs="宋体"/>
          <w:sz w:val="24"/>
          <w:szCs w:val="24"/>
        </w:rPr>
        <w:t xml:space="preserve"> </w:t>
      </w:r>
      <w:r>
        <w:rPr>
          <w:rFonts w:ascii="宋体" w:hAnsi="宋体" w:eastAsia="宋体" w:cs="宋体"/>
          <w:spacing w:val="1"/>
          <w:sz w:val="24"/>
          <w:szCs w:val="24"/>
        </w:rPr>
        <w:t>碳减少</w:t>
      </w:r>
      <w:r>
        <w:rPr>
          <w:rFonts w:ascii="Times New Roman" w:hAnsi="Times New Roman" w:eastAsia="Times New Roman" w:cs="Times New Roman"/>
          <w:spacing w:val="1"/>
          <w:sz w:val="24"/>
          <w:szCs w:val="24"/>
        </w:rPr>
        <w:t>60%</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，改善空气质量。</w:t>
      </w:r>
    </w:p>
    <w:p w14:paraId="7BB7119C">
      <w:pPr>
        <w:spacing w:before="39" w:line="359" w:lineRule="exact"/>
        <w:ind w:left="476"/>
        <w:outlineLvl w:val="0"/>
        <w:rPr>
          <w:rFonts w:ascii="宋体" w:hAnsi="宋体" w:eastAsia="宋体" w:cs="宋体"/>
          <w:sz w:val="24"/>
          <w:szCs w:val="24"/>
        </w:rPr>
      </w:pPr>
      <w:r>
        <w:rPr>
          <w:rFonts w:ascii="Times New Roman" w:hAnsi="Times New Roman" w:eastAsia="Times New Roman" w:cs="Times New Roman"/>
          <w:spacing w:val="-1"/>
          <w:position w:val="2"/>
          <w:sz w:val="24"/>
          <w:szCs w:val="24"/>
        </w:rPr>
        <w:t>2</w:t>
      </w:r>
      <w:r>
        <w:rPr>
          <w:rFonts w:ascii="宋体" w:hAnsi="宋体" w:eastAsia="宋体" w:cs="宋体"/>
          <w:spacing w:val="-1"/>
          <w:position w:val="2"/>
          <w:sz w:val="24"/>
          <w:szCs w:val="24"/>
        </w:rPr>
        <w:t>）机械、化学处理方法</w:t>
      </w:r>
    </w:p>
    <w:p w14:paraId="3B1062E6">
      <w:pPr>
        <w:spacing w:before="165" w:line="324" w:lineRule="auto"/>
        <w:ind w:left="1" w:right="80" w:firstLine="481"/>
        <w:jc w:val="both"/>
        <w:rPr>
          <w:rFonts w:ascii="宋体" w:hAnsi="宋体" w:eastAsia="宋体" w:cs="宋体"/>
          <w:sz w:val="24"/>
          <w:szCs w:val="24"/>
        </w:rPr>
      </w:pPr>
      <w:r>
        <w:rPr>
          <w:rFonts w:ascii="宋体" w:hAnsi="宋体" w:eastAsia="宋体" w:cs="宋体"/>
          <w:spacing w:val="2"/>
          <w:sz w:val="24"/>
          <w:szCs w:val="24"/>
        </w:rPr>
        <w:t>从技术角度来看，恶臭最有效的治理方法是将散发恶臭的面源密闭，将恶臭集</w:t>
      </w:r>
      <w:r>
        <w:rPr>
          <w:rFonts w:ascii="宋体" w:hAnsi="宋体" w:eastAsia="宋体" w:cs="宋体"/>
          <w:spacing w:val="7"/>
          <w:sz w:val="24"/>
          <w:szCs w:val="24"/>
        </w:rPr>
        <w:t xml:space="preserve"> </w:t>
      </w:r>
      <w:r>
        <w:rPr>
          <w:rFonts w:ascii="宋体" w:hAnsi="宋体" w:eastAsia="宋体" w:cs="宋体"/>
          <w:spacing w:val="2"/>
          <w:sz w:val="24"/>
          <w:szCs w:val="24"/>
        </w:rPr>
        <w:t>中收集再进行有效的处理，即采用机械方法处理，机械处理方法即使用处理设备对</w:t>
      </w:r>
      <w:r>
        <w:rPr>
          <w:rFonts w:ascii="宋体" w:hAnsi="宋体" w:eastAsia="宋体" w:cs="宋体"/>
          <w:spacing w:val="5"/>
          <w:sz w:val="24"/>
          <w:szCs w:val="24"/>
        </w:rPr>
        <w:t xml:space="preserve"> </w:t>
      </w:r>
      <w:r>
        <w:rPr>
          <w:rFonts w:ascii="宋体" w:hAnsi="宋体" w:eastAsia="宋体" w:cs="宋体"/>
          <w:spacing w:val="2"/>
          <w:sz w:val="24"/>
          <w:szCs w:val="24"/>
        </w:rPr>
        <w:t>恶臭进行吸收或吸附，利用恶臭气体的物理或化学性质，使用水或化学吸收液对恶</w:t>
      </w:r>
    </w:p>
    <w:p w14:paraId="281F53BF">
      <w:pPr>
        <w:spacing w:line="324" w:lineRule="auto"/>
        <w:rPr>
          <w:rFonts w:ascii="宋体" w:hAnsi="宋体" w:eastAsia="宋体" w:cs="宋体"/>
          <w:sz w:val="24"/>
          <w:szCs w:val="24"/>
        </w:rPr>
        <w:sectPr>
          <w:footerReference r:id="rId154" w:type="default"/>
          <w:pgSz w:w="11906" w:h="16839"/>
          <w:pgMar w:top="400" w:right="1508" w:bottom="1485" w:left="1597" w:header="0" w:footer="1249" w:gutter="0"/>
          <w:cols w:space="720" w:num="1"/>
        </w:sectPr>
      </w:pPr>
    </w:p>
    <w:p w14:paraId="462E4070">
      <w:pPr>
        <w:pStyle w:val="2"/>
        <w:spacing w:line="264" w:lineRule="auto"/>
      </w:pPr>
    </w:p>
    <w:p w14:paraId="57236261">
      <w:pPr>
        <w:pStyle w:val="2"/>
        <w:spacing w:line="264" w:lineRule="auto"/>
      </w:pPr>
    </w:p>
    <w:p w14:paraId="5D1CC1E0">
      <w:pPr>
        <w:pStyle w:val="2"/>
        <w:spacing w:line="264" w:lineRule="auto"/>
      </w:pPr>
    </w:p>
    <w:p w14:paraId="5D5AA500">
      <w:pPr>
        <w:pStyle w:val="2"/>
        <w:spacing w:line="264" w:lineRule="auto"/>
      </w:pPr>
    </w:p>
    <w:p w14:paraId="529CF61F">
      <w:pPr>
        <w:spacing w:before="78" w:line="377" w:lineRule="auto"/>
        <w:ind w:left="1" w:right="63" w:hanging="1"/>
        <w:rPr>
          <w:rFonts w:ascii="宋体" w:hAnsi="宋体" w:eastAsia="宋体" w:cs="宋体"/>
          <w:sz w:val="24"/>
          <w:szCs w:val="24"/>
        </w:rPr>
      </w:pPr>
      <w:r>
        <w:rPr>
          <w:rFonts w:ascii="宋体" w:hAnsi="宋体" w:eastAsia="宋体" w:cs="宋体"/>
          <w:spacing w:val="2"/>
          <w:sz w:val="24"/>
          <w:szCs w:val="24"/>
        </w:rPr>
        <w:t>臭进行物理或化学吸收除臭的方法。即使用适当的液体作为吸收液，使恶臭气体与</w:t>
      </w:r>
      <w:r>
        <w:rPr>
          <w:rFonts w:ascii="宋体" w:hAnsi="宋体" w:eastAsia="宋体" w:cs="宋体"/>
          <w:spacing w:val="6"/>
          <w:sz w:val="24"/>
          <w:szCs w:val="24"/>
        </w:rPr>
        <w:t xml:space="preserve"> </w:t>
      </w:r>
      <w:r>
        <w:rPr>
          <w:rFonts w:ascii="宋体" w:hAnsi="宋体" w:eastAsia="宋体" w:cs="宋体"/>
          <w:spacing w:val="-1"/>
          <w:sz w:val="24"/>
          <w:szCs w:val="24"/>
        </w:rPr>
        <w:t>之接触，并使这些有害气体溶于吸收剂中，达到气体净化的目的。</w:t>
      </w:r>
    </w:p>
    <w:p w14:paraId="4F23E28A">
      <w:pPr>
        <w:spacing w:before="1" w:line="376" w:lineRule="auto"/>
        <w:ind w:left="2" w:right="63" w:firstLine="459"/>
        <w:jc w:val="both"/>
        <w:rPr>
          <w:rFonts w:ascii="宋体" w:hAnsi="宋体" w:eastAsia="宋体" w:cs="宋体"/>
          <w:sz w:val="24"/>
          <w:szCs w:val="24"/>
        </w:rPr>
      </w:pPr>
      <w:r>
        <w:rPr>
          <w:rFonts w:ascii="宋体" w:hAnsi="宋体" w:eastAsia="宋体" w:cs="宋体"/>
          <w:spacing w:val="3"/>
          <w:sz w:val="24"/>
          <w:szCs w:val="24"/>
        </w:rPr>
        <w:t>化学法一般有燃烧法、常温氧化法、吸收法、吸附法和冷凝法。</w:t>
      </w:r>
      <w:r>
        <w:rPr>
          <w:rFonts w:ascii="宋体" w:hAnsi="宋体" w:eastAsia="宋体" w:cs="宋体"/>
          <w:spacing w:val="2"/>
          <w:sz w:val="24"/>
          <w:szCs w:val="24"/>
        </w:rPr>
        <w:t>燃烧、氧化法</w:t>
      </w:r>
      <w:r>
        <w:rPr>
          <w:rFonts w:ascii="宋体" w:hAnsi="宋体" w:eastAsia="宋体" w:cs="宋体"/>
          <w:sz w:val="24"/>
          <w:szCs w:val="24"/>
        </w:rPr>
        <w:t xml:space="preserve"> </w:t>
      </w:r>
      <w:r>
        <w:rPr>
          <w:rFonts w:ascii="宋体" w:hAnsi="宋体" w:eastAsia="宋体" w:cs="宋体"/>
          <w:spacing w:val="2"/>
          <w:sz w:val="24"/>
          <w:szCs w:val="24"/>
        </w:rPr>
        <w:t>可以将产生恶臭物质彻底分解、去除，但要消耗大量燃料；而对于吸收法需要处理</w:t>
      </w:r>
      <w:r>
        <w:rPr>
          <w:rFonts w:ascii="宋体" w:hAnsi="宋体" w:eastAsia="宋体" w:cs="宋体"/>
          <w:spacing w:val="4"/>
          <w:sz w:val="24"/>
          <w:szCs w:val="24"/>
        </w:rPr>
        <w:t xml:space="preserve"> </w:t>
      </w:r>
      <w:r>
        <w:rPr>
          <w:rFonts w:ascii="宋体" w:hAnsi="宋体" w:eastAsia="宋体" w:cs="宋体"/>
          <w:spacing w:val="2"/>
          <w:sz w:val="24"/>
          <w:szCs w:val="24"/>
        </w:rPr>
        <w:t>吸收后产生的废液；吸附法还需要对浓集后再脱附的恶臭物质的进行处理和吸附剂</w:t>
      </w:r>
      <w:r>
        <w:rPr>
          <w:rFonts w:ascii="宋体" w:hAnsi="宋体" w:eastAsia="宋体" w:cs="宋体"/>
          <w:spacing w:val="4"/>
          <w:sz w:val="24"/>
          <w:szCs w:val="24"/>
        </w:rPr>
        <w:t xml:space="preserve"> </w:t>
      </w:r>
      <w:r>
        <w:rPr>
          <w:rFonts w:ascii="宋体" w:hAnsi="宋体" w:eastAsia="宋体" w:cs="宋体"/>
          <w:spacing w:val="2"/>
          <w:sz w:val="24"/>
          <w:szCs w:val="24"/>
        </w:rPr>
        <w:t>的再生；采用这些防治对策的前提是首先能将恶臭气体收集起来，并且气体排放量</w:t>
      </w:r>
      <w:r>
        <w:rPr>
          <w:rFonts w:ascii="宋体" w:hAnsi="宋体" w:eastAsia="宋体" w:cs="宋体"/>
          <w:spacing w:val="4"/>
          <w:sz w:val="24"/>
          <w:szCs w:val="24"/>
        </w:rPr>
        <w:t xml:space="preserve"> </w:t>
      </w:r>
      <w:r>
        <w:rPr>
          <w:rFonts w:ascii="宋体" w:hAnsi="宋体" w:eastAsia="宋体" w:cs="宋体"/>
          <w:spacing w:val="-1"/>
          <w:sz w:val="24"/>
          <w:szCs w:val="24"/>
        </w:rPr>
        <w:t>不大，这对于有组织排放气体容易做到。</w:t>
      </w:r>
    </w:p>
    <w:p w14:paraId="7EF83406">
      <w:pPr>
        <w:spacing w:before="5" w:line="375" w:lineRule="auto"/>
        <w:ind w:right="63" w:firstLine="460"/>
        <w:jc w:val="both"/>
        <w:rPr>
          <w:rFonts w:ascii="宋体" w:hAnsi="宋体" w:eastAsia="宋体" w:cs="宋体"/>
          <w:sz w:val="24"/>
          <w:szCs w:val="24"/>
        </w:rPr>
      </w:pPr>
      <w:r>
        <w:rPr>
          <w:rFonts w:ascii="宋体" w:hAnsi="宋体" w:eastAsia="宋体" w:cs="宋体"/>
          <w:spacing w:val="3"/>
          <w:sz w:val="24"/>
          <w:szCs w:val="24"/>
        </w:rPr>
        <w:t>对于本项目来讲，不能采用燃烧和氧化法。项目主要恶臭物质氨和硫</w:t>
      </w:r>
      <w:r>
        <w:rPr>
          <w:rFonts w:ascii="宋体" w:hAnsi="宋体" w:eastAsia="宋体" w:cs="宋体"/>
          <w:spacing w:val="2"/>
          <w:sz w:val="24"/>
          <w:szCs w:val="24"/>
        </w:rPr>
        <w:t>化氢，一</w:t>
      </w:r>
      <w:r>
        <w:rPr>
          <w:rFonts w:ascii="宋体" w:hAnsi="宋体" w:eastAsia="宋体" w:cs="宋体"/>
          <w:sz w:val="24"/>
          <w:szCs w:val="24"/>
        </w:rPr>
        <w:t xml:space="preserve"> </w:t>
      </w:r>
      <w:r>
        <w:rPr>
          <w:rFonts w:ascii="宋体" w:hAnsi="宋体" w:eastAsia="宋体" w:cs="宋体"/>
          <w:spacing w:val="2"/>
          <w:sz w:val="24"/>
          <w:szCs w:val="24"/>
        </w:rPr>
        <w:t>般采用乙醛以及氢氧化钠和次氯酸钠的混合液进行吸收处理。由于产生恶臭的养猪</w:t>
      </w:r>
      <w:r>
        <w:rPr>
          <w:rFonts w:ascii="宋体" w:hAnsi="宋体" w:eastAsia="宋体" w:cs="宋体"/>
          <w:spacing w:val="7"/>
          <w:sz w:val="24"/>
          <w:szCs w:val="24"/>
        </w:rPr>
        <w:t xml:space="preserve"> </w:t>
      </w:r>
      <w:r>
        <w:rPr>
          <w:rFonts w:ascii="宋体" w:hAnsi="宋体" w:eastAsia="宋体" w:cs="宋体"/>
          <w:spacing w:val="2"/>
          <w:sz w:val="24"/>
          <w:szCs w:val="24"/>
        </w:rPr>
        <w:t>场区是个大型的敞开空间，如果采用该种方法治理恶臭首先要将养殖场区进行封闭</w:t>
      </w:r>
      <w:r>
        <w:rPr>
          <w:rFonts w:ascii="宋体" w:hAnsi="宋体" w:eastAsia="宋体" w:cs="宋体"/>
          <w:spacing w:val="7"/>
          <w:sz w:val="24"/>
          <w:szCs w:val="24"/>
        </w:rPr>
        <w:t xml:space="preserve"> </w:t>
      </w:r>
      <w:r>
        <w:rPr>
          <w:rFonts w:ascii="宋体" w:hAnsi="宋体" w:eastAsia="宋体" w:cs="宋体"/>
          <w:spacing w:val="2"/>
          <w:sz w:val="24"/>
          <w:szCs w:val="24"/>
        </w:rPr>
        <w:t>（至少半封闭</w:t>
      </w:r>
      <w:r>
        <w:rPr>
          <w:rFonts w:ascii="宋体" w:hAnsi="宋体" w:eastAsia="宋体" w:cs="宋体"/>
          <w:spacing w:val="10"/>
          <w:sz w:val="24"/>
          <w:szCs w:val="24"/>
        </w:rPr>
        <w:t>），</w:t>
      </w:r>
      <w:r>
        <w:rPr>
          <w:rFonts w:ascii="宋体" w:hAnsi="宋体" w:eastAsia="宋体" w:cs="宋体"/>
          <w:spacing w:val="2"/>
          <w:sz w:val="24"/>
          <w:szCs w:val="24"/>
        </w:rPr>
        <w:t>然后对抽吸其中的空气，再送到吸收塔或者</w:t>
      </w:r>
      <w:r>
        <w:rPr>
          <w:rFonts w:ascii="宋体" w:hAnsi="宋体" w:eastAsia="宋体" w:cs="宋体"/>
          <w:spacing w:val="1"/>
          <w:sz w:val="24"/>
          <w:szCs w:val="24"/>
        </w:rPr>
        <w:t>吸附器进行处理。但</w:t>
      </w:r>
      <w:r>
        <w:rPr>
          <w:rFonts w:ascii="宋体" w:hAnsi="宋体" w:eastAsia="宋体" w:cs="宋体"/>
          <w:sz w:val="24"/>
          <w:szCs w:val="24"/>
        </w:rPr>
        <w:t xml:space="preserve"> </w:t>
      </w:r>
      <w:r>
        <w:rPr>
          <w:rFonts w:ascii="宋体" w:hAnsi="宋体" w:eastAsia="宋体" w:cs="宋体"/>
          <w:spacing w:val="-1"/>
          <w:sz w:val="24"/>
          <w:szCs w:val="24"/>
        </w:rPr>
        <w:t>这种恶臭处理方案对于该拟建项目是不可行的。</w:t>
      </w:r>
    </w:p>
    <w:p w14:paraId="45FC720E">
      <w:pPr>
        <w:spacing w:line="220" w:lineRule="auto"/>
        <w:ind w:left="481"/>
        <w:outlineLvl w:val="0"/>
        <w:rPr>
          <w:rFonts w:ascii="宋体" w:hAnsi="宋体" w:eastAsia="宋体" w:cs="宋体"/>
          <w:sz w:val="24"/>
          <w:szCs w:val="24"/>
        </w:rPr>
      </w:pPr>
      <w:r>
        <w:rPr>
          <w:rFonts w:ascii="宋体" w:hAnsi="宋体" w:eastAsia="宋体" w:cs="宋体"/>
          <w:spacing w:val="2"/>
          <w:sz w:val="24"/>
          <w:szCs w:val="24"/>
        </w:rPr>
        <w:t>养殖场地是一个巨大的空间，其所含恶臭气体的体积十分庞大，抽吸这些气体</w:t>
      </w:r>
    </w:p>
    <w:p w14:paraId="49D356FF">
      <w:pPr>
        <w:spacing w:before="203" w:line="359" w:lineRule="auto"/>
        <w:ind w:left="1" w:right="63" w:firstLine="18"/>
        <w:jc w:val="both"/>
        <w:rPr>
          <w:rFonts w:ascii="宋体" w:hAnsi="宋体" w:eastAsia="宋体" w:cs="宋体"/>
          <w:sz w:val="24"/>
          <w:szCs w:val="24"/>
        </w:rPr>
      </w:pPr>
      <w:r>
        <w:rPr>
          <w:rFonts w:ascii="宋体" w:hAnsi="宋体" w:eastAsia="宋体" w:cs="宋体"/>
          <w:spacing w:val="2"/>
          <w:sz w:val="24"/>
          <w:szCs w:val="24"/>
        </w:rPr>
        <w:t>的风机耗能将很高，而且吸收和吸附剂的消耗量也</w:t>
      </w:r>
      <w:r>
        <w:rPr>
          <w:rFonts w:ascii="宋体" w:hAnsi="宋体" w:eastAsia="宋体" w:cs="宋体"/>
          <w:spacing w:val="1"/>
          <w:sz w:val="24"/>
          <w:szCs w:val="24"/>
        </w:rPr>
        <w:t>很大，由此而产生的费用在我国</w:t>
      </w:r>
      <w:r>
        <w:rPr>
          <w:rFonts w:ascii="宋体" w:hAnsi="宋体" w:eastAsia="宋体" w:cs="宋体"/>
          <w:sz w:val="24"/>
          <w:szCs w:val="24"/>
        </w:rPr>
        <w:t xml:space="preserve"> </w:t>
      </w:r>
      <w:r>
        <w:rPr>
          <w:rFonts w:ascii="宋体" w:hAnsi="宋体" w:eastAsia="宋体" w:cs="宋体"/>
          <w:spacing w:val="2"/>
          <w:sz w:val="24"/>
          <w:szCs w:val="24"/>
        </w:rPr>
        <w:t>目前的社会经济发展水平而言，任何建设单位是无法承受。另外，由于需要抽取的</w:t>
      </w:r>
      <w:r>
        <w:rPr>
          <w:rFonts w:ascii="宋体" w:hAnsi="宋体" w:eastAsia="宋体" w:cs="宋体"/>
          <w:spacing w:val="5"/>
          <w:sz w:val="24"/>
          <w:szCs w:val="24"/>
        </w:rPr>
        <w:t xml:space="preserve"> </w:t>
      </w:r>
      <w:r>
        <w:rPr>
          <w:rFonts w:ascii="宋体" w:hAnsi="宋体" w:eastAsia="宋体" w:cs="宋体"/>
          <w:spacing w:val="2"/>
          <w:sz w:val="24"/>
          <w:szCs w:val="24"/>
        </w:rPr>
        <w:t>风量巨大，必将采用大功率的风机，由此带来的风机运行噪声也将对猪的生长造成</w:t>
      </w:r>
      <w:r>
        <w:rPr>
          <w:rFonts w:ascii="宋体" w:hAnsi="宋体" w:eastAsia="宋体" w:cs="宋体"/>
          <w:spacing w:val="5"/>
          <w:sz w:val="24"/>
          <w:szCs w:val="24"/>
        </w:rPr>
        <w:t xml:space="preserve"> </w:t>
      </w:r>
      <w:r>
        <w:rPr>
          <w:rFonts w:ascii="宋体" w:hAnsi="宋体" w:eastAsia="宋体" w:cs="宋体"/>
          <w:spacing w:val="-1"/>
          <w:sz w:val="24"/>
          <w:szCs w:val="24"/>
        </w:rPr>
        <w:t>一定的影响。因此，项目机械、化学处理方法不可行。</w:t>
      </w:r>
    </w:p>
    <w:p w14:paraId="3711463A">
      <w:pPr>
        <w:spacing w:before="2" w:line="359" w:lineRule="auto"/>
        <w:ind w:right="62" w:firstLine="464"/>
        <w:rPr>
          <w:rFonts w:ascii="宋体" w:hAnsi="宋体" w:eastAsia="宋体" w:cs="宋体"/>
          <w:sz w:val="24"/>
          <w:szCs w:val="24"/>
        </w:rPr>
      </w:pPr>
      <w:r>
        <w:rPr>
          <w:rFonts w:ascii="宋体" w:hAnsi="宋体" w:eastAsia="宋体" w:cs="宋体"/>
          <w:spacing w:val="2"/>
          <w:sz w:val="24"/>
          <w:szCs w:val="24"/>
        </w:rPr>
        <w:t>故本项目猪舍的恶臭应采取综合预防、防治的方法，即优化饲料</w:t>
      </w:r>
      <w:r>
        <w:rPr>
          <w:rFonts w:ascii="Times New Roman" w:hAnsi="Times New Roman" w:eastAsia="Times New Roman" w:cs="Times New Roman"/>
          <w:spacing w:val="1"/>
          <w:sz w:val="24"/>
          <w:szCs w:val="24"/>
        </w:rPr>
        <w:t>+</w:t>
      </w:r>
      <w:r>
        <w:rPr>
          <w:rFonts w:ascii="宋体" w:hAnsi="宋体" w:eastAsia="宋体" w:cs="宋体"/>
          <w:spacing w:val="1"/>
          <w:sz w:val="24"/>
          <w:szCs w:val="24"/>
        </w:rPr>
        <w:t>喷洒除臭剂</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加强绿化，则不会对周围环境空气和环境敏感点造成明显影响。</w:t>
      </w:r>
    </w:p>
    <w:p w14:paraId="6BE350D4">
      <w:pPr>
        <w:spacing w:before="50" w:line="359" w:lineRule="exact"/>
        <w:ind w:left="476"/>
        <w:outlineLvl w:val="0"/>
        <w:rPr>
          <w:rFonts w:ascii="宋体" w:hAnsi="宋体" w:eastAsia="宋体" w:cs="宋体"/>
          <w:sz w:val="24"/>
          <w:szCs w:val="24"/>
        </w:rPr>
      </w:pPr>
      <w:r>
        <w:rPr>
          <w:rFonts w:ascii="Times New Roman" w:hAnsi="Times New Roman" w:eastAsia="Times New Roman" w:cs="Times New Roman"/>
          <w:spacing w:val="-3"/>
          <w:position w:val="2"/>
          <w:sz w:val="24"/>
          <w:szCs w:val="24"/>
        </w:rPr>
        <w:t>2</w:t>
      </w:r>
      <w:r>
        <w:rPr>
          <w:rFonts w:ascii="Times New Roman" w:hAnsi="Times New Roman" w:eastAsia="Times New Roman" w:cs="Times New Roman"/>
          <w:spacing w:val="-34"/>
          <w:position w:val="2"/>
          <w:sz w:val="24"/>
          <w:szCs w:val="24"/>
        </w:rPr>
        <w:t xml:space="preserve"> </w:t>
      </w:r>
      <w:r>
        <w:rPr>
          <w:rFonts w:ascii="宋体" w:hAnsi="宋体" w:eastAsia="宋体" w:cs="宋体"/>
          <w:spacing w:val="-3"/>
          <w:position w:val="2"/>
          <w:sz w:val="24"/>
          <w:szCs w:val="24"/>
        </w:rPr>
        <w:t>、有机肥发酵车间恶臭</w:t>
      </w:r>
    </w:p>
    <w:p w14:paraId="561DCB41">
      <w:pPr>
        <w:spacing w:before="78" w:line="359" w:lineRule="auto"/>
        <w:ind w:left="2" w:firstLine="527"/>
        <w:jc w:val="both"/>
        <w:rPr>
          <w:rFonts w:ascii="宋体" w:hAnsi="宋体" w:eastAsia="宋体" w:cs="宋体"/>
          <w:sz w:val="24"/>
          <w:szCs w:val="24"/>
        </w:rPr>
      </w:pPr>
      <w:r>
        <w:rPr>
          <w:rFonts w:ascii="宋体" w:hAnsi="宋体" w:eastAsia="宋体" w:cs="宋体"/>
          <w:spacing w:val="-4"/>
          <w:sz w:val="24"/>
          <w:szCs w:val="24"/>
        </w:rPr>
        <w:t>恶臭防治方法也有两类，一类是机械抽风化学吸附法。由于有</w:t>
      </w:r>
      <w:r>
        <w:rPr>
          <w:rFonts w:ascii="宋体" w:hAnsi="宋体" w:eastAsia="宋体" w:cs="宋体"/>
          <w:spacing w:val="-5"/>
          <w:sz w:val="24"/>
          <w:szCs w:val="24"/>
        </w:rPr>
        <w:t>机肥车间空间大，</w:t>
      </w:r>
      <w:r>
        <w:rPr>
          <w:rFonts w:ascii="宋体" w:hAnsi="宋体" w:eastAsia="宋体" w:cs="宋体"/>
          <w:sz w:val="24"/>
          <w:szCs w:val="24"/>
        </w:rPr>
        <w:t xml:space="preserve"> </w:t>
      </w:r>
      <w:r>
        <w:rPr>
          <w:rFonts w:ascii="宋体" w:hAnsi="宋体" w:eastAsia="宋体" w:cs="宋体"/>
          <w:spacing w:val="2"/>
          <w:sz w:val="24"/>
          <w:szCs w:val="24"/>
        </w:rPr>
        <w:t>投资运行费用较高，且风机噪声容易对牲畜的生长造成一定影响，故对本项目而言</w:t>
      </w:r>
      <w:r>
        <w:rPr>
          <w:rFonts w:ascii="宋体" w:hAnsi="宋体" w:eastAsia="宋体" w:cs="宋体"/>
          <w:spacing w:val="4"/>
          <w:sz w:val="24"/>
          <w:szCs w:val="24"/>
        </w:rPr>
        <w:t xml:space="preserve"> </w:t>
      </w:r>
      <w:r>
        <w:rPr>
          <w:rFonts w:ascii="宋体" w:hAnsi="宋体" w:eastAsia="宋体" w:cs="宋体"/>
          <w:sz w:val="24"/>
          <w:szCs w:val="24"/>
        </w:rPr>
        <w:t>经济上是不能承受的。另一类是添加发酵除臭菌剂</w:t>
      </w:r>
      <w:r>
        <w:rPr>
          <w:rFonts w:ascii="宋体" w:hAnsi="宋体" w:eastAsia="宋体" w:cs="宋体"/>
          <w:spacing w:val="-1"/>
          <w:sz w:val="24"/>
          <w:szCs w:val="24"/>
        </w:rPr>
        <w:t>从源头上减少恶臭的散发量。</w:t>
      </w:r>
    </w:p>
    <w:p w14:paraId="78FD7F20">
      <w:pPr>
        <w:spacing w:before="2" w:line="352" w:lineRule="auto"/>
        <w:ind w:right="63" w:firstLine="480"/>
        <w:rPr>
          <w:rFonts w:ascii="宋体" w:hAnsi="宋体" w:eastAsia="宋体" w:cs="宋体"/>
          <w:sz w:val="24"/>
          <w:szCs w:val="24"/>
        </w:rPr>
      </w:pPr>
      <w:r>
        <w:rPr>
          <w:rFonts w:ascii="宋体" w:hAnsi="宋体" w:eastAsia="宋体" w:cs="宋体"/>
          <w:spacing w:val="2"/>
          <w:sz w:val="24"/>
          <w:szCs w:val="24"/>
        </w:rPr>
        <w:t>根据《上海农学院学报》，禽畜粪便产生恶臭的原因主要是氨的挥发，在恶臭</w:t>
      </w:r>
      <w:r>
        <w:rPr>
          <w:rFonts w:ascii="宋体" w:hAnsi="宋体" w:eastAsia="宋体" w:cs="宋体"/>
          <w:spacing w:val="10"/>
          <w:sz w:val="24"/>
          <w:szCs w:val="24"/>
        </w:rPr>
        <w:t xml:space="preserve"> </w:t>
      </w:r>
      <w:r>
        <w:rPr>
          <w:rFonts w:ascii="宋体" w:hAnsi="宋体" w:eastAsia="宋体" w:cs="宋体"/>
          <w:spacing w:val="-1"/>
          <w:sz w:val="24"/>
          <w:szCs w:val="24"/>
        </w:rPr>
        <w:t>扩散的同时，堆肥中的氨养分大量损失，从而降低了农用价值。</w:t>
      </w:r>
    </w:p>
    <w:p w14:paraId="671F7204">
      <w:pPr>
        <w:spacing w:before="1" w:line="353" w:lineRule="auto"/>
        <w:ind w:left="3" w:right="59" w:firstLine="479"/>
        <w:jc w:val="both"/>
        <w:rPr>
          <w:rFonts w:ascii="宋体" w:hAnsi="宋体" w:eastAsia="宋体" w:cs="宋体"/>
          <w:sz w:val="24"/>
          <w:szCs w:val="24"/>
        </w:rPr>
      </w:pPr>
      <w:r>
        <w:rPr>
          <w:rFonts w:ascii="宋体" w:hAnsi="宋体" w:eastAsia="宋体" w:cs="宋体"/>
          <w:spacing w:val="-2"/>
          <w:sz w:val="24"/>
          <w:szCs w:val="24"/>
        </w:rPr>
        <w:t>禽畜粪便中有许多易降解的氮类物质，它们被迅速降解为</w:t>
      </w:r>
      <w:r>
        <w:rPr>
          <w:rFonts w:ascii="宋体" w:hAnsi="宋体" w:eastAsia="宋体" w:cs="宋体"/>
          <w:spacing w:val="-63"/>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1"/>
          <w:sz w:val="15"/>
          <w:szCs w:val="15"/>
        </w:rPr>
        <w:t>4</w:t>
      </w:r>
      <w:r>
        <w:rPr>
          <w:rFonts w:ascii="宋体" w:hAnsi="宋体" w:eastAsia="宋体" w:cs="宋体"/>
          <w:spacing w:val="-2"/>
          <w:position w:val="11"/>
          <w:sz w:val="12"/>
          <w:szCs w:val="12"/>
        </w:rPr>
        <w:t>＋</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，除部分</w:t>
      </w:r>
      <w:r>
        <w:rPr>
          <w:rFonts w:ascii="宋体" w:hAnsi="宋体" w:eastAsia="宋体" w:cs="宋体"/>
          <w:spacing w:val="-63"/>
          <w:sz w:val="24"/>
          <w:szCs w:val="24"/>
        </w:rPr>
        <w:t xml:space="preserve"> </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position w:val="-1"/>
          <w:sz w:val="15"/>
          <w:szCs w:val="15"/>
        </w:rPr>
        <w:t>4</w:t>
      </w:r>
      <w:r>
        <w:rPr>
          <w:rFonts w:ascii="Times New Roman" w:hAnsi="Times New Roman" w:eastAsia="Times New Roman" w:cs="Times New Roman"/>
          <w:position w:val="-1"/>
          <w:sz w:val="15"/>
          <w:szCs w:val="15"/>
        </w:rPr>
        <w:t xml:space="preserve"> </w:t>
      </w:r>
      <w:r>
        <w:rPr>
          <w:rFonts w:ascii="宋体" w:hAnsi="宋体" w:eastAsia="宋体" w:cs="宋体"/>
          <w:spacing w:val="1"/>
          <w:position w:val="11"/>
          <w:sz w:val="12"/>
          <w:szCs w:val="12"/>
        </w:rPr>
        <w:t>+</w:t>
      </w:r>
      <w:r>
        <w:rPr>
          <w:rFonts w:ascii="宋体" w:hAnsi="宋体" w:eastAsia="宋体" w:cs="宋体"/>
          <w:spacing w:val="-35"/>
          <w:position w:val="11"/>
          <w:sz w:val="12"/>
          <w:szCs w:val="12"/>
        </w:rPr>
        <w:t xml:space="preserve"> </w:t>
      </w:r>
      <w:r>
        <w:rPr>
          <w:rFonts w:ascii="Times New Roman" w:hAnsi="Times New Roman" w:eastAsia="Times New Roman" w:cs="Times New Roman"/>
          <w:spacing w:val="1"/>
          <w:sz w:val="24"/>
          <w:szCs w:val="24"/>
        </w:rPr>
        <w:t xml:space="preserve">-N </w:t>
      </w:r>
      <w:r>
        <w:rPr>
          <w:rFonts w:ascii="宋体" w:hAnsi="宋体" w:eastAsia="宋体" w:cs="宋体"/>
          <w:spacing w:val="1"/>
          <w:sz w:val="24"/>
          <w:szCs w:val="24"/>
        </w:rPr>
        <w:t>被微生物进一步转化为有机氮和硝态氮外，大部分</w:t>
      </w:r>
      <w:r>
        <w:rPr>
          <w:rFonts w:ascii="宋体" w:hAnsi="宋体" w:eastAsia="宋体" w:cs="宋体"/>
          <w:sz w:val="24"/>
          <w:szCs w:val="24"/>
        </w:rPr>
        <w:t>来不及转化的</w:t>
      </w:r>
      <w:r>
        <w:rPr>
          <w:rFonts w:ascii="宋体" w:hAnsi="宋体" w:eastAsia="宋体" w:cs="宋体"/>
          <w:spacing w:val="-62"/>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4</w:t>
      </w:r>
      <w:r>
        <w:rPr>
          <w:rFonts w:ascii="宋体" w:hAnsi="宋体" w:eastAsia="宋体" w:cs="宋体"/>
          <w:position w:val="11"/>
          <w:sz w:val="12"/>
          <w:szCs w:val="12"/>
        </w:rPr>
        <w:t>＋</w:t>
      </w:r>
      <w:r>
        <w:rPr>
          <w:rFonts w:ascii="Times New Roman" w:hAnsi="Times New Roman" w:eastAsia="Times New Roman" w:cs="Times New Roman"/>
          <w:sz w:val="24"/>
          <w:szCs w:val="24"/>
        </w:rPr>
        <w:t xml:space="preserve">-N </w:t>
      </w:r>
      <w:r>
        <w:rPr>
          <w:rFonts w:ascii="宋体" w:hAnsi="宋体" w:eastAsia="宋体" w:cs="宋体"/>
          <w:sz w:val="24"/>
          <w:szCs w:val="24"/>
        </w:rPr>
        <w:t>在</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PH  </w:t>
      </w:r>
      <w:r>
        <w:rPr>
          <w:rFonts w:ascii="宋体" w:hAnsi="宋体" w:eastAsia="宋体" w:cs="宋体"/>
          <w:spacing w:val="1"/>
          <w:sz w:val="24"/>
          <w:szCs w:val="24"/>
        </w:rPr>
        <w:t>大于</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的环境中（腐熟堆肥中</w:t>
      </w:r>
      <w:r>
        <w:rPr>
          <w:rFonts w:ascii="Times New Roman" w:hAnsi="Times New Roman" w:eastAsia="Times New Roman" w:cs="Times New Roman"/>
          <w:sz w:val="24"/>
          <w:szCs w:val="24"/>
        </w:rPr>
        <w:t>PH</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通常大于</w:t>
      </w:r>
      <w:r>
        <w:rPr>
          <w:rFonts w:ascii="Times New Roman" w:hAnsi="Times New Roman" w:eastAsia="Times New Roman" w:cs="Times New Roman"/>
          <w:spacing w:val="1"/>
          <w:sz w:val="24"/>
          <w:szCs w:val="24"/>
        </w:rPr>
        <w:t>7</w:t>
      </w:r>
      <w:r>
        <w:rPr>
          <w:rFonts w:ascii="宋体" w:hAnsi="宋体" w:eastAsia="宋体" w:cs="宋体"/>
          <w:spacing w:val="1"/>
          <w:sz w:val="24"/>
          <w:szCs w:val="24"/>
        </w:rPr>
        <w:t>）以气态的形式挥发，这不仅仅</w:t>
      </w:r>
      <w:r>
        <w:rPr>
          <w:rFonts w:ascii="宋体" w:hAnsi="宋体" w:eastAsia="宋体" w:cs="宋体"/>
          <w:sz w:val="24"/>
          <w:szCs w:val="24"/>
        </w:rPr>
        <w:t>是氮元 素的损失途径，也是禽畜肥的主要致臭原因，控制发酵过程中氮类物质以</w:t>
      </w:r>
      <w:r>
        <w:rPr>
          <w:rFonts w:ascii="宋体" w:hAnsi="宋体" w:eastAsia="宋体" w:cs="宋体"/>
          <w:spacing w:val="-58"/>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position w:val="-1"/>
          <w:sz w:val="15"/>
          <w:szCs w:val="15"/>
        </w:rPr>
        <w:t>4</w:t>
      </w:r>
      <w:r>
        <w:rPr>
          <w:rFonts w:ascii="Times New Roman" w:hAnsi="Times New Roman" w:eastAsia="Times New Roman" w:cs="Times New Roman"/>
          <w:position w:val="8"/>
          <w:sz w:val="15"/>
          <w:szCs w:val="15"/>
        </w:rPr>
        <w:t>-</w:t>
      </w:r>
      <w:r>
        <w:rPr>
          <w:rFonts w:ascii="Times New Roman" w:hAnsi="Times New Roman" w:eastAsia="Times New Roman" w:cs="Times New Roman"/>
          <w:sz w:val="24"/>
          <w:szCs w:val="24"/>
        </w:rPr>
        <w:t>N</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的</w:t>
      </w:r>
    </w:p>
    <w:p w14:paraId="23169130">
      <w:pPr>
        <w:spacing w:line="353" w:lineRule="auto"/>
        <w:rPr>
          <w:rFonts w:ascii="宋体" w:hAnsi="宋体" w:eastAsia="宋体" w:cs="宋体"/>
          <w:sz w:val="24"/>
          <w:szCs w:val="24"/>
        </w:rPr>
        <w:sectPr>
          <w:footerReference r:id="rId155" w:type="default"/>
          <w:pgSz w:w="11906" w:h="16839"/>
          <w:pgMar w:top="400" w:right="1525" w:bottom="1485" w:left="1597" w:header="0" w:footer="1249" w:gutter="0"/>
          <w:cols w:space="720" w:num="1"/>
        </w:sectPr>
      </w:pPr>
    </w:p>
    <w:p w14:paraId="0C1DAA12">
      <w:pPr>
        <w:pStyle w:val="2"/>
        <w:spacing w:line="242" w:lineRule="auto"/>
      </w:pPr>
    </w:p>
    <w:p w14:paraId="2DBA719B">
      <w:pPr>
        <w:pStyle w:val="2"/>
        <w:spacing w:line="243" w:lineRule="auto"/>
      </w:pPr>
    </w:p>
    <w:p w14:paraId="78C31923">
      <w:pPr>
        <w:pStyle w:val="2"/>
        <w:spacing w:line="243" w:lineRule="auto"/>
      </w:pPr>
    </w:p>
    <w:p w14:paraId="79EF0CE8">
      <w:pPr>
        <w:pStyle w:val="2"/>
        <w:spacing w:line="243" w:lineRule="auto"/>
      </w:pPr>
    </w:p>
    <w:p w14:paraId="5AB9EE39">
      <w:pPr>
        <w:spacing w:before="78" w:line="359" w:lineRule="auto"/>
        <w:ind w:left="1" w:firstLine="2"/>
        <w:jc w:val="both"/>
        <w:rPr>
          <w:rFonts w:ascii="Times New Roman" w:hAnsi="Times New Roman" w:eastAsia="Times New Roman" w:cs="Times New Roman"/>
          <w:sz w:val="24"/>
          <w:szCs w:val="24"/>
        </w:rPr>
      </w:pPr>
      <w:r>
        <w:rPr>
          <w:rFonts w:ascii="宋体" w:hAnsi="宋体" w:eastAsia="宋体" w:cs="宋体"/>
          <w:spacing w:val="2"/>
          <w:sz w:val="24"/>
          <w:szCs w:val="24"/>
        </w:rPr>
        <w:t>形式是臭味控制和提高氮养分保留率的关键所在，试验表明，添加多维复合发酵除</w:t>
      </w:r>
      <w:r>
        <w:rPr>
          <w:rFonts w:ascii="宋体" w:hAnsi="宋体" w:eastAsia="宋体" w:cs="宋体"/>
          <w:spacing w:val="3"/>
          <w:sz w:val="24"/>
          <w:szCs w:val="24"/>
        </w:rPr>
        <w:t xml:space="preserve"> </w:t>
      </w:r>
      <w:r>
        <w:rPr>
          <w:rFonts w:ascii="宋体" w:hAnsi="宋体" w:eastAsia="宋体" w:cs="宋体"/>
          <w:spacing w:val="2"/>
          <w:sz w:val="24"/>
          <w:szCs w:val="24"/>
        </w:rPr>
        <w:t>臭剂后可以显著减少</w:t>
      </w:r>
      <w:r>
        <w:rPr>
          <w:rFonts w:ascii="宋体" w:hAnsi="宋体" w:eastAsia="宋体" w:cs="宋体"/>
          <w:spacing w:val="-60"/>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2"/>
          <w:position w:val="-1"/>
          <w:sz w:val="15"/>
          <w:szCs w:val="15"/>
        </w:rPr>
        <w:t>4</w:t>
      </w:r>
      <w:r>
        <w:rPr>
          <w:rFonts w:ascii="Times New Roman" w:hAnsi="Times New Roman" w:eastAsia="Times New Roman" w:cs="Times New Roman"/>
          <w:spacing w:val="2"/>
          <w:position w:val="7"/>
          <w:sz w:val="15"/>
          <w:szCs w:val="15"/>
        </w:rPr>
        <w:t>-</w:t>
      </w:r>
      <w:r>
        <w:rPr>
          <w:rFonts w:ascii="Times New Roman" w:hAnsi="Times New Roman" w:eastAsia="Times New Roman" w:cs="Times New Roman"/>
          <w:spacing w:val="2"/>
          <w:sz w:val="24"/>
          <w:szCs w:val="24"/>
        </w:rPr>
        <w:t xml:space="preserve">N </w:t>
      </w:r>
      <w:r>
        <w:rPr>
          <w:rFonts w:ascii="宋体" w:hAnsi="宋体" w:eastAsia="宋体" w:cs="宋体"/>
          <w:spacing w:val="2"/>
          <w:sz w:val="24"/>
          <w:szCs w:val="24"/>
        </w:rPr>
        <w:t>积累，多维复合发酵除臭剂处理的</w:t>
      </w:r>
      <w:r>
        <w:rPr>
          <w:rFonts w:ascii="宋体" w:hAnsi="宋体" w:eastAsia="宋体" w:cs="宋体"/>
          <w:spacing w:val="-60"/>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2"/>
          <w:position w:val="-1"/>
          <w:sz w:val="15"/>
          <w:szCs w:val="15"/>
        </w:rPr>
        <w:t>4</w:t>
      </w:r>
      <w:r>
        <w:rPr>
          <w:rFonts w:ascii="Times New Roman" w:hAnsi="Times New Roman" w:eastAsia="Times New Roman" w:cs="Times New Roman"/>
          <w:spacing w:val="-22"/>
          <w:position w:val="-1"/>
          <w:sz w:val="15"/>
          <w:szCs w:val="15"/>
        </w:rPr>
        <w:t xml:space="preserve"> </w:t>
      </w:r>
      <w:r>
        <w:rPr>
          <w:rFonts w:ascii="宋体" w:hAnsi="宋体" w:eastAsia="宋体" w:cs="宋体"/>
          <w:spacing w:val="1"/>
          <w:position w:val="11"/>
          <w:sz w:val="12"/>
          <w:szCs w:val="12"/>
        </w:rPr>
        <w:t>＋</w:t>
      </w:r>
      <w:r>
        <w:rPr>
          <w:rFonts w:ascii="Times New Roman" w:hAnsi="Times New Roman" w:eastAsia="Times New Roman" w:cs="Times New Roman"/>
          <w:spacing w:val="1"/>
          <w:sz w:val="24"/>
          <w:szCs w:val="24"/>
        </w:rPr>
        <w:t xml:space="preserve">-N </w:t>
      </w:r>
      <w:r>
        <w:rPr>
          <w:rFonts w:ascii="宋体" w:hAnsi="宋体" w:eastAsia="宋体" w:cs="宋体"/>
          <w:spacing w:val="1"/>
          <w:sz w:val="24"/>
          <w:szCs w:val="24"/>
        </w:rPr>
        <w:t>含量较自然</w:t>
      </w:r>
      <w:r>
        <w:rPr>
          <w:rFonts w:ascii="宋体" w:hAnsi="宋体" w:eastAsia="宋体" w:cs="宋体"/>
          <w:sz w:val="24"/>
          <w:szCs w:val="24"/>
        </w:rPr>
        <w:t xml:space="preserve"> </w:t>
      </w:r>
      <w:r>
        <w:rPr>
          <w:rFonts w:ascii="宋体" w:hAnsi="宋体" w:eastAsia="宋体" w:cs="宋体"/>
          <w:spacing w:val="-1"/>
          <w:sz w:val="24"/>
          <w:szCs w:val="24"/>
        </w:rPr>
        <w:t>发酵减少</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72.3</w:t>
      </w:r>
      <w:r>
        <w:rPr>
          <w:rFonts w:ascii="宋体" w:hAnsi="宋体" w:eastAsia="宋体" w:cs="宋体"/>
          <w:spacing w:val="-1"/>
          <w:sz w:val="24"/>
          <w:szCs w:val="24"/>
        </w:rPr>
        <w:t>～</w:t>
      </w:r>
      <w:r>
        <w:rPr>
          <w:rFonts w:ascii="Times New Roman" w:hAnsi="Times New Roman" w:eastAsia="Times New Roman" w:cs="Times New Roman"/>
          <w:spacing w:val="-1"/>
          <w:sz w:val="24"/>
          <w:szCs w:val="24"/>
        </w:rPr>
        <w:t>96.2</w:t>
      </w:r>
      <w:r>
        <w:rPr>
          <w:rFonts w:ascii="宋体" w:hAnsi="宋体" w:eastAsia="宋体" w:cs="宋体"/>
          <w:spacing w:val="-4"/>
          <w:sz w:val="24"/>
          <w:szCs w:val="24"/>
        </w:rPr>
        <w:t>％，</w:t>
      </w:r>
      <w:r>
        <w:rPr>
          <w:rFonts w:ascii="宋体" w:hAnsi="宋体" w:eastAsia="宋体" w:cs="宋体"/>
          <w:spacing w:val="-1"/>
          <w:sz w:val="24"/>
          <w:szCs w:val="24"/>
        </w:rPr>
        <w:t>全氮含量增加</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25.98</w:t>
      </w:r>
      <w:r>
        <w:rPr>
          <w:rFonts w:ascii="宋体" w:hAnsi="宋体" w:eastAsia="宋体" w:cs="宋体"/>
          <w:spacing w:val="-4"/>
          <w:sz w:val="24"/>
          <w:szCs w:val="24"/>
        </w:rPr>
        <w:t>％～</w:t>
      </w:r>
      <w:r>
        <w:rPr>
          <w:rFonts w:ascii="Times New Roman" w:hAnsi="Times New Roman" w:eastAsia="Times New Roman" w:cs="Times New Roman"/>
          <w:spacing w:val="-1"/>
          <w:sz w:val="24"/>
          <w:szCs w:val="24"/>
        </w:rPr>
        <w:t>23.20</w:t>
      </w:r>
      <w:r>
        <w:rPr>
          <w:rFonts w:ascii="宋体" w:hAnsi="宋体" w:eastAsia="宋体" w:cs="宋体"/>
          <w:spacing w:val="-1"/>
          <w:sz w:val="24"/>
          <w:szCs w:val="24"/>
        </w:rPr>
        <w:t>％。试验表明，经过多维复合</w:t>
      </w:r>
      <w:r>
        <w:rPr>
          <w:rFonts w:ascii="宋体" w:hAnsi="宋体" w:eastAsia="宋体" w:cs="宋体"/>
          <w:sz w:val="24"/>
          <w:szCs w:val="24"/>
        </w:rPr>
        <w:t xml:space="preserve"> </w:t>
      </w:r>
      <w:r>
        <w:rPr>
          <w:rFonts w:ascii="宋体" w:hAnsi="宋体" w:eastAsia="宋体" w:cs="宋体"/>
          <w:spacing w:val="2"/>
          <w:sz w:val="24"/>
          <w:szCs w:val="24"/>
        </w:rPr>
        <w:t>发酵除臭剂处理的氨臭味很淡，由于该除臭剂中含有大量的除臭菌、放线菌、酵母</w:t>
      </w:r>
      <w:r>
        <w:rPr>
          <w:rFonts w:ascii="宋体" w:hAnsi="宋体" w:eastAsia="宋体" w:cs="宋体"/>
          <w:spacing w:val="6"/>
          <w:sz w:val="24"/>
          <w:szCs w:val="24"/>
        </w:rPr>
        <w:t xml:space="preserve"> </w:t>
      </w:r>
      <w:r>
        <w:rPr>
          <w:rFonts w:ascii="宋体" w:hAnsi="宋体" w:eastAsia="宋体" w:cs="宋体"/>
          <w:spacing w:val="-3"/>
          <w:sz w:val="24"/>
          <w:szCs w:val="24"/>
        </w:rPr>
        <w:t>菌、曲霉菌等好气有益土壤微生物菌群，它们一方面保持着碳、氮物质的同步代谢，</w:t>
      </w:r>
      <w:r>
        <w:rPr>
          <w:rFonts w:ascii="宋体" w:hAnsi="宋体" w:eastAsia="宋体" w:cs="宋体"/>
          <w:spacing w:val="12"/>
          <w:sz w:val="24"/>
          <w:szCs w:val="24"/>
        </w:rPr>
        <w:t xml:space="preserve"> </w:t>
      </w:r>
      <w:r>
        <w:rPr>
          <w:rFonts w:ascii="宋体" w:hAnsi="宋体" w:eastAsia="宋体" w:cs="宋体"/>
          <w:spacing w:val="-3"/>
          <w:sz w:val="24"/>
          <w:szCs w:val="24"/>
        </w:rPr>
        <w:t>另一方面又使氮类物质在分解代谢时形成的较多的</w:t>
      </w:r>
      <w:r>
        <w:rPr>
          <w:rFonts w:ascii="宋体" w:hAnsi="宋体" w:eastAsia="宋体" w:cs="宋体"/>
          <w:spacing w:val="-4"/>
          <w:sz w:val="24"/>
          <w:szCs w:val="24"/>
        </w:rPr>
        <w:t>芳香小分子有机物。粪便发酵</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10d</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左右，散发浓郁的酒香，这种香味随着堆制时间的延长而浓烈，掩盖了仅存的少量</w:t>
      </w:r>
      <w:r>
        <w:rPr>
          <w:rFonts w:ascii="宋体" w:hAnsi="宋体" w:eastAsia="宋体" w:cs="宋体"/>
          <w:spacing w:val="6"/>
          <w:sz w:val="24"/>
          <w:szCs w:val="24"/>
        </w:rPr>
        <w:t xml:space="preserve"> </w:t>
      </w:r>
      <w:r>
        <w:rPr>
          <w:rFonts w:ascii="宋体" w:hAnsi="宋体" w:eastAsia="宋体" w:cs="宋体"/>
          <w:spacing w:val="2"/>
          <w:sz w:val="24"/>
          <w:szCs w:val="24"/>
        </w:rPr>
        <w:t>异味，多维复合发酵除臭剂能够有效的控制堆肥的臭味，除臭原因与其降低鸡粪堆</w:t>
      </w:r>
      <w:r>
        <w:rPr>
          <w:rFonts w:ascii="宋体" w:hAnsi="宋体" w:eastAsia="宋体" w:cs="宋体"/>
          <w:spacing w:val="6"/>
          <w:sz w:val="24"/>
          <w:szCs w:val="24"/>
        </w:rPr>
        <w:t xml:space="preserve"> </w:t>
      </w:r>
      <w:r>
        <w:rPr>
          <w:rFonts w:ascii="宋体" w:hAnsi="宋体" w:eastAsia="宋体" w:cs="宋体"/>
          <w:spacing w:val="1"/>
          <w:sz w:val="24"/>
          <w:szCs w:val="24"/>
        </w:rPr>
        <w:t>肥中的</w:t>
      </w:r>
      <w:r>
        <w:rPr>
          <w:rFonts w:ascii="宋体" w:hAnsi="宋体" w:eastAsia="宋体" w:cs="宋体"/>
          <w:spacing w:val="-62"/>
          <w:sz w:val="24"/>
          <w:szCs w:val="24"/>
        </w:rPr>
        <w:t xml:space="preserve"> </w:t>
      </w:r>
      <w:r>
        <w:rPr>
          <w:rFonts w:ascii="Times New Roman" w:hAnsi="Times New Roman" w:eastAsia="Times New Roman" w:cs="Times New Roman"/>
          <w:sz w:val="24"/>
          <w:szCs w:val="24"/>
        </w:rPr>
        <w:t>NH</w:t>
      </w:r>
      <w:r>
        <w:rPr>
          <w:rFonts w:ascii="Times New Roman" w:hAnsi="Times New Roman" w:eastAsia="Times New Roman" w:cs="Times New Roman"/>
          <w:spacing w:val="1"/>
          <w:position w:val="-1"/>
          <w:sz w:val="15"/>
          <w:szCs w:val="15"/>
        </w:rPr>
        <w:t>4</w:t>
      </w:r>
      <w:r>
        <w:rPr>
          <w:rFonts w:ascii="Times New Roman" w:hAnsi="Times New Roman" w:eastAsia="Times New Roman" w:cs="Times New Roman"/>
          <w:spacing w:val="1"/>
          <w:position w:val="7"/>
          <w:sz w:val="15"/>
          <w:szCs w:val="15"/>
        </w:rPr>
        <w:t>-</w:t>
      </w:r>
      <w:r>
        <w:rPr>
          <w:rFonts w:ascii="Times New Roman" w:hAnsi="Times New Roman" w:eastAsia="Times New Roman" w:cs="Times New Roman"/>
          <w:spacing w:val="1"/>
          <w:sz w:val="24"/>
          <w:szCs w:val="24"/>
        </w:rPr>
        <w:t xml:space="preserve">N </w:t>
      </w:r>
      <w:r>
        <w:rPr>
          <w:rFonts w:ascii="宋体" w:hAnsi="宋体" w:eastAsia="宋体" w:cs="宋体"/>
          <w:spacing w:val="1"/>
          <w:sz w:val="24"/>
          <w:szCs w:val="24"/>
        </w:rPr>
        <w:t>含量，促进氮类物质香蛋白氮和硝基氮、碳类物质降解转化为芳香小</w:t>
      </w:r>
      <w:r>
        <w:rPr>
          <w:rFonts w:ascii="宋体" w:hAnsi="宋体" w:eastAsia="宋体" w:cs="宋体"/>
          <w:sz w:val="24"/>
          <w:szCs w:val="24"/>
        </w:rPr>
        <w:t xml:space="preserve"> </w:t>
      </w:r>
      <w:r>
        <w:rPr>
          <w:rFonts w:ascii="宋体" w:hAnsi="宋体" w:eastAsia="宋体" w:cs="宋体"/>
          <w:spacing w:val="2"/>
          <w:sz w:val="24"/>
          <w:szCs w:val="24"/>
        </w:rPr>
        <w:t>分子有机物有关。本项目除添加多维复合发酵除臭剂外，有机肥车间周围还设有绿</w:t>
      </w:r>
      <w:r>
        <w:rPr>
          <w:rFonts w:ascii="宋体" w:hAnsi="宋体" w:eastAsia="宋体" w:cs="宋体"/>
          <w:spacing w:val="6"/>
          <w:sz w:val="24"/>
          <w:szCs w:val="24"/>
        </w:rPr>
        <w:t xml:space="preserve"> </w:t>
      </w:r>
      <w:r>
        <w:rPr>
          <w:rFonts w:ascii="宋体" w:hAnsi="宋体" w:eastAsia="宋体" w:cs="宋体"/>
          <w:spacing w:val="-1"/>
          <w:sz w:val="24"/>
          <w:szCs w:val="24"/>
        </w:rPr>
        <w:t>化带，定时在有机肥车间周边喷洒除臭剂，采取以上措施后，处理效率能达到</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70%</w:t>
      </w:r>
    </w:p>
    <w:p w14:paraId="50DC7D80">
      <w:pPr>
        <w:spacing w:before="2" w:line="359" w:lineRule="auto"/>
        <w:ind w:left="1" w:right="63" w:firstLine="483"/>
        <w:rPr>
          <w:rFonts w:ascii="宋体" w:hAnsi="宋体" w:eastAsia="宋体" w:cs="宋体"/>
          <w:sz w:val="24"/>
          <w:szCs w:val="24"/>
        </w:rPr>
      </w:pPr>
      <w:r>
        <w:rPr>
          <w:rFonts w:ascii="宋体" w:hAnsi="宋体" w:eastAsia="宋体" w:cs="宋体"/>
          <w:spacing w:val="2"/>
          <w:sz w:val="24"/>
          <w:szCs w:val="24"/>
        </w:rPr>
        <w:t>故从经济角度出发，建设单位拟在粪污中加入发酵除臭菌剂来减少恶臭的散发</w:t>
      </w:r>
      <w:r>
        <w:rPr>
          <w:rFonts w:ascii="宋体" w:hAnsi="宋体" w:eastAsia="宋体" w:cs="宋体"/>
          <w:spacing w:val="6"/>
          <w:sz w:val="24"/>
          <w:szCs w:val="24"/>
        </w:rPr>
        <w:t xml:space="preserve"> </w:t>
      </w:r>
      <w:r>
        <w:rPr>
          <w:rFonts w:ascii="宋体" w:hAnsi="宋体" w:eastAsia="宋体" w:cs="宋体"/>
          <w:spacing w:val="-1"/>
          <w:sz w:val="24"/>
          <w:szCs w:val="24"/>
        </w:rPr>
        <w:t>量、定时在有机肥发酵车间周边喷洒除臭剂以及加强周边绿化。</w:t>
      </w:r>
    </w:p>
    <w:p w14:paraId="4B93B0FA">
      <w:pPr>
        <w:spacing w:before="50" w:line="372" w:lineRule="auto"/>
        <w:ind w:left="2" w:right="63" w:firstLine="480"/>
        <w:rPr>
          <w:rFonts w:ascii="宋体" w:hAnsi="宋体" w:eastAsia="宋体" w:cs="宋体"/>
          <w:sz w:val="24"/>
          <w:szCs w:val="24"/>
        </w:rPr>
      </w:pPr>
      <w:r>
        <w:rPr>
          <w:rFonts w:ascii="宋体" w:hAnsi="宋体" w:eastAsia="宋体" w:cs="宋体"/>
          <w:spacing w:val="-1"/>
          <w:sz w:val="24"/>
          <w:szCs w:val="24"/>
        </w:rPr>
        <w:t>本项目在臭气的治理上投资约为</w:t>
      </w:r>
      <w:r>
        <w:rPr>
          <w:rFonts w:ascii="Times New Roman" w:hAnsi="Times New Roman" w:eastAsia="Times New Roman" w:cs="Times New Roman"/>
          <w:spacing w:val="-1"/>
          <w:sz w:val="24"/>
          <w:szCs w:val="24"/>
        </w:rPr>
        <w:t>40</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万元，占项目总投资的</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，用于室内外通</w:t>
      </w:r>
      <w:r>
        <w:rPr>
          <w:rFonts w:ascii="宋体" w:hAnsi="宋体" w:eastAsia="宋体" w:cs="宋体"/>
          <w:sz w:val="24"/>
          <w:szCs w:val="24"/>
        </w:rPr>
        <w:t xml:space="preserve"> </w:t>
      </w:r>
      <w:r>
        <w:rPr>
          <w:rFonts w:ascii="宋体" w:hAnsi="宋体" w:eastAsia="宋体" w:cs="宋体"/>
          <w:spacing w:val="-1"/>
          <w:sz w:val="24"/>
          <w:szCs w:val="24"/>
        </w:rPr>
        <w:t>风的投资约</w:t>
      </w:r>
      <w:r>
        <w:rPr>
          <w:rFonts w:ascii="宋体" w:hAnsi="宋体" w:eastAsia="宋体" w:cs="宋体"/>
          <w:spacing w:val="-15"/>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万，占项目总投资的</w:t>
      </w:r>
      <w:r>
        <w:rPr>
          <w:rFonts w:ascii="Times New Roman" w:hAnsi="Times New Roman" w:eastAsia="Times New Roman" w:cs="Times New Roman"/>
          <w:spacing w:val="-1"/>
          <w:sz w:val="24"/>
          <w:szCs w:val="24"/>
        </w:rPr>
        <w:t>0.7%</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，上述投入对本项目而言，是可承受的。</w:t>
      </w:r>
    </w:p>
    <w:p w14:paraId="1FB4D9CB">
      <w:pPr>
        <w:pStyle w:val="2"/>
        <w:spacing w:line="265" w:lineRule="auto"/>
      </w:pPr>
    </w:p>
    <w:p w14:paraId="4AF4BF9C">
      <w:pPr>
        <w:spacing w:before="78" w:line="221" w:lineRule="auto"/>
        <w:ind w:left="1"/>
        <w:outlineLvl w:val="1"/>
        <w:rPr>
          <w:rFonts w:ascii="宋体" w:hAnsi="宋体" w:eastAsia="宋体" w:cs="宋体"/>
          <w:sz w:val="24"/>
          <w:szCs w:val="24"/>
        </w:rPr>
      </w:pPr>
      <w:r>
        <w:rPr>
          <w:rFonts w:ascii="Times New Roman" w:hAnsi="Times New Roman" w:eastAsia="Times New Roman" w:cs="Times New Roman"/>
          <w:b/>
          <w:bCs/>
          <w:spacing w:val="-2"/>
          <w:sz w:val="24"/>
          <w:szCs w:val="24"/>
        </w:rPr>
        <w:t>6.2.2</w:t>
      </w:r>
      <w:r>
        <w:rPr>
          <w:rFonts w:ascii="宋体" w:hAnsi="宋体" w:eastAsia="宋体" w:cs="宋体"/>
          <w:b/>
          <w:bCs/>
          <w:spacing w:val="-2"/>
          <w:sz w:val="24"/>
          <w:szCs w:val="24"/>
        </w:rPr>
        <w:t>废气治理经济可行性分析</w:t>
      </w:r>
    </w:p>
    <w:p w14:paraId="60F12D78">
      <w:pPr>
        <w:pStyle w:val="2"/>
        <w:spacing w:line="278" w:lineRule="auto"/>
      </w:pPr>
    </w:p>
    <w:p w14:paraId="1B52FF37">
      <w:pPr>
        <w:spacing w:before="78" w:line="373" w:lineRule="auto"/>
        <w:ind w:left="2" w:right="63" w:firstLine="482"/>
        <w:jc w:val="both"/>
        <w:rPr>
          <w:rFonts w:ascii="宋体" w:hAnsi="宋体" w:eastAsia="宋体" w:cs="宋体"/>
          <w:sz w:val="24"/>
          <w:szCs w:val="24"/>
        </w:rPr>
      </w:pPr>
      <w:r>
        <w:rPr>
          <w:rFonts w:ascii="宋体" w:hAnsi="宋体" w:eastAsia="宋体" w:cs="宋体"/>
          <w:spacing w:val="2"/>
          <w:sz w:val="24"/>
          <w:szCs w:val="24"/>
        </w:rPr>
        <w:t>为切实保护大气环境，建设单位需要投资建设的大气污染防治措施主要有：需</w:t>
      </w:r>
      <w:r>
        <w:rPr>
          <w:rFonts w:ascii="宋体" w:hAnsi="宋体" w:eastAsia="宋体" w:cs="宋体"/>
          <w:spacing w:val="7"/>
          <w:sz w:val="24"/>
          <w:szCs w:val="24"/>
        </w:rPr>
        <w:t xml:space="preserve"> </w:t>
      </w:r>
      <w:r>
        <w:rPr>
          <w:rFonts w:ascii="宋体" w:hAnsi="宋体" w:eastAsia="宋体" w:cs="宋体"/>
          <w:spacing w:val="-2"/>
          <w:sz w:val="24"/>
          <w:szCs w:val="24"/>
        </w:rPr>
        <w:t>要购买微生物发酵除臭剂、通风设施等。废气治理费用约</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50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万元，占项目总投资的</w:t>
      </w:r>
      <w:r>
        <w:rPr>
          <w:rFonts w:ascii="宋体" w:hAnsi="宋体" w:eastAsia="宋体" w:cs="宋体"/>
          <w:sz w:val="24"/>
          <w:szCs w:val="24"/>
        </w:rPr>
        <w:t xml:space="preserve"> </w:t>
      </w:r>
      <w:r>
        <w:rPr>
          <w:rFonts w:ascii="Times New Roman" w:hAnsi="Times New Roman" w:eastAsia="Times New Roman" w:cs="Times New Roman"/>
          <w:spacing w:val="-3"/>
          <w:sz w:val="24"/>
          <w:szCs w:val="24"/>
        </w:rPr>
        <w:t>3.8%</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，可以被建设单位接受。</w:t>
      </w:r>
    </w:p>
    <w:p w14:paraId="2BE97B81">
      <w:pPr>
        <w:spacing w:before="317" w:line="226" w:lineRule="auto"/>
        <w:ind w:left="4"/>
        <w:outlineLvl w:val="1"/>
        <w:rPr>
          <w:rFonts w:ascii="宋体" w:hAnsi="宋体" w:eastAsia="宋体" w:cs="宋体"/>
          <w:sz w:val="31"/>
          <w:szCs w:val="31"/>
        </w:rPr>
      </w:pPr>
      <w:bookmarkStart w:id="41" w:name="bookmark36"/>
      <w:bookmarkEnd w:id="41"/>
      <w:r>
        <w:rPr>
          <w:rFonts w:ascii="Times New Roman" w:hAnsi="Times New Roman" w:eastAsia="Times New Roman" w:cs="Times New Roman"/>
          <w:b/>
          <w:bCs/>
          <w:spacing w:val="6"/>
          <w:sz w:val="31"/>
          <w:szCs w:val="31"/>
        </w:rPr>
        <w:t>6.3</w:t>
      </w:r>
      <w:r>
        <w:rPr>
          <w:rFonts w:ascii="宋体" w:hAnsi="宋体" w:eastAsia="宋体" w:cs="宋体"/>
          <w:b/>
          <w:bCs/>
          <w:spacing w:val="6"/>
          <w:sz w:val="31"/>
          <w:szCs w:val="31"/>
        </w:rPr>
        <w:t>噪声污染防治措施可行性分析</w:t>
      </w:r>
    </w:p>
    <w:p w14:paraId="02382AF9">
      <w:pPr>
        <w:pStyle w:val="2"/>
        <w:spacing w:line="318" w:lineRule="auto"/>
      </w:pPr>
    </w:p>
    <w:p w14:paraId="5CF671A4">
      <w:pPr>
        <w:spacing w:before="79" w:line="219" w:lineRule="auto"/>
        <w:ind w:left="480"/>
        <w:rPr>
          <w:rFonts w:ascii="宋体" w:hAnsi="宋体" w:eastAsia="宋体" w:cs="宋体"/>
          <w:sz w:val="24"/>
          <w:szCs w:val="24"/>
        </w:rPr>
      </w:pPr>
      <w:r>
        <w:rPr>
          <w:rFonts w:ascii="宋体" w:hAnsi="宋体" w:eastAsia="宋体" w:cs="宋体"/>
          <w:spacing w:val="-1"/>
          <w:sz w:val="24"/>
          <w:szCs w:val="24"/>
        </w:rPr>
        <w:t>在噪声防治方面，建设项目主要采取以下防治措施：</w:t>
      </w:r>
    </w:p>
    <w:p w14:paraId="15EEBCE1">
      <w:pPr>
        <w:spacing w:before="145" w:line="360" w:lineRule="exact"/>
        <w:ind w:left="493"/>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1</w:t>
      </w:r>
      <w:r>
        <w:rPr>
          <w:rFonts w:ascii="宋体" w:hAnsi="宋体" w:eastAsia="宋体" w:cs="宋体"/>
          <w:spacing w:val="-1"/>
          <w:position w:val="2"/>
          <w:sz w:val="24"/>
          <w:szCs w:val="24"/>
        </w:rPr>
        <w:t>）在设备选型上，选择低噪音设备，从源头上进行噪声防治。</w:t>
      </w:r>
    </w:p>
    <w:p w14:paraId="12399918">
      <w:pPr>
        <w:spacing w:before="107" w:line="304" w:lineRule="auto"/>
        <w:ind w:right="60" w:firstLine="49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）对风机、泵类等机械设备置于室内，</w:t>
      </w:r>
      <w:r>
        <w:rPr>
          <w:rFonts w:ascii="宋体" w:hAnsi="宋体" w:eastAsia="宋体" w:cs="宋体"/>
          <w:spacing w:val="-2"/>
          <w:sz w:val="24"/>
          <w:szCs w:val="24"/>
        </w:rPr>
        <w:t>并设置减振基础；将其他强噪声设备</w:t>
      </w:r>
      <w:r>
        <w:rPr>
          <w:rFonts w:ascii="宋体" w:hAnsi="宋体" w:eastAsia="宋体" w:cs="宋体"/>
          <w:sz w:val="24"/>
          <w:szCs w:val="24"/>
        </w:rPr>
        <w:t xml:space="preserve"> </w:t>
      </w:r>
      <w:r>
        <w:rPr>
          <w:rFonts w:ascii="宋体" w:hAnsi="宋体" w:eastAsia="宋体" w:cs="宋体"/>
          <w:spacing w:val="-1"/>
          <w:sz w:val="24"/>
          <w:szCs w:val="24"/>
        </w:rPr>
        <w:t>置于室内，并安装隔声罩。</w:t>
      </w:r>
    </w:p>
    <w:p w14:paraId="44BE7E42">
      <w:pPr>
        <w:spacing w:before="144" w:line="359" w:lineRule="exact"/>
        <w:ind w:left="493"/>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3</w:t>
      </w:r>
      <w:r>
        <w:rPr>
          <w:rFonts w:ascii="宋体" w:hAnsi="宋体" w:eastAsia="宋体" w:cs="宋体"/>
          <w:spacing w:val="-1"/>
          <w:position w:val="2"/>
          <w:sz w:val="24"/>
          <w:szCs w:val="24"/>
        </w:rPr>
        <w:t>）操作间设置隔声门窗并附吸声材料来减少噪声对工作人员的伤害。</w:t>
      </w:r>
    </w:p>
    <w:p w14:paraId="4083BF72">
      <w:pPr>
        <w:spacing w:before="107" w:line="303" w:lineRule="auto"/>
        <w:ind w:left="2" w:right="63"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）为进一步降低噪声避免厂界噪声超标，应对厂房内墙壁进行处理，减少声</w:t>
      </w:r>
      <w:r>
        <w:rPr>
          <w:rFonts w:ascii="宋体" w:hAnsi="宋体" w:eastAsia="宋体" w:cs="宋体"/>
          <w:spacing w:val="16"/>
          <w:sz w:val="24"/>
          <w:szCs w:val="24"/>
        </w:rPr>
        <w:t xml:space="preserve"> </w:t>
      </w:r>
      <w:r>
        <w:rPr>
          <w:rFonts w:ascii="宋体" w:hAnsi="宋体" w:eastAsia="宋体" w:cs="宋体"/>
          <w:spacing w:val="-1"/>
          <w:sz w:val="24"/>
          <w:szCs w:val="24"/>
        </w:rPr>
        <w:t>反射，并对墙壁进行隔音处理，将风机等高噪声设备建在隔音间内。</w:t>
      </w:r>
    </w:p>
    <w:p w14:paraId="286BB514">
      <w:pPr>
        <w:spacing w:line="303" w:lineRule="auto"/>
        <w:rPr>
          <w:rFonts w:ascii="宋体" w:hAnsi="宋体" w:eastAsia="宋体" w:cs="宋体"/>
          <w:sz w:val="24"/>
          <w:szCs w:val="24"/>
        </w:rPr>
        <w:sectPr>
          <w:footerReference r:id="rId156" w:type="default"/>
          <w:pgSz w:w="11906" w:h="16839"/>
          <w:pgMar w:top="400" w:right="1525" w:bottom="1485" w:left="1596" w:header="0" w:footer="1249" w:gutter="0"/>
          <w:cols w:space="720" w:num="1"/>
        </w:sectPr>
      </w:pPr>
    </w:p>
    <w:p w14:paraId="1AD2C321">
      <w:pPr>
        <w:pStyle w:val="2"/>
        <w:spacing w:line="242" w:lineRule="auto"/>
      </w:pPr>
    </w:p>
    <w:p w14:paraId="2CD6FD50">
      <w:pPr>
        <w:pStyle w:val="2"/>
        <w:spacing w:line="242" w:lineRule="auto"/>
      </w:pPr>
    </w:p>
    <w:p w14:paraId="5AFD599A">
      <w:pPr>
        <w:pStyle w:val="2"/>
        <w:spacing w:line="242" w:lineRule="auto"/>
      </w:pPr>
    </w:p>
    <w:p w14:paraId="1A4A82E2">
      <w:pPr>
        <w:pStyle w:val="2"/>
        <w:spacing w:line="243" w:lineRule="auto"/>
      </w:pPr>
    </w:p>
    <w:p w14:paraId="06C9AA76">
      <w:pPr>
        <w:spacing w:before="78" w:line="289" w:lineRule="auto"/>
        <w:ind w:left="3" w:right="63"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）对引风机等产噪设备，对其置于室内</w:t>
      </w:r>
      <w:r>
        <w:rPr>
          <w:rFonts w:ascii="宋体" w:hAnsi="宋体" w:eastAsia="宋体" w:cs="宋体"/>
          <w:spacing w:val="-2"/>
          <w:sz w:val="24"/>
          <w:szCs w:val="24"/>
        </w:rPr>
        <w:t>，必要时可对墙壁进行吸声处理，并</w:t>
      </w:r>
      <w:r>
        <w:rPr>
          <w:rFonts w:ascii="宋体" w:hAnsi="宋体" w:eastAsia="宋体" w:cs="宋体"/>
          <w:sz w:val="24"/>
          <w:szCs w:val="24"/>
        </w:rPr>
        <w:t xml:space="preserve"> </w:t>
      </w:r>
      <w:r>
        <w:rPr>
          <w:rFonts w:ascii="宋体" w:hAnsi="宋体" w:eastAsia="宋体" w:cs="宋体"/>
          <w:spacing w:val="-1"/>
          <w:sz w:val="24"/>
          <w:szCs w:val="24"/>
        </w:rPr>
        <w:t>建设便于观察和控制生产过程的隔声间。</w:t>
      </w:r>
    </w:p>
    <w:p w14:paraId="3318CC22">
      <w:pPr>
        <w:spacing w:before="147" w:line="303" w:lineRule="auto"/>
        <w:ind w:right="65"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）加强设备维护，确保设备处于良好的运转状态，杜绝因设备不正常运转时</w:t>
      </w:r>
      <w:r>
        <w:rPr>
          <w:rFonts w:ascii="宋体" w:hAnsi="宋体" w:eastAsia="宋体" w:cs="宋体"/>
          <w:spacing w:val="16"/>
          <w:sz w:val="24"/>
          <w:szCs w:val="24"/>
        </w:rPr>
        <w:t xml:space="preserve"> </w:t>
      </w:r>
      <w:r>
        <w:rPr>
          <w:rFonts w:ascii="宋体" w:hAnsi="宋体" w:eastAsia="宋体" w:cs="宋体"/>
          <w:spacing w:val="-1"/>
          <w:sz w:val="24"/>
          <w:szCs w:val="24"/>
        </w:rPr>
        <w:t>产生的高噪声现象，如水泵的维护，风机的接管等。</w:t>
      </w:r>
    </w:p>
    <w:p w14:paraId="50B66AD8">
      <w:pPr>
        <w:spacing w:before="181" w:line="345" w:lineRule="auto"/>
        <w:ind w:left="4" w:right="65" w:firstLine="478"/>
        <w:rPr>
          <w:rFonts w:ascii="宋体" w:hAnsi="宋体" w:eastAsia="宋体" w:cs="宋体"/>
          <w:sz w:val="24"/>
          <w:szCs w:val="24"/>
        </w:rPr>
      </w:pPr>
      <w:r>
        <w:rPr>
          <w:rFonts w:ascii="宋体" w:hAnsi="宋体" w:eastAsia="宋体" w:cs="宋体"/>
          <w:spacing w:val="2"/>
          <w:sz w:val="24"/>
          <w:szCs w:val="24"/>
        </w:rPr>
        <w:t>经采取上述措施后，本工程环境噪声强度将大为降低，项目边界昼夜噪声值满</w:t>
      </w:r>
      <w:r>
        <w:rPr>
          <w:rFonts w:ascii="宋体" w:hAnsi="宋体" w:eastAsia="宋体" w:cs="宋体"/>
          <w:spacing w:val="8"/>
          <w:sz w:val="24"/>
          <w:szCs w:val="24"/>
        </w:rPr>
        <w:t xml:space="preserve"> </w:t>
      </w:r>
      <w:r>
        <w:rPr>
          <w:rFonts w:ascii="宋体" w:hAnsi="宋体" w:eastAsia="宋体" w:cs="宋体"/>
          <w:sz w:val="24"/>
          <w:szCs w:val="24"/>
        </w:rPr>
        <w:t>足《工业企业厂界环境噪声排放标准》（</w:t>
      </w:r>
      <w:r>
        <w:rPr>
          <w:rFonts w:ascii="Times New Roman" w:hAnsi="Times New Roman" w:eastAsia="Times New Roman" w:cs="Times New Roman"/>
          <w:sz w:val="24"/>
          <w:szCs w:val="24"/>
        </w:rPr>
        <w:t>GB1234</w:t>
      </w:r>
      <w:r>
        <w:rPr>
          <w:rFonts w:ascii="Times New Roman" w:hAnsi="Times New Roman" w:eastAsia="Times New Roman" w:cs="Times New Roman"/>
          <w:spacing w:val="-1"/>
          <w:sz w:val="24"/>
          <w:szCs w:val="24"/>
        </w:rPr>
        <w:t>8-2008</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类标准要求。</w:t>
      </w:r>
    </w:p>
    <w:p w14:paraId="0E950C48">
      <w:pPr>
        <w:spacing w:before="2" w:line="351" w:lineRule="auto"/>
        <w:ind w:right="63" w:firstLine="480"/>
        <w:rPr>
          <w:rFonts w:ascii="宋体" w:hAnsi="宋体" w:eastAsia="宋体" w:cs="宋体"/>
          <w:sz w:val="24"/>
          <w:szCs w:val="24"/>
        </w:rPr>
      </w:pPr>
      <w:r>
        <w:rPr>
          <w:rFonts w:ascii="宋体" w:hAnsi="宋体" w:eastAsia="宋体" w:cs="宋体"/>
          <w:spacing w:val="-3"/>
          <w:sz w:val="24"/>
          <w:szCs w:val="24"/>
        </w:rPr>
        <w:t>本项目噪声防治措施投资</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万元，占总投资的</w:t>
      </w:r>
      <w:r>
        <w:rPr>
          <w:rFonts w:ascii="Times New Roman" w:hAnsi="Times New Roman" w:eastAsia="Times New Roman" w:cs="Times New Roman"/>
          <w:spacing w:val="-3"/>
          <w:sz w:val="24"/>
          <w:szCs w:val="24"/>
        </w:rPr>
        <w:t>0.8%</w:t>
      </w:r>
      <w:r>
        <w:rPr>
          <w:rFonts w:ascii="宋体" w:hAnsi="宋体" w:eastAsia="宋体" w:cs="宋体"/>
          <w:spacing w:val="-3"/>
          <w:sz w:val="24"/>
          <w:szCs w:val="24"/>
        </w:rPr>
        <w:t>，从经济上是可行的，可以</w:t>
      </w:r>
      <w:r>
        <w:rPr>
          <w:rFonts w:ascii="宋体" w:hAnsi="宋体" w:eastAsia="宋体" w:cs="宋体"/>
          <w:sz w:val="24"/>
          <w:szCs w:val="24"/>
        </w:rPr>
        <w:t xml:space="preserve"> </w:t>
      </w:r>
      <w:r>
        <w:rPr>
          <w:rFonts w:ascii="宋体" w:hAnsi="宋体" w:eastAsia="宋体" w:cs="宋体"/>
          <w:spacing w:val="-2"/>
          <w:sz w:val="24"/>
          <w:szCs w:val="24"/>
        </w:rPr>
        <w:t>被建设单位接受。</w:t>
      </w:r>
    </w:p>
    <w:p w14:paraId="6F7CE667">
      <w:pPr>
        <w:pStyle w:val="2"/>
        <w:spacing w:line="344" w:lineRule="auto"/>
      </w:pPr>
    </w:p>
    <w:p w14:paraId="1F863F0D">
      <w:pPr>
        <w:spacing w:before="100" w:line="226" w:lineRule="auto"/>
        <w:ind w:left="3"/>
        <w:outlineLvl w:val="1"/>
        <w:rPr>
          <w:rFonts w:ascii="宋体" w:hAnsi="宋体" w:eastAsia="宋体" w:cs="宋体"/>
          <w:sz w:val="31"/>
          <w:szCs w:val="31"/>
        </w:rPr>
      </w:pPr>
      <w:bookmarkStart w:id="42" w:name="bookmark37"/>
      <w:bookmarkEnd w:id="42"/>
      <w:r>
        <w:rPr>
          <w:rFonts w:ascii="Times New Roman" w:hAnsi="Times New Roman" w:eastAsia="Times New Roman" w:cs="Times New Roman"/>
          <w:b/>
          <w:bCs/>
          <w:spacing w:val="6"/>
          <w:sz w:val="31"/>
          <w:szCs w:val="31"/>
        </w:rPr>
        <w:t>6.4</w:t>
      </w:r>
      <w:r>
        <w:rPr>
          <w:rFonts w:ascii="宋体" w:hAnsi="宋体" w:eastAsia="宋体" w:cs="宋体"/>
          <w:b/>
          <w:bCs/>
          <w:spacing w:val="6"/>
          <w:sz w:val="31"/>
          <w:szCs w:val="31"/>
        </w:rPr>
        <w:t>固体废物污染防治措施可行性分析</w:t>
      </w:r>
    </w:p>
    <w:p w14:paraId="42B49E5F">
      <w:pPr>
        <w:pStyle w:val="2"/>
        <w:spacing w:line="447" w:lineRule="auto"/>
      </w:pPr>
    </w:p>
    <w:p w14:paraId="7787164B">
      <w:pPr>
        <w:spacing w:before="79" w:line="221"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6.4.1</w:t>
      </w:r>
      <w:r>
        <w:rPr>
          <w:rFonts w:ascii="宋体" w:hAnsi="宋体" w:eastAsia="宋体" w:cs="宋体"/>
          <w:b/>
          <w:bCs/>
          <w:spacing w:val="-2"/>
          <w:sz w:val="24"/>
          <w:szCs w:val="24"/>
        </w:rPr>
        <w:t>固体废物处置措施</w:t>
      </w:r>
    </w:p>
    <w:p w14:paraId="3BE5F299">
      <w:pPr>
        <w:pStyle w:val="2"/>
        <w:spacing w:line="276" w:lineRule="auto"/>
      </w:pPr>
    </w:p>
    <w:p w14:paraId="3DB7892A">
      <w:pPr>
        <w:spacing w:before="78" w:line="328" w:lineRule="auto"/>
        <w:ind w:right="66" w:firstLine="484"/>
        <w:rPr>
          <w:rFonts w:ascii="宋体" w:hAnsi="宋体" w:eastAsia="宋体" w:cs="宋体"/>
          <w:sz w:val="24"/>
          <w:szCs w:val="24"/>
        </w:rPr>
      </w:pPr>
      <w:r>
        <w:rPr>
          <w:rFonts w:ascii="宋体" w:hAnsi="宋体" w:eastAsia="宋体" w:cs="宋体"/>
          <w:spacing w:val="2"/>
          <w:sz w:val="24"/>
          <w:szCs w:val="24"/>
        </w:rPr>
        <w:t>项目营运期产生固体废物主要是猪只粪便、病死猪尸体、办公生活垃圾、医疗</w:t>
      </w:r>
      <w:r>
        <w:rPr>
          <w:rFonts w:ascii="宋体" w:hAnsi="宋体" w:eastAsia="宋体" w:cs="宋体"/>
          <w:spacing w:val="6"/>
          <w:sz w:val="24"/>
          <w:szCs w:val="24"/>
        </w:rPr>
        <w:t xml:space="preserve"> </w:t>
      </w:r>
      <w:r>
        <w:rPr>
          <w:rFonts w:ascii="宋体" w:hAnsi="宋体" w:eastAsia="宋体" w:cs="宋体"/>
          <w:spacing w:val="-2"/>
          <w:sz w:val="24"/>
          <w:szCs w:val="24"/>
        </w:rPr>
        <w:t>废物、废包装物。</w:t>
      </w:r>
    </w:p>
    <w:p w14:paraId="4AE74B4F">
      <w:pPr>
        <w:spacing w:line="360" w:lineRule="exact"/>
        <w:ind w:left="492"/>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w:t>
      </w:r>
      <w:r>
        <w:rPr>
          <w:rFonts w:ascii="宋体" w:hAnsi="宋体" w:eastAsia="宋体" w:cs="宋体"/>
          <w:spacing w:val="-70"/>
          <w:position w:val="2"/>
          <w:sz w:val="24"/>
          <w:szCs w:val="24"/>
        </w:rPr>
        <w:t xml:space="preserve"> </w:t>
      </w:r>
      <w:r>
        <w:rPr>
          <w:rFonts w:ascii="宋体" w:hAnsi="宋体" w:eastAsia="宋体" w:cs="宋体"/>
          <w:spacing w:val="-3"/>
          <w:position w:val="2"/>
          <w:sz w:val="24"/>
          <w:szCs w:val="24"/>
        </w:rPr>
        <w:t>日常生活垃圾定期交由当地环卫部门卫生清运。</w:t>
      </w:r>
    </w:p>
    <w:p w14:paraId="68CEF2A1">
      <w:pPr>
        <w:spacing w:before="109" w:line="303" w:lineRule="auto"/>
        <w:ind w:left="4" w:right="65" w:firstLine="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）粪便与尿液、猪舍冲洗水一起收集后，采用异位发酵床技术进行好氧高温</w:t>
      </w:r>
      <w:r>
        <w:rPr>
          <w:rFonts w:ascii="宋体" w:hAnsi="宋体" w:eastAsia="宋体" w:cs="宋体"/>
          <w:spacing w:val="16"/>
          <w:sz w:val="24"/>
          <w:szCs w:val="24"/>
        </w:rPr>
        <w:t xml:space="preserve"> </w:t>
      </w:r>
      <w:r>
        <w:rPr>
          <w:rFonts w:ascii="宋体" w:hAnsi="宋体" w:eastAsia="宋体" w:cs="宋体"/>
          <w:spacing w:val="-2"/>
          <w:sz w:val="24"/>
          <w:szCs w:val="24"/>
        </w:rPr>
        <w:t>发酵成有机肥半成品外售。</w:t>
      </w:r>
    </w:p>
    <w:p w14:paraId="4CACCC1A">
      <w:pPr>
        <w:spacing w:before="145" w:line="361"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）病死猪尸体进行安全填埋处理。</w:t>
      </w:r>
    </w:p>
    <w:p w14:paraId="4C253DB7">
      <w:pPr>
        <w:spacing w:before="107" w:line="360"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4</w:t>
      </w:r>
      <w:r>
        <w:rPr>
          <w:rFonts w:ascii="宋体" w:hAnsi="宋体" w:eastAsia="宋体" w:cs="宋体"/>
          <w:spacing w:val="-2"/>
          <w:position w:val="2"/>
          <w:sz w:val="24"/>
          <w:szCs w:val="24"/>
        </w:rPr>
        <w:t>）畜牧医疗废物定期交有资质单位处理。</w:t>
      </w:r>
    </w:p>
    <w:p w14:paraId="4B3BF1AF">
      <w:pPr>
        <w:spacing w:before="143" w:line="219"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）废包装物收集后交由供应商处理。</w:t>
      </w:r>
    </w:p>
    <w:p w14:paraId="180665AB">
      <w:pPr>
        <w:pStyle w:val="2"/>
        <w:spacing w:line="242" w:lineRule="auto"/>
      </w:pPr>
    </w:p>
    <w:p w14:paraId="2813DA2E">
      <w:pPr>
        <w:pStyle w:val="2"/>
        <w:spacing w:line="243" w:lineRule="auto"/>
      </w:pPr>
    </w:p>
    <w:p w14:paraId="09924DAA">
      <w:pPr>
        <w:spacing w:before="79"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6.4.2</w:t>
      </w:r>
      <w:r>
        <w:rPr>
          <w:rFonts w:ascii="宋体" w:hAnsi="宋体" w:eastAsia="宋体" w:cs="宋体"/>
          <w:b/>
          <w:bCs/>
          <w:spacing w:val="-2"/>
          <w:sz w:val="24"/>
          <w:szCs w:val="24"/>
        </w:rPr>
        <w:t>固废处置措施技术可行性分析</w:t>
      </w:r>
    </w:p>
    <w:p w14:paraId="47EC82E5">
      <w:pPr>
        <w:pStyle w:val="2"/>
        <w:spacing w:line="244" w:lineRule="auto"/>
      </w:pPr>
    </w:p>
    <w:p w14:paraId="39F993E8">
      <w:pPr>
        <w:spacing w:before="79" w:line="360" w:lineRule="exact"/>
        <w:ind w:left="499"/>
        <w:rPr>
          <w:rFonts w:ascii="宋体" w:hAnsi="宋体" w:eastAsia="宋体" w:cs="宋体"/>
          <w:sz w:val="24"/>
          <w:szCs w:val="24"/>
        </w:rPr>
      </w:pPr>
      <w:r>
        <w:rPr>
          <w:rFonts w:ascii="Times New Roman" w:hAnsi="Times New Roman" w:eastAsia="Times New Roman" w:cs="Times New Roman"/>
          <w:spacing w:val="-14"/>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14"/>
          <w:position w:val="2"/>
          <w:sz w:val="24"/>
          <w:szCs w:val="24"/>
        </w:rPr>
        <w:t>、粪污</w:t>
      </w:r>
    </w:p>
    <w:p w14:paraId="752155F2">
      <w:pPr>
        <w:spacing w:before="132" w:line="367" w:lineRule="auto"/>
        <w:ind w:left="5" w:firstLine="476"/>
        <w:rPr>
          <w:rFonts w:ascii="宋体" w:hAnsi="宋体" w:eastAsia="宋体" w:cs="宋体"/>
          <w:sz w:val="24"/>
          <w:szCs w:val="24"/>
        </w:rPr>
      </w:pPr>
      <w:r>
        <w:rPr>
          <w:rFonts w:ascii="宋体" w:hAnsi="宋体" w:eastAsia="宋体" w:cs="宋体"/>
          <w:sz w:val="24"/>
          <w:szCs w:val="24"/>
        </w:rPr>
        <w:t>本项目收集最大粪污量为</w:t>
      </w:r>
      <w:r>
        <w:rPr>
          <w:rFonts w:ascii="Times New Roman" w:hAnsi="Times New Roman" w:eastAsia="Times New Roman" w:cs="Times New Roman"/>
          <w:sz w:val="24"/>
          <w:szCs w:val="24"/>
        </w:rPr>
        <w:t>44.96t/d</w:t>
      </w:r>
      <w:r>
        <w:rPr>
          <w:rFonts w:ascii="宋体" w:hAnsi="宋体" w:eastAsia="宋体" w:cs="宋体"/>
          <w:sz w:val="24"/>
          <w:szCs w:val="24"/>
        </w:rPr>
        <w:t>（</w:t>
      </w:r>
      <w:r>
        <w:rPr>
          <w:rFonts w:ascii="Times New Roman" w:hAnsi="Times New Roman" w:eastAsia="Times New Roman" w:cs="Times New Roman"/>
          <w:sz w:val="24"/>
          <w:szCs w:val="24"/>
        </w:rPr>
        <w:t>14018.26 t/a</w:t>
      </w:r>
      <w:r>
        <w:rPr>
          <w:rFonts w:ascii="宋体" w:hAnsi="宋体" w:eastAsia="宋体" w:cs="宋体"/>
          <w:sz w:val="24"/>
          <w:szCs w:val="24"/>
        </w:rPr>
        <w:t>）。本项目拟建设的异位发酵床</w:t>
      </w:r>
      <w:r>
        <w:rPr>
          <w:rFonts w:ascii="宋体" w:hAnsi="宋体" w:eastAsia="宋体" w:cs="宋体"/>
          <w:spacing w:val="9"/>
          <w:sz w:val="24"/>
          <w:szCs w:val="24"/>
        </w:rPr>
        <w:t xml:space="preserve"> </w:t>
      </w:r>
      <w:r>
        <w:rPr>
          <w:rFonts w:ascii="宋体" w:hAnsi="宋体" w:eastAsia="宋体" w:cs="宋体"/>
          <w:spacing w:val="-5"/>
          <w:sz w:val="24"/>
          <w:szCs w:val="24"/>
        </w:rPr>
        <w:t>处理系统的发酵床垫料为</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1188m</w:t>
      </w:r>
      <w:r>
        <w:rPr>
          <w:rFonts w:ascii="Times New Roman" w:hAnsi="Times New Roman" w:eastAsia="Times New Roman" w:cs="Times New Roman"/>
          <w:spacing w:val="-5"/>
          <w:position w:val="7"/>
          <w:sz w:val="15"/>
          <w:szCs w:val="15"/>
        </w:rPr>
        <w:t>3</w:t>
      </w:r>
      <w:r>
        <w:rPr>
          <w:rFonts w:ascii="宋体" w:hAnsi="宋体" w:eastAsia="宋体" w:cs="宋体"/>
          <w:spacing w:val="-5"/>
          <w:sz w:val="24"/>
          <w:szCs w:val="24"/>
        </w:rPr>
        <w:t>，发酵床每天浇灌一次，每立方米浇灌量约为</w:t>
      </w:r>
      <w:r>
        <w:rPr>
          <w:rFonts w:ascii="Times New Roman" w:hAnsi="Times New Roman" w:eastAsia="Times New Roman" w:cs="Times New Roman"/>
          <w:spacing w:val="-5"/>
          <w:sz w:val="24"/>
          <w:szCs w:val="24"/>
        </w:rPr>
        <w:t>0.15</w:t>
      </w:r>
      <w:r>
        <w:rPr>
          <w:rFonts w:ascii="Times New Roman" w:hAnsi="Times New Roman" w:eastAsia="Times New Roman" w:cs="Times New Roman"/>
          <w:spacing w:val="-6"/>
          <w:sz w:val="24"/>
          <w:szCs w:val="24"/>
        </w:rPr>
        <w:t>t</w:t>
      </w:r>
      <w:r>
        <w:rPr>
          <w:rFonts w:ascii="宋体" w:hAnsi="宋体" w:eastAsia="宋体" w:cs="宋体"/>
          <w:spacing w:val="-6"/>
          <w:sz w:val="24"/>
          <w:szCs w:val="24"/>
        </w:rPr>
        <w:t>，</w:t>
      </w:r>
      <w:r>
        <w:rPr>
          <w:rFonts w:ascii="宋体" w:hAnsi="宋体" w:eastAsia="宋体" w:cs="宋体"/>
          <w:sz w:val="24"/>
          <w:szCs w:val="24"/>
        </w:rPr>
        <w:t xml:space="preserve"> 则项目拟设置的异位发酵床处理规模为</w:t>
      </w:r>
      <w:r>
        <w:rPr>
          <w:rFonts w:ascii="宋体" w:hAnsi="宋体" w:eastAsia="宋体" w:cs="宋体"/>
          <w:spacing w:val="-32"/>
          <w:sz w:val="24"/>
          <w:szCs w:val="24"/>
        </w:rPr>
        <w:t xml:space="preserve"> </w:t>
      </w:r>
      <w:r>
        <w:rPr>
          <w:rFonts w:ascii="Times New Roman" w:hAnsi="Times New Roman" w:eastAsia="Times New Roman" w:cs="Times New Roman"/>
          <w:sz w:val="24"/>
          <w:szCs w:val="24"/>
        </w:rPr>
        <w:t>178.</w:t>
      </w:r>
      <w:r>
        <w:rPr>
          <w:rFonts w:ascii="Times New Roman" w:hAnsi="Times New Roman" w:eastAsia="Times New Roman" w:cs="Times New Roman"/>
          <w:spacing w:val="-1"/>
          <w:sz w:val="24"/>
          <w:szCs w:val="24"/>
        </w:rPr>
        <w:t>4t/d</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65116t/a</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，能够满足本项目的粪污</w:t>
      </w:r>
      <w:r>
        <w:rPr>
          <w:rFonts w:ascii="宋体" w:hAnsi="宋体" w:eastAsia="宋体" w:cs="宋体"/>
          <w:sz w:val="24"/>
          <w:szCs w:val="24"/>
        </w:rPr>
        <w:t xml:space="preserve"> </w:t>
      </w:r>
      <w:r>
        <w:rPr>
          <w:rFonts w:ascii="宋体" w:hAnsi="宋体" w:eastAsia="宋体" w:cs="宋体"/>
          <w:spacing w:val="-5"/>
          <w:sz w:val="24"/>
          <w:szCs w:val="24"/>
        </w:rPr>
        <w:t>处理。</w:t>
      </w:r>
    </w:p>
    <w:p w14:paraId="6F17A3DF">
      <w:pPr>
        <w:spacing w:before="80" w:line="378" w:lineRule="auto"/>
        <w:ind w:right="51" w:firstLine="483"/>
        <w:rPr>
          <w:rFonts w:ascii="宋体" w:hAnsi="宋体" w:eastAsia="宋体" w:cs="宋体"/>
          <w:sz w:val="24"/>
          <w:szCs w:val="24"/>
        </w:rPr>
      </w:pPr>
      <w:r>
        <w:rPr>
          <w:rFonts w:ascii="宋体" w:hAnsi="宋体" w:eastAsia="宋体" w:cs="宋体"/>
          <w:b/>
          <w:bCs/>
          <w:spacing w:val="2"/>
          <w:sz w:val="24"/>
          <w:szCs w:val="24"/>
        </w:rPr>
        <w:t>异位发酵床粪污综合处理技术：</w:t>
      </w:r>
      <w:r>
        <w:rPr>
          <w:rFonts w:ascii="宋体" w:hAnsi="宋体" w:eastAsia="宋体" w:cs="宋体"/>
          <w:spacing w:val="2"/>
          <w:sz w:val="24"/>
          <w:szCs w:val="24"/>
        </w:rPr>
        <w:t>猪舍粪污从管</w:t>
      </w:r>
      <w:r>
        <w:rPr>
          <w:rFonts w:ascii="宋体" w:hAnsi="宋体" w:eastAsia="宋体" w:cs="宋体"/>
          <w:spacing w:val="1"/>
          <w:sz w:val="24"/>
          <w:szCs w:val="24"/>
        </w:rPr>
        <w:t>道流入集污池，经切割泵与搅拌</w:t>
      </w:r>
      <w:r>
        <w:rPr>
          <w:rFonts w:ascii="宋体" w:hAnsi="宋体" w:eastAsia="宋体" w:cs="宋体"/>
          <w:sz w:val="24"/>
          <w:szCs w:val="24"/>
        </w:rPr>
        <w:t xml:space="preserve"> </w:t>
      </w:r>
      <w:r>
        <w:rPr>
          <w:rFonts w:ascii="宋体" w:hAnsi="宋体" w:eastAsia="宋体" w:cs="宋体"/>
          <w:spacing w:val="2"/>
          <w:sz w:val="24"/>
          <w:szCs w:val="24"/>
        </w:rPr>
        <w:t>机切割搅拌，确保搅拌均匀后，通过自动喷淋装置，将粪污均匀喷洒在垫料上，粪</w:t>
      </w:r>
    </w:p>
    <w:p w14:paraId="6310BB9C">
      <w:pPr>
        <w:spacing w:line="378" w:lineRule="auto"/>
        <w:rPr>
          <w:rFonts w:ascii="宋体" w:hAnsi="宋体" w:eastAsia="宋体" w:cs="宋体"/>
          <w:sz w:val="24"/>
          <w:szCs w:val="24"/>
        </w:rPr>
        <w:sectPr>
          <w:footerReference r:id="rId157" w:type="default"/>
          <w:pgSz w:w="11906" w:h="16839"/>
          <w:pgMar w:top="400" w:right="1522" w:bottom="1485" w:left="1597" w:header="0" w:footer="1249" w:gutter="0"/>
          <w:cols w:space="720" w:num="1"/>
        </w:sectPr>
      </w:pPr>
    </w:p>
    <w:p w14:paraId="6956C6F2">
      <w:pPr>
        <w:pStyle w:val="2"/>
        <w:spacing w:line="263" w:lineRule="auto"/>
      </w:pPr>
    </w:p>
    <w:p w14:paraId="3D883893">
      <w:pPr>
        <w:pStyle w:val="2"/>
        <w:spacing w:line="264" w:lineRule="auto"/>
      </w:pPr>
    </w:p>
    <w:p w14:paraId="6A45FF39">
      <w:pPr>
        <w:pStyle w:val="2"/>
        <w:spacing w:line="264" w:lineRule="auto"/>
      </w:pPr>
    </w:p>
    <w:p w14:paraId="35CFB042">
      <w:pPr>
        <w:pStyle w:val="2"/>
        <w:spacing w:line="264" w:lineRule="auto"/>
      </w:pPr>
    </w:p>
    <w:p w14:paraId="0BC9F679">
      <w:pPr>
        <w:spacing w:before="78" w:line="362" w:lineRule="auto"/>
        <w:ind w:left="2"/>
        <w:jc w:val="both"/>
        <w:rPr>
          <w:rFonts w:ascii="宋体" w:hAnsi="宋体" w:eastAsia="宋体" w:cs="宋体"/>
          <w:sz w:val="24"/>
          <w:szCs w:val="24"/>
        </w:rPr>
      </w:pPr>
      <w:r>
        <w:rPr>
          <w:rFonts w:ascii="宋体" w:hAnsi="宋体" w:eastAsia="宋体" w:cs="宋体"/>
          <w:spacing w:val="2"/>
          <w:sz w:val="24"/>
          <w:szCs w:val="24"/>
        </w:rPr>
        <w:t>污将被治污微生物菌群进行生物降解处理，在降解处理过程中，发酵床温度上升到</w:t>
      </w:r>
      <w:r>
        <w:rPr>
          <w:rFonts w:ascii="宋体" w:hAnsi="宋体" w:eastAsia="宋体" w:cs="宋体"/>
          <w:spacing w:val="4"/>
          <w:sz w:val="24"/>
          <w:szCs w:val="24"/>
        </w:rPr>
        <w:t xml:space="preserve"> </w:t>
      </w:r>
      <w:r>
        <w:rPr>
          <w:rFonts w:ascii="Times New Roman" w:hAnsi="Times New Roman" w:eastAsia="Times New Roman" w:cs="Times New Roman"/>
          <w:spacing w:val="-5"/>
          <w:sz w:val="24"/>
          <w:szCs w:val="24"/>
        </w:rPr>
        <w:t>55</w:t>
      </w:r>
      <w:r>
        <w:rPr>
          <w:rFonts w:ascii="宋体" w:hAnsi="宋体" w:eastAsia="宋体" w:cs="宋体"/>
          <w:spacing w:val="-5"/>
          <w:sz w:val="24"/>
          <w:szCs w:val="24"/>
        </w:rPr>
        <w:t>—</w:t>
      </w:r>
      <w:r>
        <w:rPr>
          <w:rFonts w:ascii="Times New Roman" w:hAnsi="Times New Roman" w:eastAsia="Times New Roman" w:cs="Times New Roman"/>
          <w:spacing w:val="-5"/>
          <w:sz w:val="24"/>
          <w:szCs w:val="24"/>
        </w:rPr>
        <w:t>68</w:t>
      </w:r>
      <w:r>
        <w:rPr>
          <w:rFonts w:ascii="宋体" w:hAnsi="宋体" w:eastAsia="宋体" w:cs="宋体"/>
          <w:spacing w:val="-5"/>
          <w:sz w:val="24"/>
          <w:szCs w:val="24"/>
        </w:rPr>
        <w:t>℃</w:t>
      </w:r>
      <w:r>
        <w:rPr>
          <w:rFonts w:ascii="宋体" w:hAnsi="宋体" w:eastAsia="宋体" w:cs="宋体"/>
          <w:spacing w:val="-78"/>
          <w:sz w:val="24"/>
          <w:szCs w:val="24"/>
        </w:rPr>
        <w:t xml:space="preserve"> </w:t>
      </w:r>
      <w:r>
        <w:rPr>
          <w:rFonts w:ascii="宋体" w:hAnsi="宋体" w:eastAsia="宋体" w:cs="宋体"/>
          <w:spacing w:val="-5"/>
          <w:sz w:val="24"/>
          <w:szCs w:val="24"/>
        </w:rPr>
        <w:t>,</w:t>
      </w:r>
      <w:r>
        <w:rPr>
          <w:rFonts w:ascii="宋体" w:hAnsi="宋体" w:eastAsia="宋体" w:cs="宋体"/>
          <w:spacing w:val="52"/>
          <w:sz w:val="24"/>
          <w:szCs w:val="24"/>
        </w:rPr>
        <w:t xml:space="preserve"> </w:t>
      </w:r>
      <w:r>
        <w:rPr>
          <w:rFonts w:ascii="宋体" w:hAnsi="宋体" w:eastAsia="宋体" w:cs="宋体"/>
          <w:spacing w:val="-5"/>
          <w:sz w:val="24"/>
          <w:szCs w:val="24"/>
        </w:rPr>
        <w:t>水分蒸发，自动翻耙机对发酵床进行翻耙，促进猪粪便与垫料充分混合，</w:t>
      </w:r>
      <w:r>
        <w:rPr>
          <w:rFonts w:ascii="宋体" w:hAnsi="宋体" w:eastAsia="宋体" w:cs="宋体"/>
          <w:sz w:val="24"/>
          <w:szCs w:val="24"/>
        </w:rPr>
        <w:t xml:space="preserve"> </w:t>
      </w:r>
      <w:r>
        <w:rPr>
          <w:rFonts w:ascii="宋体" w:hAnsi="宋体" w:eastAsia="宋体" w:cs="宋体"/>
          <w:spacing w:val="-1"/>
          <w:sz w:val="24"/>
          <w:szCs w:val="24"/>
        </w:rPr>
        <w:t>最终使猪粪污转化成生物有机肥，从而实现污染物的资源化利用。</w:t>
      </w:r>
    </w:p>
    <w:p w14:paraId="54D0C7EE">
      <w:pPr>
        <w:spacing w:before="61" w:line="370" w:lineRule="auto"/>
        <w:ind w:right="63" w:firstLine="481"/>
        <w:jc w:val="both"/>
        <w:rPr>
          <w:rFonts w:ascii="宋体" w:hAnsi="宋体" w:eastAsia="宋体" w:cs="宋体"/>
          <w:sz w:val="24"/>
          <w:szCs w:val="24"/>
        </w:rPr>
      </w:pPr>
      <w:r>
        <w:rPr>
          <w:rFonts w:ascii="宋体" w:hAnsi="宋体" w:eastAsia="宋体" w:cs="宋体"/>
          <w:spacing w:val="2"/>
          <w:sz w:val="24"/>
          <w:szCs w:val="24"/>
        </w:rPr>
        <w:t>有机肥发酵剂按一定比例参拌锯末、谷壳、木屑等材料，制成有机垫料。将这</w:t>
      </w:r>
      <w:r>
        <w:rPr>
          <w:rFonts w:ascii="宋体" w:hAnsi="宋体" w:eastAsia="宋体" w:cs="宋体"/>
          <w:spacing w:val="9"/>
          <w:sz w:val="24"/>
          <w:szCs w:val="24"/>
        </w:rPr>
        <w:t xml:space="preserve"> </w:t>
      </w:r>
      <w:r>
        <w:rPr>
          <w:rFonts w:ascii="宋体" w:hAnsi="宋体" w:eastAsia="宋体" w:cs="宋体"/>
          <w:spacing w:val="2"/>
          <w:sz w:val="24"/>
          <w:szCs w:val="24"/>
        </w:rPr>
        <w:t>些垫料铺设成一定厚度的发酵床，使垫料和猪粪污充分混合，通过微生物的分解发</w:t>
      </w:r>
      <w:r>
        <w:rPr>
          <w:rFonts w:ascii="宋体" w:hAnsi="宋体" w:eastAsia="宋体" w:cs="宋体"/>
          <w:spacing w:val="7"/>
          <w:sz w:val="24"/>
          <w:szCs w:val="24"/>
        </w:rPr>
        <w:t xml:space="preserve"> </w:t>
      </w:r>
      <w:r>
        <w:rPr>
          <w:rFonts w:ascii="宋体" w:hAnsi="宋体" w:eastAsia="宋体" w:cs="宋体"/>
          <w:spacing w:val="2"/>
          <w:sz w:val="24"/>
          <w:szCs w:val="24"/>
        </w:rPr>
        <w:t>酵，使猪粪便中的有机物质得到充分的分解和转化，达到降解和消化猪尿水、除异</w:t>
      </w:r>
      <w:r>
        <w:rPr>
          <w:rFonts w:ascii="宋体" w:hAnsi="宋体" w:eastAsia="宋体" w:cs="宋体"/>
          <w:spacing w:val="7"/>
          <w:sz w:val="24"/>
          <w:szCs w:val="24"/>
        </w:rPr>
        <w:t xml:space="preserve"> </w:t>
      </w:r>
      <w:r>
        <w:rPr>
          <w:rFonts w:ascii="宋体" w:hAnsi="宋体" w:eastAsia="宋体" w:cs="宋体"/>
          <w:spacing w:val="2"/>
          <w:sz w:val="24"/>
          <w:szCs w:val="24"/>
        </w:rPr>
        <w:t>味、杀菌消毒除虫及升温除水的效果，最终产出富含有机质以及具备解氮、解磷及</w:t>
      </w:r>
      <w:r>
        <w:rPr>
          <w:rFonts w:ascii="宋体" w:hAnsi="宋体" w:eastAsia="宋体" w:cs="宋体"/>
          <w:spacing w:val="7"/>
          <w:sz w:val="24"/>
          <w:szCs w:val="24"/>
        </w:rPr>
        <w:t xml:space="preserve"> </w:t>
      </w:r>
      <w:r>
        <w:rPr>
          <w:rFonts w:ascii="宋体" w:hAnsi="宋体" w:eastAsia="宋体" w:cs="宋体"/>
          <w:spacing w:val="-1"/>
          <w:sz w:val="24"/>
          <w:szCs w:val="24"/>
        </w:rPr>
        <w:t>解钾能力的有益菌群的生物有机肥。</w:t>
      </w:r>
    </w:p>
    <w:p w14:paraId="006997AC">
      <w:pPr>
        <w:spacing w:line="376" w:lineRule="auto"/>
        <w:ind w:left="2" w:right="60" w:firstLine="478"/>
        <w:jc w:val="both"/>
        <w:rPr>
          <w:rFonts w:ascii="宋体" w:hAnsi="宋体" w:eastAsia="宋体" w:cs="宋体"/>
          <w:sz w:val="24"/>
          <w:szCs w:val="24"/>
        </w:rPr>
      </w:pPr>
      <w:r>
        <w:rPr>
          <w:rFonts w:ascii="宋体" w:hAnsi="宋体" w:eastAsia="宋体" w:cs="宋体"/>
          <w:spacing w:val="-1"/>
          <w:sz w:val="24"/>
          <w:szCs w:val="24"/>
        </w:rPr>
        <w:t>湿度检测：翻耙后湿度控制在</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45%~50%</w:t>
      </w:r>
      <w:r>
        <w:rPr>
          <w:rFonts w:ascii="宋体" w:hAnsi="宋体" w:eastAsia="宋体" w:cs="宋体"/>
          <w:spacing w:val="-1"/>
          <w:sz w:val="24"/>
          <w:szCs w:val="24"/>
        </w:rPr>
        <w:t>左右。简单的判断方法，抓一把搅拌好</w:t>
      </w:r>
      <w:r>
        <w:rPr>
          <w:rFonts w:ascii="宋体" w:hAnsi="宋体" w:eastAsia="宋体" w:cs="宋体"/>
          <w:sz w:val="24"/>
          <w:szCs w:val="24"/>
        </w:rPr>
        <w:t xml:space="preserve"> </w:t>
      </w:r>
      <w:r>
        <w:rPr>
          <w:rFonts w:ascii="宋体" w:hAnsi="宋体" w:eastAsia="宋体" w:cs="宋体"/>
          <w:spacing w:val="2"/>
          <w:sz w:val="24"/>
          <w:szCs w:val="24"/>
        </w:rPr>
        <w:t>的发酵垫料，用力握紧，如果有水从指缝中渗出，说明湿度过大，需将污水泵开关</w:t>
      </w:r>
      <w:r>
        <w:rPr>
          <w:rFonts w:ascii="宋体" w:hAnsi="宋体" w:eastAsia="宋体" w:cs="宋体"/>
          <w:spacing w:val="4"/>
          <w:sz w:val="24"/>
          <w:szCs w:val="24"/>
        </w:rPr>
        <w:t xml:space="preserve"> </w:t>
      </w:r>
      <w:r>
        <w:rPr>
          <w:rFonts w:ascii="宋体" w:hAnsi="宋体" w:eastAsia="宋体" w:cs="宋体"/>
          <w:spacing w:val="2"/>
          <w:sz w:val="24"/>
          <w:szCs w:val="24"/>
        </w:rPr>
        <w:t>调小，或检查锯末质量及比例，或检查翻耙前进行程；如果没有水渗出，松开后，</w:t>
      </w:r>
      <w:r>
        <w:rPr>
          <w:rFonts w:ascii="宋体" w:hAnsi="宋体" w:eastAsia="宋体" w:cs="宋体"/>
          <w:spacing w:val="6"/>
          <w:sz w:val="24"/>
          <w:szCs w:val="24"/>
        </w:rPr>
        <w:t xml:space="preserve"> </w:t>
      </w:r>
      <w:r>
        <w:rPr>
          <w:rFonts w:ascii="宋体" w:hAnsi="宋体" w:eastAsia="宋体" w:cs="宋体"/>
          <w:spacing w:val="-1"/>
          <w:sz w:val="24"/>
          <w:szCs w:val="24"/>
        </w:rPr>
        <w:t>发酵垫料不成团，能松散的落下，说明湿度比较合适。</w:t>
      </w:r>
    </w:p>
    <w:p w14:paraId="07862ACF">
      <w:pPr>
        <w:spacing w:before="1" w:line="376" w:lineRule="auto"/>
        <w:ind w:left="1" w:right="63" w:firstLine="480"/>
        <w:jc w:val="both"/>
        <w:rPr>
          <w:rFonts w:ascii="宋体" w:hAnsi="宋体" w:eastAsia="宋体" w:cs="宋体"/>
          <w:sz w:val="24"/>
          <w:szCs w:val="24"/>
        </w:rPr>
      </w:pPr>
      <w:r>
        <w:rPr>
          <w:rFonts w:ascii="宋体" w:hAnsi="宋体" w:eastAsia="宋体" w:cs="宋体"/>
          <w:sz w:val="24"/>
          <w:szCs w:val="24"/>
        </w:rPr>
        <w:t>温度检测：每天测量发酵的温度，通常</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24</w:t>
      </w:r>
      <w:r>
        <w:rPr>
          <w:rFonts w:ascii="Times New Roman" w:hAnsi="Times New Roman" w:eastAsia="Times New Roman" w:cs="Times New Roman"/>
          <w:spacing w:val="16"/>
          <w:w w:val="101"/>
          <w:sz w:val="24"/>
          <w:szCs w:val="24"/>
        </w:rPr>
        <w:t xml:space="preserve"> </w:t>
      </w:r>
      <w:r>
        <w:rPr>
          <w:rFonts w:ascii="宋体" w:hAnsi="宋体" w:eastAsia="宋体" w:cs="宋体"/>
          <w:sz w:val="24"/>
          <w:szCs w:val="24"/>
        </w:rPr>
        <w:t>小时后发</w:t>
      </w:r>
      <w:r>
        <w:rPr>
          <w:rFonts w:ascii="宋体" w:hAnsi="宋体" w:eastAsia="宋体" w:cs="宋体"/>
          <w:spacing w:val="-1"/>
          <w:sz w:val="24"/>
          <w:szCs w:val="24"/>
        </w:rPr>
        <w:t>酵床表面以下</w:t>
      </w:r>
      <w:r>
        <w:rPr>
          <w:rFonts w:ascii="Times New Roman" w:hAnsi="Times New Roman" w:eastAsia="Times New Roman" w:cs="Times New Roman"/>
          <w:spacing w:val="-1"/>
          <w:sz w:val="24"/>
          <w:szCs w:val="24"/>
        </w:rPr>
        <w:t xml:space="preserve">30~35 </w:t>
      </w:r>
      <w:r>
        <w:rPr>
          <w:rFonts w:ascii="宋体" w:hAnsi="宋体" w:eastAsia="宋体" w:cs="宋体"/>
          <w:spacing w:val="-1"/>
          <w:sz w:val="24"/>
          <w:szCs w:val="24"/>
        </w:rPr>
        <w:t>厘米处</w:t>
      </w:r>
      <w:r>
        <w:rPr>
          <w:rFonts w:ascii="宋体" w:hAnsi="宋体" w:eastAsia="宋体" w:cs="宋体"/>
          <w:sz w:val="24"/>
          <w:szCs w:val="24"/>
        </w:rPr>
        <w:t xml:space="preserve"> </w:t>
      </w:r>
      <w:r>
        <w:rPr>
          <w:rFonts w:ascii="宋体" w:hAnsi="宋体" w:eastAsia="宋体" w:cs="宋体"/>
          <w:spacing w:val="-1"/>
          <w:sz w:val="24"/>
          <w:szCs w:val="24"/>
        </w:rPr>
        <w:t>的温度应该在</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45</w:t>
      </w:r>
      <w:r>
        <w:rPr>
          <w:rFonts w:ascii="宋体" w:hAnsi="宋体" w:eastAsia="宋体" w:cs="宋体"/>
          <w:spacing w:val="-1"/>
          <w:sz w:val="24"/>
          <w:szCs w:val="24"/>
        </w:rPr>
        <w:t>℃左右，以后温度便逐渐上升</w:t>
      </w:r>
      <w:r>
        <w:rPr>
          <w:rFonts w:ascii="宋体" w:hAnsi="宋体" w:eastAsia="宋体" w:cs="宋体"/>
          <w:spacing w:val="-2"/>
          <w:sz w:val="24"/>
          <w:szCs w:val="24"/>
        </w:rPr>
        <w:t>，</w:t>
      </w:r>
      <w:r>
        <w:rPr>
          <w:rFonts w:ascii="Times New Roman" w:hAnsi="Times New Roman" w:eastAsia="Times New Roman" w:cs="Times New Roman"/>
          <w:spacing w:val="-2"/>
          <w:sz w:val="24"/>
          <w:szCs w:val="24"/>
        </w:rPr>
        <w:t>48</w:t>
      </w:r>
      <w:r>
        <w:rPr>
          <w:rFonts w:ascii="宋体" w:hAnsi="宋体" w:eastAsia="宋体" w:cs="宋体"/>
          <w:spacing w:val="-2"/>
          <w:sz w:val="24"/>
          <w:szCs w:val="24"/>
        </w:rPr>
        <w:t>小时后应达至</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60</w:t>
      </w:r>
      <w:r>
        <w:rPr>
          <w:rFonts w:ascii="宋体" w:hAnsi="宋体" w:eastAsia="宋体" w:cs="宋体"/>
          <w:spacing w:val="-2"/>
          <w:sz w:val="24"/>
          <w:szCs w:val="24"/>
        </w:rPr>
        <w:t>℃以上，如此发</w:t>
      </w:r>
      <w:r>
        <w:rPr>
          <w:rFonts w:ascii="宋体" w:hAnsi="宋体" w:eastAsia="宋体" w:cs="宋体"/>
          <w:sz w:val="24"/>
          <w:szCs w:val="24"/>
        </w:rPr>
        <w:t xml:space="preserve"> </w:t>
      </w:r>
      <w:r>
        <w:rPr>
          <w:rFonts w:ascii="宋体" w:hAnsi="宋体" w:eastAsia="宋体" w:cs="宋体"/>
          <w:spacing w:val="2"/>
          <w:sz w:val="24"/>
          <w:szCs w:val="24"/>
        </w:rPr>
        <w:t>酵效果最佳。此时发酵床制作完成，可再次喷淋粪污进行发酵处理。如出现异常，</w:t>
      </w:r>
      <w:r>
        <w:rPr>
          <w:rFonts w:ascii="宋体" w:hAnsi="宋体" w:eastAsia="宋体" w:cs="宋体"/>
          <w:spacing w:val="5"/>
          <w:sz w:val="24"/>
          <w:szCs w:val="24"/>
        </w:rPr>
        <w:t xml:space="preserve"> </w:t>
      </w:r>
      <w:r>
        <w:rPr>
          <w:rFonts w:ascii="宋体" w:hAnsi="宋体" w:eastAsia="宋体" w:cs="宋体"/>
          <w:spacing w:val="2"/>
          <w:sz w:val="24"/>
          <w:szCs w:val="24"/>
        </w:rPr>
        <w:t>未能达到相应温度，需检查菌种及垫料湿度是否过湿，或检查场内周围保温措施是</w:t>
      </w:r>
      <w:r>
        <w:rPr>
          <w:rFonts w:ascii="宋体" w:hAnsi="宋体" w:eastAsia="宋体" w:cs="宋体"/>
          <w:spacing w:val="5"/>
          <w:sz w:val="24"/>
          <w:szCs w:val="24"/>
        </w:rPr>
        <w:t xml:space="preserve"> </w:t>
      </w:r>
      <w:r>
        <w:rPr>
          <w:rFonts w:ascii="宋体" w:hAnsi="宋体" w:eastAsia="宋体" w:cs="宋体"/>
          <w:spacing w:val="-3"/>
          <w:sz w:val="24"/>
          <w:szCs w:val="24"/>
        </w:rPr>
        <w:t>否不当。</w:t>
      </w:r>
    </w:p>
    <w:p w14:paraId="50A3DF77">
      <w:pPr>
        <w:spacing w:before="4" w:line="375" w:lineRule="auto"/>
        <w:ind w:left="1" w:right="58" w:firstLine="482"/>
        <w:jc w:val="both"/>
        <w:rPr>
          <w:rFonts w:ascii="宋体" w:hAnsi="宋体" w:eastAsia="宋体" w:cs="宋体"/>
          <w:sz w:val="24"/>
          <w:szCs w:val="24"/>
        </w:rPr>
      </w:pPr>
      <w:r>
        <w:rPr>
          <w:rFonts w:ascii="宋体" w:hAnsi="宋体" w:eastAsia="宋体" w:cs="宋体"/>
          <w:spacing w:val="1"/>
          <w:sz w:val="24"/>
          <w:szCs w:val="24"/>
        </w:rPr>
        <w:t>项目粪污经异位发酵床处理后，成为有机肥半成品，水分</w:t>
      </w:r>
      <w:r>
        <w:rPr>
          <w:rFonts w:ascii="宋体" w:hAnsi="宋体" w:eastAsia="宋体" w:cs="宋体"/>
          <w:sz w:val="24"/>
          <w:szCs w:val="24"/>
        </w:rPr>
        <w:t>（鲜样）</w:t>
      </w:r>
      <w:r>
        <w:rPr>
          <w:rFonts w:ascii="宋体" w:hAnsi="宋体" w:eastAsia="宋体" w:cs="宋体"/>
          <w:spacing w:val="-91"/>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30%,</w:t>
      </w:r>
      <w:r>
        <w:rPr>
          <w:rFonts w:ascii="宋体" w:hAnsi="宋体" w:eastAsia="宋体" w:cs="宋体"/>
          <w:sz w:val="24"/>
          <w:szCs w:val="24"/>
        </w:rPr>
        <w:t xml:space="preserve">有机 </w:t>
      </w:r>
      <w:r>
        <w:rPr>
          <w:rFonts w:ascii="宋体" w:hAnsi="宋体" w:eastAsia="宋体" w:cs="宋体"/>
          <w:spacing w:val="-1"/>
          <w:sz w:val="24"/>
          <w:szCs w:val="24"/>
        </w:rPr>
        <w:t>质（以干基计）</w:t>
      </w:r>
      <w:r>
        <w:rPr>
          <w:rFonts w:ascii="宋体" w:hAnsi="宋体" w:eastAsia="宋体" w:cs="宋体"/>
          <w:spacing w:val="-85"/>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45%</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，总养分（</w:t>
      </w:r>
      <w:r>
        <w:rPr>
          <w:rFonts w:ascii="Times New Roman" w:hAnsi="Times New Roman" w:eastAsia="Times New Roman" w:cs="Times New Roman"/>
          <w:spacing w:val="-1"/>
          <w:sz w:val="24"/>
          <w:szCs w:val="24"/>
        </w:rPr>
        <w:t>N+P</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O</w:t>
      </w:r>
      <w:r>
        <w:rPr>
          <w:rFonts w:ascii="Times New Roman" w:hAnsi="Times New Roman" w:eastAsia="Times New Roman" w:cs="Times New Roman"/>
          <w:spacing w:val="-1"/>
          <w:position w:val="-1"/>
          <w:sz w:val="15"/>
          <w:szCs w:val="15"/>
        </w:rPr>
        <w:t>5</w:t>
      </w:r>
      <w:r>
        <w:rPr>
          <w:rFonts w:ascii="Times New Roman" w:hAnsi="Times New Roman" w:eastAsia="Times New Roman" w:cs="Times New Roman"/>
          <w:spacing w:val="-1"/>
          <w:sz w:val="24"/>
          <w:szCs w:val="24"/>
        </w:rPr>
        <w:t>+K</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O</w:t>
      </w:r>
      <w:r>
        <w:rPr>
          <w:rFonts w:ascii="宋体" w:hAnsi="宋体" w:eastAsia="宋体" w:cs="宋体"/>
          <w:spacing w:val="-1"/>
          <w:sz w:val="24"/>
          <w:szCs w:val="24"/>
        </w:rPr>
        <w:t>）的质量分数（以干基计</w:t>
      </w:r>
      <w:r>
        <w:rPr>
          <w:rFonts w:ascii="宋体" w:hAnsi="宋体" w:eastAsia="宋体" w:cs="宋体"/>
          <w:spacing w:val="-8"/>
          <w:sz w:val="24"/>
          <w:szCs w:val="24"/>
        </w:rPr>
        <w:t>）（</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r>
        <w:rPr>
          <w:rFonts w:ascii="宋体" w:hAnsi="宋体" w:eastAsia="宋体" w:cs="宋体"/>
          <w:spacing w:val="-86"/>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3"/>
          <w:sz w:val="24"/>
          <w:szCs w:val="24"/>
        </w:rPr>
        <w:t>5.0%</w:t>
      </w:r>
      <w:r>
        <w:rPr>
          <w:rFonts w:ascii="宋体" w:hAnsi="宋体" w:eastAsia="宋体" w:cs="宋体"/>
          <w:spacing w:val="-3"/>
          <w:sz w:val="24"/>
          <w:szCs w:val="24"/>
        </w:rPr>
        <w:t>。</w:t>
      </w:r>
    </w:p>
    <w:p w14:paraId="54A32B9E">
      <w:pPr>
        <w:spacing w:line="361" w:lineRule="exact"/>
        <w:ind w:left="476"/>
        <w:outlineLvl w:val="0"/>
        <w:rPr>
          <w:rFonts w:ascii="宋体" w:hAnsi="宋体" w:eastAsia="宋体" w:cs="宋体"/>
          <w:sz w:val="24"/>
          <w:szCs w:val="24"/>
        </w:rPr>
      </w:pPr>
      <w:r>
        <w:rPr>
          <w:rFonts w:ascii="Times New Roman" w:hAnsi="Times New Roman" w:eastAsia="Times New Roman" w:cs="Times New Roman"/>
          <w:spacing w:val="-5"/>
          <w:position w:val="2"/>
          <w:sz w:val="24"/>
          <w:szCs w:val="24"/>
        </w:rPr>
        <w:t>2</w:t>
      </w:r>
      <w:r>
        <w:rPr>
          <w:rFonts w:ascii="Times New Roman" w:hAnsi="Times New Roman" w:eastAsia="Times New Roman" w:cs="Times New Roman"/>
          <w:spacing w:val="-32"/>
          <w:position w:val="2"/>
          <w:sz w:val="24"/>
          <w:szCs w:val="24"/>
        </w:rPr>
        <w:t xml:space="preserve"> </w:t>
      </w:r>
      <w:r>
        <w:rPr>
          <w:rFonts w:ascii="宋体" w:hAnsi="宋体" w:eastAsia="宋体" w:cs="宋体"/>
          <w:spacing w:val="-5"/>
          <w:position w:val="2"/>
          <w:sz w:val="24"/>
          <w:szCs w:val="24"/>
        </w:rPr>
        <w:t>、病死猪尸体</w:t>
      </w:r>
    </w:p>
    <w:p w14:paraId="620B7AF9">
      <w:pPr>
        <w:spacing w:before="165" w:line="377" w:lineRule="auto"/>
        <w:ind w:right="60" w:firstLine="479"/>
        <w:jc w:val="both"/>
        <w:rPr>
          <w:rFonts w:ascii="宋体" w:hAnsi="宋体" w:eastAsia="宋体" w:cs="宋体"/>
          <w:sz w:val="24"/>
          <w:szCs w:val="24"/>
        </w:rPr>
      </w:pPr>
      <w:r>
        <w:rPr>
          <w:rFonts w:ascii="宋体" w:hAnsi="宋体" w:eastAsia="宋体" w:cs="宋体"/>
          <w:spacing w:val="2"/>
          <w:sz w:val="24"/>
          <w:szCs w:val="24"/>
        </w:rPr>
        <w:t>对于不明原因病死牲畜、其排泄物以及被污染的垫料、饲料和其他物品，可能</w:t>
      </w:r>
      <w:r>
        <w:rPr>
          <w:rFonts w:ascii="宋体" w:hAnsi="宋体" w:eastAsia="宋体" w:cs="宋体"/>
          <w:spacing w:val="11"/>
          <w:sz w:val="24"/>
          <w:szCs w:val="24"/>
        </w:rPr>
        <w:t xml:space="preserve"> </w:t>
      </w:r>
      <w:r>
        <w:rPr>
          <w:rFonts w:ascii="宋体" w:hAnsi="宋体" w:eastAsia="宋体" w:cs="宋体"/>
          <w:spacing w:val="2"/>
          <w:sz w:val="24"/>
          <w:szCs w:val="24"/>
        </w:rPr>
        <w:t>带有病源微生物，易传播疾病，给人畜带来危害，必须进行无害化处理。被传染病</w:t>
      </w:r>
      <w:r>
        <w:rPr>
          <w:rFonts w:ascii="宋体" w:hAnsi="宋体" w:eastAsia="宋体" w:cs="宋体"/>
          <w:spacing w:val="6"/>
          <w:sz w:val="24"/>
          <w:szCs w:val="24"/>
        </w:rPr>
        <w:t xml:space="preserve"> </w:t>
      </w:r>
      <w:r>
        <w:rPr>
          <w:rFonts w:ascii="宋体" w:hAnsi="宋体" w:eastAsia="宋体" w:cs="宋体"/>
          <w:spacing w:val="2"/>
          <w:sz w:val="24"/>
          <w:szCs w:val="24"/>
        </w:rPr>
        <w:t>感染的死猪和粪便属于广东省严控废物，应按《病死及病害动物无害化处理技术规</w:t>
      </w:r>
      <w:r>
        <w:rPr>
          <w:rFonts w:ascii="宋体" w:hAnsi="宋体" w:eastAsia="宋体" w:cs="宋体"/>
          <w:spacing w:val="6"/>
          <w:sz w:val="24"/>
          <w:szCs w:val="24"/>
        </w:rPr>
        <w:t xml:space="preserve"> </w:t>
      </w:r>
      <w:r>
        <w:rPr>
          <w:rFonts w:ascii="宋体" w:hAnsi="宋体" w:eastAsia="宋体" w:cs="宋体"/>
          <w:spacing w:val="-1"/>
          <w:sz w:val="24"/>
          <w:szCs w:val="24"/>
        </w:rPr>
        <w:t>范》（农医发</w:t>
      </w:r>
      <w:r>
        <w:rPr>
          <w:rFonts w:ascii="Times New Roman" w:hAnsi="Times New Roman" w:eastAsia="Times New Roman" w:cs="Times New Roman"/>
          <w:spacing w:val="-1"/>
          <w:sz w:val="24"/>
          <w:szCs w:val="24"/>
        </w:rPr>
        <w:t>201725</w:t>
      </w:r>
      <w:r>
        <w:rPr>
          <w:rFonts w:ascii="Times New Roman" w:hAnsi="Times New Roman" w:eastAsia="Times New Roman" w:cs="Times New Roman"/>
          <w:spacing w:val="28"/>
          <w:w w:val="101"/>
          <w:sz w:val="24"/>
          <w:szCs w:val="24"/>
        </w:rPr>
        <w:t xml:space="preserve"> </w:t>
      </w:r>
      <w:r>
        <w:rPr>
          <w:rFonts w:ascii="宋体" w:hAnsi="宋体" w:eastAsia="宋体" w:cs="宋体"/>
          <w:spacing w:val="-1"/>
          <w:sz w:val="24"/>
          <w:szCs w:val="24"/>
        </w:rPr>
        <w:t>号）处理。本项目病死猪尸产生量为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3.75t/a</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，依托海丰县公平</w:t>
      </w:r>
      <w:r>
        <w:rPr>
          <w:rFonts w:ascii="宋体" w:hAnsi="宋体" w:eastAsia="宋体" w:cs="宋体"/>
          <w:sz w:val="24"/>
          <w:szCs w:val="24"/>
        </w:rPr>
        <w:t xml:space="preserve"> </w:t>
      </w:r>
      <w:r>
        <w:rPr>
          <w:rFonts w:ascii="宋体" w:hAnsi="宋体" w:eastAsia="宋体" w:cs="宋体"/>
          <w:spacing w:val="-3"/>
          <w:sz w:val="24"/>
          <w:szCs w:val="24"/>
        </w:rPr>
        <w:t>镇龙寨实成种养专业合作社项目中的安全填埋井对本项目病死猪尸体进行处理，其</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z w:val="24"/>
          <w:szCs w:val="24"/>
        </w:rPr>
        <w:t xml:space="preserve"> </w:t>
      </w:r>
      <w:r>
        <w:rPr>
          <w:rFonts w:ascii="宋体" w:hAnsi="宋体" w:eastAsia="宋体" w:cs="宋体"/>
          <w:spacing w:val="-4"/>
          <w:sz w:val="24"/>
          <w:szCs w:val="24"/>
        </w:rPr>
        <w:t>个安全填埋井位于本项目东南面约</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195m</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处，安全填埋井距离本项目很近，且中间间</w:t>
      </w:r>
      <w:r>
        <w:rPr>
          <w:rFonts w:ascii="宋体" w:hAnsi="宋体" w:eastAsia="宋体" w:cs="宋体"/>
          <w:sz w:val="24"/>
          <w:szCs w:val="24"/>
        </w:rPr>
        <w:t xml:space="preserve"> </w:t>
      </w:r>
      <w:r>
        <w:rPr>
          <w:rFonts w:ascii="宋体" w:hAnsi="宋体" w:eastAsia="宋体" w:cs="宋体"/>
          <w:spacing w:val="-1"/>
          <w:sz w:val="24"/>
          <w:szCs w:val="24"/>
        </w:rPr>
        <w:t>隔没有环境敏感点，运输上不影响周边环境。填埋井建</w:t>
      </w:r>
      <w:r>
        <w:rPr>
          <w:rFonts w:ascii="宋体" w:hAnsi="宋体" w:eastAsia="宋体" w:cs="宋体"/>
          <w:spacing w:val="-2"/>
          <w:sz w:val="24"/>
          <w:szCs w:val="24"/>
        </w:rPr>
        <w:t>设深度</w:t>
      </w:r>
      <w:r>
        <w:rPr>
          <w:rFonts w:ascii="Times New Roman" w:hAnsi="Times New Roman" w:eastAsia="Times New Roman" w:cs="Times New Roman"/>
          <w:spacing w:val="-2"/>
          <w:sz w:val="24"/>
          <w:szCs w:val="24"/>
        </w:rPr>
        <w:t>6.5m</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，直径为</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1.6m</w:t>
      </w:r>
      <w:r>
        <w:rPr>
          <w:rFonts w:ascii="宋体" w:hAnsi="宋体" w:eastAsia="宋体" w:cs="宋体"/>
          <w:spacing w:val="-2"/>
          <w:sz w:val="24"/>
          <w:szCs w:val="24"/>
        </w:rPr>
        <w:t>，</w:t>
      </w:r>
    </w:p>
    <w:p w14:paraId="22E0266F">
      <w:pPr>
        <w:spacing w:line="377" w:lineRule="auto"/>
        <w:rPr>
          <w:rFonts w:ascii="宋体" w:hAnsi="宋体" w:eastAsia="宋体" w:cs="宋体"/>
          <w:sz w:val="24"/>
          <w:szCs w:val="24"/>
        </w:rPr>
        <w:sectPr>
          <w:footerReference r:id="rId158" w:type="default"/>
          <w:pgSz w:w="11906" w:h="16839"/>
          <w:pgMar w:top="400" w:right="1525" w:bottom="1485" w:left="1597" w:header="0" w:footer="1249" w:gutter="0"/>
          <w:cols w:space="720" w:num="1"/>
        </w:sectPr>
      </w:pPr>
    </w:p>
    <w:p w14:paraId="6407D600">
      <w:pPr>
        <w:pStyle w:val="2"/>
        <w:spacing w:line="255" w:lineRule="auto"/>
      </w:pPr>
    </w:p>
    <w:p w14:paraId="5DF62BB3">
      <w:pPr>
        <w:pStyle w:val="2"/>
        <w:spacing w:line="255" w:lineRule="auto"/>
      </w:pPr>
    </w:p>
    <w:p w14:paraId="1BEDE06D">
      <w:pPr>
        <w:pStyle w:val="2"/>
        <w:spacing w:line="256" w:lineRule="auto"/>
      </w:pPr>
    </w:p>
    <w:p w14:paraId="74D7134B">
      <w:pPr>
        <w:pStyle w:val="2"/>
        <w:spacing w:line="256" w:lineRule="auto"/>
      </w:pPr>
    </w:p>
    <w:p w14:paraId="02EAFC50">
      <w:pPr>
        <w:spacing w:before="78" w:line="376" w:lineRule="auto"/>
        <w:ind w:left="1" w:right="58"/>
        <w:jc w:val="both"/>
        <w:rPr>
          <w:rFonts w:ascii="宋体" w:hAnsi="宋体" w:eastAsia="宋体" w:cs="宋体"/>
          <w:sz w:val="24"/>
          <w:szCs w:val="24"/>
        </w:rPr>
      </w:pPr>
      <w:r>
        <w:rPr>
          <w:rFonts w:ascii="宋体" w:hAnsi="宋体" w:eastAsia="宋体" w:cs="宋体"/>
          <w:spacing w:val="-1"/>
          <w:sz w:val="24"/>
          <w:szCs w:val="24"/>
        </w:rPr>
        <w:t>加盖密封。</w:t>
      </w:r>
      <w:r>
        <w:rPr>
          <w:rFonts w:ascii="宋体" w:hAnsi="宋体" w:eastAsia="宋体" w:cs="宋体"/>
          <w:spacing w:val="-63"/>
          <w:sz w:val="24"/>
          <w:szCs w:val="24"/>
        </w:rPr>
        <w:t xml:space="preserve"> </w:t>
      </w:r>
      <w:r>
        <w:rPr>
          <w:rFonts w:ascii="宋体" w:hAnsi="宋体" w:eastAsia="宋体" w:cs="宋体"/>
          <w:spacing w:val="-1"/>
          <w:sz w:val="24"/>
          <w:szCs w:val="24"/>
        </w:rPr>
        <w:t>目前项目拟依托的安全填埋井从</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2015 </w:t>
      </w:r>
      <w:r>
        <w:rPr>
          <w:rFonts w:ascii="宋体" w:hAnsi="宋体" w:eastAsia="宋体" w:cs="宋体"/>
          <w:spacing w:val="-1"/>
          <w:sz w:val="24"/>
          <w:szCs w:val="24"/>
        </w:rPr>
        <w:t>年使用</w:t>
      </w:r>
      <w:r>
        <w:rPr>
          <w:rFonts w:ascii="宋体" w:hAnsi="宋体" w:eastAsia="宋体" w:cs="宋体"/>
          <w:spacing w:val="-2"/>
          <w:sz w:val="24"/>
          <w:szCs w:val="24"/>
        </w:rPr>
        <w:t>至今，使用容积小于</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2"/>
          <w:sz w:val="24"/>
          <w:szCs w:val="24"/>
        </w:rPr>
        <w:t>剩余足够的容量供两个项目同时使用。海丰县公平镇龙寨实成种养专业合作社接收</w:t>
      </w:r>
      <w:r>
        <w:rPr>
          <w:rFonts w:ascii="宋体" w:hAnsi="宋体" w:eastAsia="宋体" w:cs="宋体"/>
          <w:spacing w:val="6"/>
          <w:sz w:val="24"/>
          <w:szCs w:val="24"/>
        </w:rPr>
        <w:t xml:space="preserve"> </w:t>
      </w:r>
      <w:r>
        <w:rPr>
          <w:rFonts w:ascii="宋体" w:hAnsi="宋体" w:eastAsia="宋体" w:cs="宋体"/>
          <w:spacing w:val="3"/>
          <w:sz w:val="24"/>
          <w:szCs w:val="24"/>
        </w:rPr>
        <w:t>本项目病死猪尸体证明见附件</w:t>
      </w:r>
      <w:r>
        <w:rPr>
          <w:rFonts w:ascii="Times New Roman" w:hAnsi="Times New Roman" w:eastAsia="Times New Roman" w:cs="Times New Roman"/>
          <w:spacing w:val="3"/>
          <w:sz w:val="24"/>
          <w:szCs w:val="24"/>
        </w:rPr>
        <w:t>6</w:t>
      </w:r>
      <w:r>
        <w:rPr>
          <w:rFonts w:ascii="宋体" w:hAnsi="宋体" w:eastAsia="宋体" w:cs="宋体"/>
          <w:spacing w:val="3"/>
          <w:sz w:val="24"/>
          <w:szCs w:val="24"/>
        </w:rPr>
        <w:t>。</w:t>
      </w:r>
    </w:p>
    <w:p w14:paraId="4E221AE8">
      <w:pPr>
        <w:spacing w:before="4" w:line="375" w:lineRule="auto"/>
        <w:ind w:firstLine="483"/>
        <w:rPr>
          <w:rFonts w:ascii="宋体" w:hAnsi="宋体" w:eastAsia="宋体" w:cs="宋体"/>
          <w:sz w:val="24"/>
          <w:szCs w:val="24"/>
        </w:rPr>
      </w:pPr>
      <w:r>
        <w:rPr>
          <w:rFonts w:ascii="宋体" w:hAnsi="宋体" w:eastAsia="宋体" w:cs="宋体"/>
          <w:sz w:val="24"/>
          <w:szCs w:val="24"/>
        </w:rPr>
        <w:t>填埋井填埋时应该严格按照《畜禽养殖业污染防治技术规范》（</w:t>
      </w:r>
      <w:r>
        <w:rPr>
          <w:rFonts w:ascii="Times New Roman" w:hAnsi="Times New Roman" w:eastAsia="Times New Roman" w:cs="Times New Roman"/>
          <w:sz w:val="24"/>
          <w:szCs w:val="24"/>
        </w:rPr>
        <w:t>HJ/T81-200</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2"/>
          <w:sz w:val="24"/>
          <w:szCs w:val="24"/>
        </w:rPr>
        <w:t>要求进行，填埋井采用混凝土结构并做好防渗措施，对填埋点、运输车辆、工具等</w:t>
      </w:r>
      <w:r>
        <w:rPr>
          <w:rFonts w:ascii="宋体" w:hAnsi="宋体" w:eastAsia="宋体" w:cs="宋体"/>
          <w:spacing w:val="8"/>
          <w:sz w:val="24"/>
          <w:szCs w:val="24"/>
        </w:rPr>
        <w:t xml:space="preserve"> </w:t>
      </w:r>
      <w:r>
        <w:rPr>
          <w:rFonts w:ascii="宋体" w:hAnsi="宋体" w:eastAsia="宋体" w:cs="宋体"/>
          <w:spacing w:val="3"/>
          <w:sz w:val="24"/>
          <w:szCs w:val="24"/>
        </w:rPr>
        <w:t>进行严格的消毒。同事填埋点应设有害物质标志，以作警示，并对周围进行绿化。</w:t>
      </w:r>
      <w:r>
        <w:rPr>
          <w:rFonts w:ascii="宋体" w:hAnsi="宋体" w:eastAsia="宋体" w:cs="宋体"/>
          <w:spacing w:val="4"/>
          <w:sz w:val="24"/>
          <w:szCs w:val="24"/>
        </w:rPr>
        <w:t xml:space="preserve"> </w:t>
      </w:r>
      <w:r>
        <w:rPr>
          <w:rFonts w:ascii="宋体" w:hAnsi="宋体" w:eastAsia="宋体" w:cs="宋体"/>
          <w:spacing w:val="2"/>
          <w:sz w:val="24"/>
          <w:szCs w:val="24"/>
        </w:rPr>
        <w:t>同时要求厂区配置一套常规防疫检测设备。根据《病死及病害动物无害化处理技术</w:t>
      </w:r>
      <w:r>
        <w:rPr>
          <w:rFonts w:ascii="宋体" w:hAnsi="宋体" w:eastAsia="宋体" w:cs="宋体"/>
          <w:spacing w:val="8"/>
          <w:sz w:val="24"/>
          <w:szCs w:val="24"/>
        </w:rPr>
        <w:t xml:space="preserve"> </w:t>
      </w:r>
      <w:r>
        <w:rPr>
          <w:rFonts w:ascii="宋体" w:hAnsi="宋体" w:eastAsia="宋体" w:cs="宋体"/>
          <w:spacing w:val="-4"/>
          <w:sz w:val="24"/>
          <w:szCs w:val="24"/>
        </w:rPr>
        <w:t>规范》（农医发〔</w:t>
      </w:r>
      <w:r>
        <w:rPr>
          <w:rFonts w:ascii="Times New Roman" w:hAnsi="Times New Roman" w:eastAsia="Times New Roman" w:cs="Times New Roman"/>
          <w:spacing w:val="-4"/>
          <w:sz w:val="24"/>
          <w:szCs w:val="24"/>
        </w:rPr>
        <w:t>2017</w:t>
      </w:r>
      <w:r>
        <w:rPr>
          <w:rFonts w:ascii="宋体" w:hAnsi="宋体" w:eastAsia="宋体" w:cs="宋体"/>
          <w:spacing w:val="-4"/>
          <w:sz w:val="24"/>
          <w:szCs w:val="24"/>
        </w:rPr>
        <w:t>〕</w:t>
      </w:r>
      <w:r>
        <w:rPr>
          <w:rFonts w:ascii="Times New Roman" w:hAnsi="Times New Roman" w:eastAsia="Times New Roman" w:cs="Times New Roman"/>
          <w:spacing w:val="-4"/>
          <w:sz w:val="24"/>
          <w:szCs w:val="24"/>
        </w:rPr>
        <w:t>25</w:t>
      </w:r>
      <w:r>
        <w:rPr>
          <w:rFonts w:ascii="Times New Roman" w:hAnsi="Times New Roman" w:eastAsia="Times New Roman" w:cs="Times New Roman"/>
          <w:spacing w:val="16"/>
          <w:w w:val="101"/>
          <w:sz w:val="24"/>
          <w:szCs w:val="24"/>
        </w:rPr>
        <w:t xml:space="preserve"> </w:t>
      </w:r>
      <w:r>
        <w:rPr>
          <w:rFonts w:ascii="宋体" w:hAnsi="宋体" w:eastAsia="宋体" w:cs="宋体"/>
          <w:spacing w:val="-4"/>
          <w:sz w:val="24"/>
          <w:szCs w:val="24"/>
        </w:rPr>
        <w:t>号</w:t>
      </w:r>
      <w:r>
        <w:rPr>
          <w:rFonts w:ascii="宋体" w:hAnsi="宋体" w:eastAsia="宋体" w:cs="宋体"/>
          <w:spacing w:val="13"/>
          <w:sz w:val="24"/>
          <w:szCs w:val="24"/>
        </w:rPr>
        <w:t>），</w:t>
      </w:r>
      <w:r>
        <w:rPr>
          <w:rFonts w:ascii="宋体" w:hAnsi="宋体" w:eastAsia="宋体" w:cs="宋体"/>
          <w:spacing w:val="-4"/>
          <w:sz w:val="24"/>
          <w:szCs w:val="24"/>
        </w:rPr>
        <w:t>填埋井底部应高出地下水位</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1.5m</w:t>
      </w:r>
      <w:r>
        <w:rPr>
          <w:rFonts w:ascii="Times New Roman" w:hAnsi="Times New Roman" w:eastAsia="Times New Roman" w:cs="Times New Roman"/>
          <w:spacing w:val="37"/>
          <w:w w:val="101"/>
          <w:sz w:val="24"/>
          <w:szCs w:val="24"/>
        </w:rPr>
        <w:t xml:space="preserve"> </w:t>
      </w:r>
      <w:r>
        <w:rPr>
          <w:rFonts w:ascii="宋体" w:hAnsi="宋体" w:eastAsia="宋体" w:cs="宋体"/>
          <w:spacing w:val="-4"/>
          <w:sz w:val="24"/>
          <w:szCs w:val="24"/>
        </w:rPr>
        <w:t>以上，要防渗、</w:t>
      </w:r>
      <w:r>
        <w:rPr>
          <w:rFonts w:ascii="宋体" w:hAnsi="宋体" w:eastAsia="宋体" w:cs="宋体"/>
          <w:sz w:val="24"/>
          <w:szCs w:val="24"/>
        </w:rPr>
        <w:t xml:space="preserve"> </w:t>
      </w:r>
      <w:r>
        <w:rPr>
          <w:rFonts w:ascii="宋体" w:hAnsi="宋体" w:eastAsia="宋体" w:cs="宋体"/>
          <w:spacing w:val="3"/>
          <w:sz w:val="24"/>
          <w:szCs w:val="24"/>
        </w:rPr>
        <w:t>防漏，填埋前井底洒一层厚度为</w:t>
      </w:r>
      <w:r>
        <w:rPr>
          <w:rFonts w:ascii="Times New Roman" w:hAnsi="Times New Roman" w:eastAsia="Times New Roman" w:cs="Times New Roman"/>
          <w:spacing w:val="3"/>
          <w:sz w:val="24"/>
          <w:szCs w:val="24"/>
        </w:rPr>
        <w:t>2-5</w:t>
      </w:r>
      <w:r>
        <w:rPr>
          <w:rFonts w:ascii="Times New Roman" w:hAnsi="Times New Roman" w:eastAsia="Times New Roman" w:cs="Times New Roman"/>
          <w:sz w:val="24"/>
          <w:szCs w:val="24"/>
        </w:rPr>
        <w:t>cm</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的生石灰等</w:t>
      </w:r>
      <w:r>
        <w:rPr>
          <w:rFonts w:ascii="宋体" w:hAnsi="宋体" w:eastAsia="宋体" w:cs="宋体"/>
          <w:spacing w:val="2"/>
          <w:sz w:val="24"/>
          <w:szCs w:val="24"/>
        </w:rPr>
        <w:t>消毒剂，填满时，最上层距离地</w:t>
      </w:r>
      <w:r>
        <w:rPr>
          <w:rFonts w:ascii="宋体" w:hAnsi="宋体" w:eastAsia="宋体" w:cs="宋体"/>
          <w:sz w:val="24"/>
          <w:szCs w:val="24"/>
        </w:rPr>
        <w:t xml:space="preserve"> </w:t>
      </w:r>
      <w:r>
        <w:rPr>
          <w:rFonts w:ascii="宋体" w:hAnsi="宋体" w:eastAsia="宋体" w:cs="宋体"/>
          <w:spacing w:val="-3"/>
          <w:sz w:val="24"/>
          <w:szCs w:val="24"/>
        </w:rPr>
        <w:t>面</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1.5m</w:t>
      </w:r>
      <w:r>
        <w:rPr>
          <w:rFonts w:ascii="Times New Roman" w:hAnsi="Times New Roman" w:eastAsia="Times New Roman" w:cs="Times New Roman"/>
          <w:spacing w:val="38"/>
          <w:sz w:val="24"/>
          <w:szCs w:val="24"/>
        </w:rPr>
        <w:t xml:space="preserve"> </w:t>
      </w:r>
      <w:r>
        <w:rPr>
          <w:rFonts w:ascii="宋体" w:hAnsi="宋体" w:eastAsia="宋体" w:cs="宋体"/>
          <w:spacing w:val="-3"/>
          <w:sz w:val="24"/>
          <w:szCs w:val="24"/>
        </w:rPr>
        <w:t>以上。进行填埋时，在每次投入畜禽尸体后，覆盖一层厚度</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12cm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的熟石灰</w:t>
      </w:r>
      <w:r>
        <w:rPr>
          <w:rFonts w:ascii="宋体" w:hAnsi="宋体" w:eastAsia="宋体" w:cs="宋体"/>
          <w:sz w:val="24"/>
          <w:szCs w:val="24"/>
        </w:rPr>
        <w:t xml:space="preserve"> </w:t>
      </w:r>
      <w:r>
        <w:rPr>
          <w:rFonts w:ascii="宋体" w:hAnsi="宋体" w:eastAsia="宋体" w:cs="宋体"/>
          <w:spacing w:val="-1"/>
          <w:sz w:val="24"/>
          <w:szCs w:val="24"/>
        </w:rPr>
        <w:t>消毒，经填满后，需用粘土填埋压实并封口。</w:t>
      </w:r>
    </w:p>
    <w:p w14:paraId="1CAB3CB8">
      <w:pPr>
        <w:spacing w:before="7" w:line="361" w:lineRule="exact"/>
        <w:ind w:left="482"/>
        <w:rPr>
          <w:rFonts w:ascii="宋体" w:hAnsi="宋体" w:eastAsia="宋体" w:cs="宋体"/>
          <w:sz w:val="24"/>
          <w:szCs w:val="24"/>
        </w:rPr>
      </w:pPr>
      <w:r>
        <w:rPr>
          <w:rFonts w:ascii="Times New Roman" w:hAnsi="Times New Roman" w:eastAsia="Times New Roman" w:cs="Times New Roman"/>
          <w:spacing w:val="-6"/>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6"/>
          <w:position w:val="2"/>
          <w:sz w:val="24"/>
          <w:szCs w:val="24"/>
        </w:rPr>
        <w:t>、危险废物</w:t>
      </w:r>
    </w:p>
    <w:p w14:paraId="0154B382">
      <w:pPr>
        <w:spacing w:before="163" w:line="362" w:lineRule="auto"/>
        <w:ind w:left="1" w:right="56" w:firstLine="479"/>
        <w:rPr>
          <w:rFonts w:ascii="宋体" w:hAnsi="宋体" w:eastAsia="宋体" w:cs="宋体"/>
          <w:sz w:val="24"/>
          <w:szCs w:val="24"/>
        </w:rPr>
      </w:pPr>
      <w:r>
        <w:rPr>
          <w:rFonts w:ascii="宋体" w:hAnsi="宋体" w:eastAsia="宋体" w:cs="宋体"/>
          <w:spacing w:val="2"/>
          <w:sz w:val="24"/>
          <w:szCs w:val="24"/>
        </w:rPr>
        <w:t>在养殖过程中牲畜需要注射一些疫苗，会产生少量针头、感染过的包装袋等。</w:t>
      </w:r>
      <w:r>
        <w:rPr>
          <w:rFonts w:ascii="宋体" w:hAnsi="宋体" w:eastAsia="宋体" w:cs="宋体"/>
          <w:spacing w:val="13"/>
          <w:sz w:val="24"/>
          <w:szCs w:val="24"/>
        </w:rPr>
        <w:t xml:space="preserve"> </w:t>
      </w:r>
      <w:r>
        <w:rPr>
          <w:rFonts w:ascii="宋体" w:hAnsi="宋体" w:eastAsia="宋体" w:cs="宋体"/>
          <w:sz w:val="24"/>
          <w:szCs w:val="24"/>
        </w:rPr>
        <w:t>类比同类型规模化养殖场，本项目运营期医疗废物的产生量为</w:t>
      </w:r>
      <w:r>
        <w:rPr>
          <w:rFonts w:ascii="Times New Roman" w:hAnsi="Times New Roman" w:eastAsia="Times New Roman" w:cs="Times New Roman"/>
          <w:sz w:val="24"/>
          <w:szCs w:val="24"/>
        </w:rPr>
        <w:t>0.2t/a</w:t>
      </w:r>
      <w:r>
        <w:rPr>
          <w:rFonts w:ascii="Times New Roman" w:hAnsi="Times New Roman" w:eastAsia="Times New Roman" w:cs="Times New Roman"/>
          <w:spacing w:val="-35"/>
          <w:sz w:val="24"/>
          <w:szCs w:val="24"/>
        </w:rPr>
        <w:t xml:space="preserve"> </w:t>
      </w:r>
      <w:r>
        <w:rPr>
          <w:rFonts w:ascii="宋体" w:hAnsi="宋体" w:eastAsia="宋体" w:cs="宋体"/>
          <w:sz w:val="24"/>
          <w:szCs w:val="24"/>
        </w:rPr>
        <w:t>，该</w:t>
      </w:r>
      <w:r>
        <w:rPr>
          <w:rFonts w:ascii="宋体" w:hAnsi="宋体" w:eastAsia="宋体" w:cs="宋体"/>
          <w:spacing w:val="-1"/>
          <w:sz w:val="24"/>
          <w:szCs w:val="24"/>
        </w:rPr>
        <w:t>部分固废属</w:t>
      </w:r>
      <w:r>
        <w:rPr>
          <w:rFonts w:ascii="宋体" w:hAnsi="宋体" w:eastAsia="宋体" w:cs="宋体"/>
          <w:sz w:val="24"/>
          <w:szCs w:val="24"/>
        </w:rPr>
        <w:t xml:space="preserve"> </w:t>
      </w:r>
      <w:r>
        <w:rPr>
          <w:rFonts w:ascii="宋体" w:hAnsi="宋体" w:eastAsia="宋体" w:cs="宋体"/>
          <w:spacing w:val="2"/>
          <w:sz w:val="24"/>
          <w:szCs w:val="24"/>
        </w:rPr>
        <w:t>于危险废物，废物代码为</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HW</w:t>
      </w:r>
      <w:r>
        <w:rPr>
          <w:rFonts w:ascii="Times New Roman" w:hAnsi="Times New Roman" w:eastAsia="Times New Roman" w:cs="Times New Roman"/>
          <w:spacing w:val="2"/>
          <w:sz w:val="24"/>
          <w:szCs w:val="24"/>
        </w:rPr>
        <w:t>01</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，收集后交由有资质的单位处理。</w:t>
      </w:r>
      <w:r>
        <w:rPr>
          <w:rFonts w:ascii="宋体" w:hAnsi="宋体" w:eastAsia="宋体" w:cs="宋体"/>
          <w:spacing w:val="1"/>
          <w:sz w:val="24"/>
          <w:szCs w:val="24"/>
        </w:rPr>
        <w:t>建设单位应对产</w:t>
      </w:r>
      <w:r>
        <w:rPr>
          <w:rFonts w:ascii="宋体" w:hAnsi="宋体" w:eastAsia="宋体" w:cs="宋体"/>
          <w:sz w:val="24"/>
          <w:szCs w:val="24"/>
        </w:rPr>
        <w:t xml:space="preserve"> </w:t>
      </w:r>
      <w:r>
        <w:rPr>
          <w:rFonts w:ascii="宋体" w:hAnsi="宋体" w:eastAsia="宋体" w:cs="宋体"/>
          <w:spacing w:val="-1"/>
          <w:sz w:val="24"/>
          <w:szCs w:val="24"/>
        </w:rPr>
        <w:t>生的危险废物采取如下治理措施：</w:t>
      </w:r>
    </w:p>
    <w:p w14:paraId="612C3248">
      <w:pPr>
        <w:spacing w:before="75" w:line="324" w:lineRule="auto"/>
        <w:ind w:left="1" w:right="61" w:firstLine="479"/>
        <w:rPr>
          <w:rFonts w:ascii="宋体" w:hAnsi="宋体" w:eastAsia="宋体" w:cs="宋体"/>
          <w:sz w:val="24"/>
          <w:szCs w:val="24"/>
        </w:rPr>
      </w:pPr>
      <w:r>
        <w:rPr>
          <w:rFonts w:ascii="宋体" w:hAnsi="宋体" w:eastAsia="宋体" w:cs="宋体"/>
          <w:spacing w:val="2"/>
          <w:sz w:val="24"/>
          <w:szCs w:val="24"/>
        </w:rPr>
        <w:t>①建设单位应当及时分类收集本单位产生的医疗废物，并按照类别分置于防渗</w:t>
      </w:r>
      <w:r>
        <w:rPr>
          <w:rFonts w:ascii="宋体" w:hAnsi="宋体" w:eastAsia="宋体" w:cs="宋体"/>
          <w:spacing w:val="8"/>
          <w:sz w:val="24"/>
          <w:szCs w:val="24"/>
        </w:rPr>
        <w:t xml:space="preserve"> </w:t>
      </w:r>
      <w:r>
        <w:rPr>
          <w:rFonts w:ascii="宋体" w:hAnsi="宋体" w:eastAsia="宋体" w:cs="宋体"/>
          <w:spacing w:val="2"/>
          <w:sz w:val="24"/>
          <w:szCs w:val="24"/>
        </w:rPr>
        <w:t>漏、防锐器穿透的专用包装物或者密闭的容器内，医疗废物和废液专用包装物、容</w:t>
      </w:r>
      <w:r>
        <w:rPr>
          <w:rFonts w:ascii="宋体" w:hAnsi="宋体" w:eastAsia="宋体" w:cs="宋体"/>
          <w:spacing w:val="3"/>
          <w:sz w:val="24"/>
          <w:szCs w:val="24"/>
        </w:rPr>
        <w:t xml:space="preserve"> </w:t>
      </w:r>
      <w:r>
        <w:rPr>
          <w:rFonts w:ascii="宋体" w:hAnsi="宋体" w:eastAsia="宋体" w:cs="宋体"/>
          <w:spacing w:val="-1"/>
          <w:sz w:val="24"/>
          <w:szCs w:val="24"/>
        </w:rPr>
        <w:t>器，应当有明显的警示标识和警示说明。</w:t>
      </w:r>
    </w:p>
    <w:p w14:paraId="133609D8">
      <w:pPr>
        <w:spacing w:before="201" w:line="338" w:lineRule="auto"/>
        <w:ind w:right="58" w:firstLine="479"/>
        <w:rPr>
          <w:rFonts w:ascii="宋体" w:hAnsi="宋体" w:eastAsia="宋体" w:cs="宋体"/>
          <w:sz w:val="24"/>
          <w:szCs w:val="24"/>
        </w:rPr>
      </w:pPr>
      <w:r>
        <w:rPr>
          <w:rFonts w:ascii="宋体" w:hAnsi="宋体" w:eastAsia="宋体" w:cs="宋体"/>
          <w:spacing w:val="2"/>
          <w:sz w:val="24"/>
          <w:szCs w:val="24"/>
        </w:rPr>
        <w:t>②设置危险废物的暂时贮存设施，不得露天存放危险废物；危险废物的暂时贮</w:t>
      </w:r>
      <w:r>
        <w:rPr>
          <w:rFonts w:ascii="宋体" w:hAnsi="宋体" w:eastAsia="宋体" w:cs="宋体"/>
          <w:spacing w:val="12"/>
          <w:sz w:val="24"/>
          <w:szCs w:val="24"/>
        </w:rPr>
        <w:t xml:space="preserve"> </w:t>
      </w:r>
      <w:r>
        <w:rPr>
          <w:rFonts w:ascii="宋体" w:hAnsi="宋体" w:eastAsia="宋体" w:cs="宋体"/>
          <w:spacing w:val="2"/>
          <w:sz w:val="24"/>
          <w:szCs w:val="24"/>
        </w:rPr>
        <w:t>存设施应当远人员活动区以及生活垃圾存放场所，设置明显的警示标识和防渗漏、</w:t>
      </w:r>
      <w:r>
        <w:rPr>
          <w:rFonts w:ascii="宋体" w:hAnsi="宋体" w:eastAsia="宋体" w:cs="宋体"/>
          <w:spacing w:val="7"/>
          <w:sz w:val="24"/>
          <w:szCs w:val="24"/>
        </w:rPr>
        <w:t xml:space="preserve"> </w:t>
      </w:r>
      <w:r>
        <w:rPr>
          <w:rFonts w:ascii="宋体" w:hAnsi="宋体" w:eastAsia="宋体" w:cs="宋体"/>
          <w:spacing w:val="2"/>
          <w:sz w:val="24"/>
          <w:szCs w:val="24"/>
        </w:rPr>
        <w:t>防鼠、防蚊蝇、防蟑螂、防盗以及预防儿童接触等安全措施，并应当定期消毒和清</w:t>
      </w:r>
      <w:r>
        <w:rPr>
          <w:rFonts w:ascii="宋体" w:hAnsi="宋体" w:eastAsia="宋体" w:cs="宋体"/>
          <w:spacing w:val="7"/>
          <w:sz w:val="24"/>
          <w:szCs w:val="24"/>
        </w:rPr>
        <w:t xml:space="preserve"> </w:t>
      </w:r>
      <w:r>
        <w:rPr>
          <w:rFonts w:ascii="宋体" w:hAnsi="宋体" w:eastAsia="宋体" w:cs="宋体"/>
          <w:spacing w:val="-5"/>
          <w:sz w:val="24"/>
          <w:szCs w:val="24"/>
        </w:rPr>
        <w:t>洁。</w:t>
      </w:r>
    </w:p>
    <w:p w14:paraId="600F6768">
      <w:pPr>
        <w:spacing w:before="164" w:line="376" w:lineRule="auto"/>
        <w:ind w:right="56" w:firstLine="481"/>
        <w:jc w:val="both"/>
        <w:rPr>
          <w:rFonts w:ascii="宋体" w:hAnsi="宋体" w:eastAsia="宋体" w:cs="宋体"/>
          <w:sz w:val="24"/>
          <w:szCs w:val="24"/>
        </w:rPr>
      </w:pPr>
      <w:r>
        <w:rPr>
          <w:rFonts w:ascii="宋体" w:hAnsi="宋体" w:eastAsia="宋体" w:cs="宋体"/>
          <w:spacing w:val="1"/>
          <w:sz w:val="24"/>
          <w:szCs w:val="24"/>
        </w:rPr>
        <w:t>根据《危险废物贮存污染控制标准》（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18597-2001</w:t>
      </w:r>
      <w:r>
        <w:rPr>
          <w:rFonts w:ascii="宋体" w:hAnsi="宋体" w:eastAsia="宋体" w:cs="宋体"/>
          <w:sz w:val="24"/>
          <w:szCs w:val="24"/>
        </w:rPr>
        <w:t xml:space="preserve">）的有关要求，本项目设 </w:t>
      </w:r>
      <w:r>
        <w:rPr>
          <w:rFonts w:ascii="宋体" w:hAnsi="宋体" w:eastAsia="宋体" w:cs="宋体"/>
          <w:spacing w:val="2"/>
          <w:sz w:val="24"/>
          <w:szCs w:val="24"/>
        </w:rPr>
        <w:t>置独立的医疗废物暂存间，属地面单层建筑，位于猪舍的西北面，建设单位在做好</w:t>
      </w:r>
      <w:r>
        <w:rPr>
          <w:rFonts w:ascii="宋体" w:hAnsi="宋体" w:eastAsia="宋体" w:cs="宋体"/>
          <w:spacing w:val="8"/>
          <w:sz w:val="24"/>
          <w:szCs w:val="24"/>
        </w:rPr>
        <w:t xml:space="preserve"> </w:t>
      </w:r>
      <w:r>
        <w:rPr>
          <w:rFonts w:ascii="宋体" w:hAnsi="宋体" w:eastAsia="宋体" w:cs="宋体"/>
          <w:spacing w:val="2"/>
          <w:sz w:val="24"/>
          <w:szCs w:val="24"/>
        </w:rPr>
        <w:t>医疗废物暂存间的清洁与除臭消毒措施后，本项目危险废物不会对项目内部及周围</w:t>
      </w:r>
      <w:r>
        <w:rPr>
          <w:rFonts w:ascii="宋体" w:hAnsi="宋体" w:eastAsia="宋体" w:cs="宋体"/>
          <w:spacing w:val="8"/>
          <w:sz w:val="24"/>
          <w:szCs w:val="24"/>
        </w:rPr>
        <w:t xml:space="preserve"> </w:t>
      </w:r>
      <w:r>
        <w:rPr>
          <w:rFonts w:ascii="宋体" w:hAnsi="宋体" w:eastAsia="宋体" w:cs="宋体"/>
          <w:spacing w:val="-1"/>
          <w:sz w:val="24"/>
          <w:szCs w:val="24"/>
        </w:rPr>
        <w:t>环境产生明显不良影响。</w:t>
      </w:r>
    </w:p>
    <w:p w14:paraId="29045FA1">
      <w:pPr>
        <w:spacing w:line="360" w:lineRule="exact"/>
        <w:ind w:left="476"/>
        <w:rPr>
          <w:rFonts w:ascii="宋体" w:hAnsi="宋体" w:eastAsia="宋体" w:cs="宋体"/>
          <w:sz w:val="24"/>
          <w:szCs w:val="24"/>
        </w:rPr>
      </w:pPr>
      <w:r>
        <w:rPr>
          <w:rFonts w:ascii="Times New Roman" w:hAnsi="Times New Roman" w:eastAsia="Times New Roman" w:cs="Times New Roman"/>
          <w:spacing w:val="-3"/>
          <w:position w:val="2"/>
          <w:sz w:val="24"/>
          <w:szCs w:val="24"/>
        </w:rPr>
        <w:t>4</w:t>
      </w:r>
      <w:r>
        <w:rPr>
          <w:rFonts w:ascii="Times New Roman" w:hAnsi="Times New Roman" w:eastAsia="Times New Roman" w:cs="Times New Roman"/>
          <w:spacing w:val="-34"/>
          <w:position w:val="2"/>
          <w:sz w:val="24"/>
          <w:szCs w:val="24"/>
        </w:rPr>
        <w:t xml:space="preserve"> </w:t>
      </w:r>
      <w:r>
        <w:rPr>
          <w:rFonts w:ascii="宋体" w:hAnsi="宋体" w:eastAsia="宋体" w:cs="宋体"/>
          <w:spacing w:val="-3"/>
          <w:position w:val="2"/>
          <w:sz w:val="24"/>
          <w:szCs w:val="24"/>
        </w:rPr>
        <w:t>、员工办公生活垃圾</w:t>
      </w:r>
    </w:p>
    <w:p w14:paraId="18FF7E4F">
      <w:pPr>
        <w:spacing w:line="360" w:lineRule="exact"/>
        <w:rPr>
          <w:rFonts w:ascii="宋体" w:hAnsi="宋体" w:eastAsia="宋体" w:cs="宋体"/>
          <w:sz w:val="24"/>
          <w:szCs w:val="24"/>
        </w:rPr>
        <w:sectPr>
          <w:footerReference r:id="rId159" w:type="default"/>
          <w:pgSz w:w="11906" w:h="16839"/>
          <w:pgMar w:top="400" w:right="1529" w:bottom="1485" w:left="1596" w:header="0" w:footer="1249" w:gutter="0"/>
          <w:cols w:space="720" w:num="1"/>
        </w:sectPr>
      </w:pPr>
    </w:p>
    <w:p w14:paraId="103A5CC8">
      <w:pPr>
        <w:pStyle w:val="2"/>
        <w:spacing w:line="264" w:lineRule="auto"/>
      </w:pPr>
    </w:p>
    <w:p w14:paraId="54D738B4">
      <w:pPr>
        <w:pStyle w:val="2"/>
        <w:spacing w:line="264" w:lineRule="auto"/>
      </w:pPr>
    </w:p>
    <w:p w14:paraId="64FC43FA">
      <w:pPr>
        <w:pStyle w:val="2"/>
        <w:spacing w:line="264" w:lineRule="auto"/>
      </w:pPr>
    </w:p>
    <w:p w14:paraId="45895F1A">
      <w:pPr>
        <w:pStyle w:val="2"/>
        <w:spacing w:line="264" w:lineRule="auto"/>
      </w:pPr>
    </w:p>
    <w:p w14:paraId="5A2DE4B7">
      <w:pPr>
        <w:spacing w:before="78" w:line="377" w:lineRule="auto"/>
        <w:ind w:left="30" w:right="81" w:firstLine="451"/>
        <w:rPr>
          <w:rFonts w:ascii="宋体" w:hAnsi="宋体" w:eastAsia="宋体" w:cs="宋体"/>
          <w:sz w:val="24"/>
          <w:szCs w:val="24"/>
        </w:rPr>
      </w:pPr>
      <w:r>
        <w:rPr>
          <w:rFonts w:ascii="宋体" w:hAnsi="宋体" w:eastAsia="宋体" w:cs="宋体"/>
          <w:spacing w:val="2"/>
          <w:sz w:val="24"/>
          <w:szCs w:val="24"/>
        </w:rPr>
        <w:t>本项目在项目区域内布设垃圾桶，并定期将垃圾桶中垃圾收集后集中堆放，交</w:t>
      </w:r>
      <w:r>
        <w:rPr>
          <w:rFonts w:ascii="宋体" w:hAnsi="宋体" w:eastAsia="宋体" w:cs="宋体"/>
          <w:spacing w:val="9"/>
          <w:sz w:val="24"/>
          <w:szCs w:val="24"/>
        </w:rPr>
        <w:t xml:space="preserve"> </w:t>
      </w:r>
      <w:r>
        <w:rPr>
          <w:rFonts w:ascii="宋体" w:hAnsi="宋体" w:eastAsia="宋体" w:cs="宋体"/>
          <w:spacing w:val="-2"/>
          <w:sz w:val="24"/>
          <w:szCs w:val="24"/>
        </w:rPr>
        <w:t>由当地环卫部门处理，并定期清洗、消毒垃圾堆放点。</w:t>
      </w:r>
    </w:p>
    <w:p w14:paraId="7124C2B9">
      <w:pPr>
        <w:spacing w:before="1" w:line="220" w:lineRule="auto"/>
        <w:ind w:left="483"/>
        <w:rPr>
          <w:rFonts w:ascii="宋体" w:hAnsi="宋体" w:eastAsia="宋体" w:cs="宋体"/>
          <w:sz w:val="24"/>
          <w:szCs w:val="24"/>
        </w:rPr>
      </w:pPr>
      <w:r>
        <w:rPr>
          <w:rFonts w:ascii="Times New Roman" w:hAnsi="Times New Roman" w:eastAsia="Times New Roman" w:cs="Times New Roman"/>
          <w:spacing w:val="-7"/>
          <w:sz w:val="24"/>
          <w:szCs w:val="24"/>
        </w:rPr>
        <w:t>5</w:t>
      </w:r>
      <w:r>
        <w:rPr>
          <w:rFonts w:ascii="Times New Roman" w:hAnsi="Times New Roman" w:eastAsia="Times New Roman" w:cs="Times New Roman"/>
          <w:spacing w:val="-31"/>
          <w:sz w:val="24"/>
          <w:szCs w:val="24"/>
        </w:rPr>
        <w:t xml:space="preserve"> </w:t>
      </w:r>
      <w:r>
        <w:rPr>
          <w:rFonts w:ascii="宋体" w:hAnsi="宋体" w:eastAsia="宋体" w:cs="宋体"/>
          <w:spacing w:val="-7"/>
          <w:sz w:val="24"/>
          <w:szCs w:val="24"/>
        </w:rPr>
        <w:t>、废包装物</w:t>
      </w:r>
    </w:p>
    <w:p w14:paraId="120D61E0">
      <w:pPr>
        <w:spacing w:before="201" w:line="376" w:lineRule="auto"/>
        <w:ind w:right="81" w:firstLine="481"/>
        <w:rPr>
          <w:rFonts w:ascii="宋体" w:hAnsi="宋体" w:eastAsia="宋体" w:cs="宋体"/>
          <w:sz w:val="24"/>
          <w:szCs w:val="24"/>
        </w:rPr>
      </w:pPr>
      <w:r>
        <w:rPr>
          <w:rFonts w:ascii="宋体" w:hAnsi="宋体" w:eastAsia="宋体" w:cs="宋体"/>
          <w:spacing w:val="2"/>
          <w:sz w:val="24"/>
          <w:szCs w:val="24"/>
        </w:rPr>
        <w:t>主要是废塑料袋、废纸箱、废蛇皮袋等各种原辅材料的废弃包装料，交由原料</w:t>
      </w:r>
      <w:r>
        <w:rPr>
          <w:rFonts w:ascii="宋体" w:hAnsi="宋体" w:eastAsia="宋体" w:cs="宋体"/>
          <w:spacing w:val="8"/>
          <w:sz w:val="24"/>
          <w:szCs w:val="24"/>
        </w:rPr>
        <w:t xml:space="preserve"> </w:t>
      </w:r>
      <w:r>
        <w:rPr>
          <w:rFonts w:ascii="宋体" w:hAnsi="宋体" w:eastAsia="宋体" w:cs="宋体"/>
          <w:sz w:val="24"/>
          <w:szCs w:val="24"/>
        </w:rPr>
        <w:t>供应商回收或由环卫部门统一处理，不会对</w:t>
      </w:r>
      <w:r>
        <w:rPr>
          <w:rFonts w:ascii="宋体" w:hAnsi="宋体" w:eastAsia="宋体" w:cs="宋体"/>
          <w:spacing w:val="-1"/>
          <w:sz w:val="24"/>
          <w:szCs w:val="24"/>
        </w:rPr>
        <w:t>周围环境造成明显影响。</w:t>
      </w:r>
    </w:p>
    <w:p w14:paraId="5EE32181">
      <w:pPr>
        <w:spacing w:line="378" w:lineRule="auto"/>
        <w:ind w:right="81" w:firstLine="483"/>
        <w:rPr>
          <w:rFonts w:ascii="宋体" w:hAnsi="宋体" w:eastAsia="宋体" w:cs="宋体"/>
          <w:sz w:val="24"/>
          <w:szCs w:val="24"/>
        </w:rPr>
      </w:pPr>
      <w:r>
        <w:rPr>
          <w:rFonts w:ascii="宋体" w:hAnsi="宋体" w:eastAsia="宋体" w:cs="宋体"/>
          <w:spacing w:val="2"/>
          <w:sz w:val="24"/>
          <w:szCs w:val="24"/>
        </w:rPr>
        <w:t>综上所述，本项目分类收集、处置固体废物的措施安全有效，去向明确。固体</w:t>
      </w:r>
      <w:r>
        <w:rPr>
          <w:rFonts w:ascii="宋体" w:hAnsi="宋体" w:eastAsia="宋体" w:cs="宋体"/>
          <w:spacing w:val="7"/>
          <w:sz w:val="24"/>
          <w:szCs w:val="24"/>
        </w:rPr>
        <w:t xml:space="preserve"> </w:t>
      </w:r>
      <w:r>
        <w:rPr>
          <w:rFonts w:ascii="宋体" w:hAnsi="宋体" w:eastAsia="宋体" w:cs="宋体"/>
          <w:spacing w:val="-1"/>
          <w:sz w:val="24"/>
          <w:szCs w:val="24"/>
        </w:rPr>
        <w:t>废物经妥善处理后，不会对周围环境产生明显不良影响。</w:t>
      </w:r>
    </w:p>
    <w:p w14:paraId="3E0AF1C9">
      <w:pPr>
        <w:spacing w:before="293" w:line="221"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6.4.3</w:t>
      </w:r>
      <w:r>
        <w:rPr>
          <w:rFonts w:ascii="宋体" w:hAnsi="宋体" w:eastAsia="宋体" w:cs="宋体"/>
          <w:b/>
          <w:bCs/>
          <w:spacing w:val="-2"/>
          <w:sz w:val="24"/>
          <w:szCs w:val="24"/>
        </w:rPr>
        <w:t>固废处置措施经济可行性分析</w:t>
      </w:r>
    </w:p>
    <w:p w14:paraId="1A731A15">
      <w:pPr>
        <w:pStyle w:val="2"/>
      </w:pPr>
    </w:p>
    <w:p w14:paraId="1AE21018">
      <w:pPr>
        <w:spacing w:before="78" w:line="367" w:lineRule="auto"/>
        <w:ind w:left="4" w:right="81" w:firstLine="480"/>
        <w:rPr>
          <w:rFonts w:ascii="宋体" w:hAnsi="宋体" w:eastAsia="宋体" w:cs="宋体"/>
          <w:sz w:val="24"/>
          <w:szCs w:val="24"/>
        </w:rPr>
      </w:pPr>
      <w:r>
        <w:rPr>
          <w:rFonts w:ascii="宋体" w:hAnsi="宋体" w:eastAsia="宋体" w:cs="宋体"/>
          <w:spacing w:val="1"/>
          <w:sz w:val="24"/>
          <w:szCs w:val="24"/>
        </w:rPr>
        <w:t>项目的固体废物处置措施投资约</w:t>
      </w:r>
      <w:r>
        <w:rPr>
          <w:rFonts w:ascii="Times New Roman" w:hAnsi="Times New Roman" w:eastAsia="Times New Roman" w:cs="Times New Roman"/>
          <w:spacing w:val="1"/>
          <w:sz w:val="24"/>
          <w:szCs w:val="24"/>
        </w:rPr>
        <w:t xml:space="preserve">211 </w:t>
      </w:r>
      <w:r>
        <w:rPr>
          <w:rFonts w:ascii="宋体" w:hAnsi="宋体" w:eastAsia="宋体" w:cs="宋体"/>
          <w:spacing w:val="1"/>
          <w:sz w:val="24"/>
          <w:szCs w:val="24"/>
        </w:rPr>
        <w:t>万元，</w:t>
      </w:r>
      <w:r>
        <w:rPr>
          <w:rFonts w:ascii="宋体" w:hAnsi="宋体" w:eastAsia="宋体" w:cs="宋体"/>
          <w:spacing w:val="-57"/>
          <w:sz w:val="24"/>
          <w:szCs w:val="24"/>
        </w:rPr>
        <w:t xml:space="preserve"> </w:t>
      </w:r>
      <w:r>
        <w:rPr>
          <w:rFonts w:ascii="宋体" w:hAnsi="宋体" w:eastAsia="宋体" w:cs="宋体"/>
          <w:spacing w:val="1"/>
          <w:sz w:val="24"/>
          <w:szCs w:val="24"/>
        </w:rPr>
        <w:t>占总投资的</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16.2</w:t>
      </w:r>
      <w:r>
        <w:rPr>
          <w:rFonts w:ascii="宋体" w:hAnsi="宋体" w:eastAsia="宋体" w:cs="宋体"/>
          <w:spacing w:val="1"/>
          <w:sz w:val="24"/>
          <w:szCs w:val="24"/>
        </w:rPr>
        <w:t>％。由于对固废进</w:t>
      </w:r>
      <w:r>
        <w:rPr>
          <w:rFonts w:ascii="宋体" w:hAnsi="宋体" w:eastAsia="宋体" w:cs="宋体"/>
          <w:sz w:val="24"/>
          <w:szCs w:val="24"/>
        </w:rPr>
        <w:t xml:space="preserve"> </w:t>
      </w:r>
      <w:r>
        <w:rPr>
          <w:rFonts w:ascii="宋体" w:hAnsi="宋体" w:eastAsia="宋体" w:cs="宋体"/>
          <w:spacing w:val="-1"/>
          <w:sz w:val="24"/>
          <w:szCs w:val="24"/>
        </w:rPr>
        <w:t>行处理的同时可带来良好的经济效益，因此为建设单位接受。</w:t>
      </w:r>
    </w:p>
    <w:p w14:paraId="3E83FF1E">
      <w:pPr>
        <w:pStyle w:val="2"/>
        <w:spacing w:line="263" w:lineRule="auto"/>
      </w:pPr>
    </w:p>
    <w:p w14:paraId="1B2F8AFF">
      <w:pPr>
        <w:spacing w:before="101" w:line="226" w:lineRule="auto"/>
        <w:ind w:left="3"/>
        <w:outlineLvl w:val="1"/>
        <w:rPr>
          <w:rFonts w:ascii="宋体" w:hAnsi="宋体" w:eastAsia="宋体" w:cs="宋体"/>
          <w:sz w:val="31"/>
          <w:szCs w:val="31"/>
        </w:rPr>
      </w:pPr>
      <w:bookmarkStart w:id="43" w:name="bookmark38"/>
      <w:bookmarkEnd w:id="43"/>
      <w:r>
        <w:rPr>
          <w:rFonts w:ascii="Times New Roman" w:hAnsi="Times New Roman" w:eastAsia="Times New Roman" w:cs="Times New Roman"/>
          <w:b/>
          <w:bCs/>
          <w:spacing w:val="5"/>
          <w:sz w:val="31"/>
          <w:szCs w:val="31"/>
        </w:rPr>
        <w:t>6.5</w:t>
      </w:r>
      <w:r>
        <w:rPr>
          <w:rFonts w:ascii="宋体" w:hAnsi="宋体" w:eastAsia="宋体" w:cs="宋体"/>
          <w:b/>
          <w:bCs/>
          <w:spacing w:val="5"/>
          <w:sz w:val="31"/>
          <w:szCs w:val="31"/>
        </w:rPr>
        <w:t>有害生物防治措施</w:t>
      </w:r>
    </w:p>
    <w:p w14:paraId="492B6751">
      <w:pPr>
        <w:pStyle w:val="2"/>
        <w:spacing w:line="317" w:lineRule="auto"/>
      </w:pPr>
    </w:p>
    <w:p w14:paraId="3B07785B">
      <w:pPr>
        <w:spacing w:before="79" w:line="362" w:lineRule="auto"/>
        <w:ind w:left="3" w:right="106" w:firstLine="600"/>
        <w:rPr>
          <w:rFonts w:ascii="宋体" w:hAnsi="宋体" w:eastAsia="宋体" w:cs="宋体"/>
          <w:sz w:val="24"/>
          <w:szCs w:val="24"/>
        </w:rPr>
      </w:pPr>
      <w:r>
        <w:rPr>
          <w:rFonts w:ascii="宋体" w:hAnsi="宋体" w:eastAsia="宋体" w:cs="宋体"/>
          <w:spacing w:val="-2"/>
          <w:sz w:val="24"/>
          <w:szCs w:val="24"/>
        </w:rPr>
        <w:t>设项目的建设将为蚊、蝇、鼠等有害生物提供了一个极佳的滋生场所，</w:t>
      </w:r>
      <w:r>
        <w:rPr>
          <w:rFonts w:ascii="宋体" w:hAnsi="宋体" w:eastAsia="宋体" w:cs="宋体"/>
          <w:spacing w:val="-3"/>
          <w:sz w:val="24"/>
          <w:szCs w:val="24"/>
        </w:rPr>
        <w:t>因此，</w:t>
      </w:r>
      <w:r>
        <w:rPr>
          <w:rFonts w:ascii="宋体" w:hAnsi="宋体" w:eastAsia="宋体" w:cs="宋体"/>
          <w:sz w:val="24"/>
          <w:szCs w:val="24"/>
        </w:rPr>
        <w:t xml:space="preserve"> </w:t>
      </w:r>
      <w:r>
        <w:rPr>
          <w:rFonts w:ascii="宋体" w:hAnsi="宋体" w:eastAsia="宋体" w:cs="宋体"/>
          <w:spacing w:val="-1"/>
          <w:sz w:val="24"/>
          <w:szCs w:val="24"/>
        </w:rPr>
        <w:t>建设单位必须对蚊、蝇、鼠等有害生物采取有效的措施进行控制。</w:t>
      </w:r>
    </w:p>
    <w:p w14:paraId="48B6F419">
      <w:pPr>
        <w:spacing w:before="47" w:line="360" w:lineRule="exact"/>
        <w:ind w:left="492"/>
        <w:outlineLvl w:val="0"/>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）灭蝇、灭蚊</w:t>
      </w:r>
    </w:p>
    <w:p w14:paraId="4A814C86">
      <w:pPr>
        <w:spacing w:before="165" w:line="362" w:lineRule="auto"/>
        <w:ind w:left="3" w:right="81" w:firstLine="476"/>
        <w:rPr>
          <w:rFonts w:ascii="宋体" w:hAnsi="宋体" w:eastAsia="宋体" w:cs="宋体"/>
          <w:sz w:val="24"/>
          <w:szCs w:val="24"/>
        </w:rPr>
      </w:pPr>
      <w:r>
        <w:rPr>
          <w:rFonts w:ascii="宋体" w:hAnsi="宋体" w:eastAsia="宋体" w:cs="宋体"/>
          <w:spacing w:val="2"/>
          <w:sz w:val="24"/>
          <w:szCs w:val="24"/>
        </w:rPr>
        <w:t>场区中的猪粪要及时清除，并对猪粪便收集池及时消毒和清理，可以在池内喷</w:t>
      </w:r>
      <w:r>
        <w:rPr>
          <w:rFonts w:ascii="宋体" w:hAnsi="宋体" w:eastAsia="宋体" w:cs="宋体"/>
          <w:spacing w:val="11"/>
          <w:sz w:val="24"/>
          <w:szCs w:val="24"/>
        </w:rPr>
        <w:t xml:space="preserve"> </w:t>
      </w:r>
      <w:r>
        <w:rPr>
          <w:rFonts w:ascii="宋体" w:hAnsi="宋体" w:eastAsia="宋体" w:cs="宋体"/>
          <w:spacing w:val="-1"/>
          <w:sz w:val="24"/>
          <w:szCs w:val="24"/>
        </w:rPr>
        <w:t>洒拟除虫菊酯类杀虫剂来杀灭蝇蛆。</w:t>
      </w:r>
    </w:p>
    <w:p w14:paraId="190597A6">
      <w:pPr>
        <w:spacing w:before="1" w:line="380" w:lineRule="auto"/>
        <w:ind w:right="78" w:firstLine="480"/>
        <w:jc w:val="both"/>
        <w:rPr>
          <w:rFonts w:ascii="宋体" w:hAnsi="宋体" w:eastAsia="宋体" w:cs="宋体"/>
          <w:sz w:val="24"/>
          <w:szCs w:val="24"/>
        </w:rPr>
      </w:pPr>
      <w:r>
        <w:rPr>
          <w:rFonts w:ascii="宋体" w:hAnsi="宋体" w:eastAsia="宋体" w:cs="宋体"/>
          <w:spacing w:val="-1"/>
          <w:sz w:val="24"/>
          <w:szCs w:val="24"/>
        </w:rPr>
        <w:t>停留面施药：将具有残效、触杀作用的杀虫剂，喷刷在蝇类停落物</w:t>
      </w:r>
      <w:r>
        <w:rPr>
          <w:rFonts w:ascii="宋体" w:hAnsi="宋体" w:eastAsia="宋体" w:cs="宋体"/>
          <w:spacing w:val="-2"/>
          <w:sz w:val="24"/>
          <w:szCs w:val="24"/>
        </w:rPr>
        <w:t>表面，室内</w:t>
      </w:r>
      <w:r>
        <w:rPr>
          <w:rFonts w:ascii="Times New Roman" w:hAnsi="Times New Roman" w:eastAsia="Times New Roman" w:cs="Times New Roman"/>
          <w:spacing w:val="-2"/>
          <w:sz w:val="24"/>
          <w:szCs w:val="24"/>
        </w:rPr>
        <w:t>2</w:t>
      </w:r>
      <w:r>
        <w:rPr>
          <w:rFonts w:ascii="Times New Roman" w:hAnsi="Times New Roman" w:eastAsia="Times New Roman" w:cs="Times New Roman"/>
          <w:sz w:val="24"/>
          <w:szCs w:val="24"/>
        </w:rPr>
        <w:t xml:space="preserve"> </w:t>
      </w:r>
      <w:r>
        <w:rPr>
          <w:rFonts w:ascii="宋体" w:hAnsi="宋体" w:eastAsia="宋体" w:cs="宋体"/>
          <w:spacing w:val="2"/>
          <w:sz w:val="24"/>
          <w:szCs w:val="24"/>
        </w:rPr>
        <w:t>米以上墙、顶。一般吸水性强的表面应低浓度大用量，吸水性差的表面则高浓度低</w:t>
      </w:r>
      <w:r>
        <w:rPr>
          <w:rFonts w:ascii="宋体" w:hAnsi="宋体" w:eastAsia="宋体" w:cs="宋体"/>
          <w:spacing w:val="6"/>
          <w:sz w:val="24"/>
          <w:szCs w:val="24"/>
        </w:rPr>
        <w:t xml:space="preserve"> </w:t>
      </w:r>
      <w:r>
        <w:rPr>
          <w:rFonts w:ascii="宋体" w:hAnsi="宋体" w:eastAsia="宋体" w:cs="宋体"/>
          <w:spacing w:val="-1"/>
          <w:sz w:val="24"/>
          <w:szCs w:val="24"/>
        </w:rPr>
        <w:t>用量的原则进行施药。</w:t>
      </w:r>
    </w:p>
    <w:p w14:paraId="6E10E162">
      <w:pPr>
        <w:spacing w:before="22" w:line="376" w:lineRule="auto"/>
        <w:ind w:left="1" w:firstLine="486"/>
        <w:jc w:val="both"/>
        <w:rPr>
          <w:rFonts w:ascii="宋体" w:hAnsi="宋体" w:eastAsia="宋体" w:cs="宋体"/>
          <w:sz w:val="24"/>
          <w:szCs w:val="24"/>
        </w:rPr>
      </w:pPr>
      <w:r>
        <w:rPr>
          <w:rFonts w:ascii="宋体" w:hAnsi="宋体" w:eastAsia="宋体" w:cs="宋体"/>
          <w:spacing w:val="2"/>
          <w:sz w:val="24"/>
          <w:szCs w:val="24"/>
        </w:rPr>
        <w:t xml:space="preserve">空间喷洒：能快速杀灭成蝇成蚊，但持效时间短，因成蝇要接触到喷洒的雾粒 </w:t>
      </w:r>
      <w:r>
        <w:rPr>
          <w:rFonts w:ascii="宋体" w:hAnsi="宋体" w:eastAsia="宋体" w:cs="宋体"/>
          <w:spacing w:val="-2"/>
          <w:sz w:val="24"/>
          <w:szCs w:val="24"/>
        </w:rPr>
        <w:t>后才能中毒死亡。市售的气雾剂，喷洒剂由于价格昂贵，一般仅用</w:t>
      </w:r>
      <w:r>
        <w:rPr>
          <w:rFonts w:ascii="宋体" w:hAnsi="宋体" w:eastAsia="宋体" w:cs="宋体"/>
          <w:spacing w:val="-3"/>
          <w:sz w:val="24"/>
          <w:szCs w:val="24"/>
        </w:rPr>
        <w:t>于进行空间喷洒。</w:t>
      </w:r>
      <w:r>
        <w:rPr>
          <w:rFonts w:ascii="宋体" w:hAnsi="宋体" w:eastAsia="宋体" w:cs="宋体"/>
          <w:sz w:val="24"/>
          <w:szCs w:val="24"/>
        </w:rPr>
        <w:t xml:space="preserve"> </w:t>
      </w:r>
      <w:r>
        <w:rPr>
          <w:rFonts w:ascii="宋体" w:hAnsi="宋体" w:eastAsia="宋体" w:cs="宋体"/>
          <w:spacing w:val="2"/>
          <w:sz w:val="24"/>
          <w:szCs w:val="24"/>
        </w:rPr>
        <w:t>喷药时喷嘴应朝上，不宜朝地面。悬挂毒蝇绳、布放蝇类毒饵、粘蝇纸、捕蝇笼等</w:t>
      </w:r>
      <w:r>
        <w:rPr>
          <w:rFonts w:ascii="宋体" w:hAnsi="宋体" w:eastAsia="宋体" w:cs="宋体"/>
          <w:spacing w:val="5"/>
          <w:sz w:val="24"/>
          <w:szCs w:val="24"/>
        </w:rPr>
        <w:t xml:space="preserve"> </w:t>
      </w:r>
      <w:r>
        <w:rPr>
          <w:rFonts w:ascii="宋体" w:hAnsi="宋体" w:eastAsia="宋体" w:cs="宋体"/>
          <w:spacing w:val="-1"/>
          <w:sz w:val="24"/>
          <w:szCs w:val="24"/>
        </w:rPr>
        <w:t>均可毒杀或捕获到成蝇。</w:t>
      </w:r>
    </w:p>
    <w:p w14:paraId="577C19A1">
      <w:pPr>
        <w:spacing w:before="1" w:line="374" w:lineRule="auto"/>
        <w:ind w:right="81" w:firstLine="480"/>
        <w:jc w:val="both"/>
        <w:rPr>
          <w:rFonts w:ascii="宋体" w:hAnsi="宋体" w:eastAsia="宋体" w:cs="宋体"/>
          <w:sz w:val="24"/>
          <w:szCs w:val="24"/>
        </w:rPr>
      </w:pPr>
      <w:r>
        <w:rPr>
          <w:rFonts w:ascii="宋体" w:hAnsi="宋体" w:eastAsia="宋体" w:cs="宋体"/>
          <w:spacing w:val="2"/>
          <w:sz w:val="24"/>
          <w:szCs w:val="24"/>
        </w:rPr>
        <w:t>物理机械方法也可配合进行。比如在办公区安装纱窗纱门、采用纱罩阻挡苍蝇</w:t>
      </w:r>
      <w:r>
        <w:rPr>
          <w:rFonts w:ascii="宋体" w:hAnsi="宋体" w:eastAsia="宋体" w:cs="宋体"/>
          <w:spacing w:val="10"/>
          <w:sz w:val="24"/>
          <w:szCs w:val="24"/>
        </w:rPr>
        <w:t xml:space="preserve"> </w:t>
      </w:r>
      <w:r>
        <w:rPr>
          <w:rFonts w:ascii="宋体" w:hAnsi="宋体" w:eastAsia="宋体" w:cs="宋体"/>
          <w:spacing w:val="2"/>
          <w:sz w:val="24"/>
          <w:szCs w:val="24"/>
        </w:rPr>
        <w:t>接触食品等，也可收到一定效果。必须继续完善灭蝇基础卫生设施、及时消除滋生</w:t>
      </w:r>
      <w:r>
        <w:rPr>
          <w:rFonts w:ascii="宋体" w:hAnsi="宋体" w:eastAsia="宋体" w:cs="宋体"/>
          <w:spacing w:val="7"/>
          <w:sz w:val="24"/>
          <w:szCs w:val="24"/>
        </w:rPr>
        <w:t xml:space="preserve"> </w:t>
      </w:r>
      <w:r>
        <w:rPr>
          <w:rFonts w:ascii="宋体" w:hAnsi="宋体" w:eastAsia="宋体" w:cs="宋体"/>
          <w:spacing w:val="2"/>
          <w:sz w:val="24"/>
          <w:szCs w:val="24"/>
        </w:rPr>
        <w:t>物，并及时发现处理新产生的滋生地，定期进行蝇密度临测，把苍蝇的密度控制在</w:t>
      </w:r>
    </w:p>
    <w:p w14:paraId="41BE80B1">
      <w:pPr>
        <w:spacing w:line="374" w:lineRule="auto"/>
        <w:rPr>
          <w:rFonts w:ascii="宋体" w:hAnsi="宋体" w:eastAsia="宋体" w:cs="宋体"/>
          <w:sz w:val="24"/>
          <w:szCs w:val="24"/>
        </w:rPr>
        <w:sectPr>
          <w:footerReference r:id="rId160" w:type="default"/>
          <w:pgSz w:w="11906" w:h="16839"/>
          <w:pgMar w:top="400" w:right="1507" w:bottom="1485" w:left="1597" w:header="0" w:footer="1249" w:gutter="0"/>
          <w:cols w:space="720" w:num="1"/>
        </w:sectPr>
      </w:pPr>
    </w:p>
    <w:p w14:paraId="7CF7D23C">
      <w:pPr>
        <w:pStyle w:val="2"/>
        <w:spacing w:line="264" w:lineRule="auto"/>
      </w:pPr>
    </w:p>
    <w:p w14:paraId="1D7C0938">
      <w:pPr>
        <w:pStyle w:val="2"/>
        <w:spacing w:line="264" w:lineRule="auto"/>
      </w:pPr>
    </w:p>
    <w:p w14:paraId="2E5517D5">
      <w:pPr>
        <w:pStyle w:val="2"/>
        <w:spacing w:line="264" w:lineRule="auto"/>
      </w:pPr>
    </w:p>
    <w:p w14:paraId="412F0390">
      <w:pPr>
        <w:pStyle w:val="2"/>
        <w:spacing w:line="265" w:lineRule="auto"/>
      </w:pPr>
    </w:p>
    <w:p w14:paraId="49AB2866">
      <w:pPr>
        <w:spacing w:before="78" w:line="220" w:lineRule="auto"/>
        <w:ind w:left="3"/>
        <w:rPr>
          <w:rFonts w:ascii="宋体" w:hAnsi="宋体" w:eastAsia="宋体" w:cs="宋体"/>
          <w:sz w:val="24"/>
          <w:szCs w:val="24"/>
        </w:rPr>
      </w:pPr>
      <w:r>
        <w:rPr>
          <w:rFonts w:ascii="宋体" w:hAnsi="宋体" w:eastAsia="宋体" w:cs="宋体"/>
          <w:spacing w:val="-2"/>
          <w:sz w:val="24"/>
          <w:szCs w:val="24"/>
        </w:rPr>
        <w:t>不足为害的水平。</w:t>
      </w:r>
    </w:p>
    <w:p w14:paraId="708C1864">
      <w:pPr>
        <w:spacing w:before="203" w:line="362" w:lineRule="auto"/>
        <w:ind w:left="480" w:right="208"/>
        <w:rPr>
          <w:rFonts w:ascii="宋体" w:hAnsi="宋体" w:eastAsia="宋体" w:cs="宋体"/>
          <w:sz w:val="24"/>
          <w:szCs w:val="24"/>
        </w:rPr>
      </w:pPr>
      <w:r>
        <w:rPr>
          <w:rFonts w:ascii="宋体" w:hAnsi="宋体" w:eastAsia="宋体" w:cs="宋体"/>
          <w:spacing w:val="-2"/>
          <w:sz w:val="24"/>
          <w:szCs w:val="24"/>
        </w:rPr>
        <w:t>其次，可考虑在养猪场区设置若干电子灭蝇、灭蚊等，进行电子灭蝇、灭蚊。</w:t>
      </w:r>
      <w:r>
        <w:rPr>
          <w:rFonts w:ascii="宋体" w:hAnsi="宋体" w:eastAsia="宋体" w:cs="宋体"/>
          <w:spacing w:val="17"/>
          <w:sz w:val="24"/>
          <w:szCs w:val="24"/>
        </w:rPr>
        <w:t xml:space="preserve"> </w:t>
      </w:r>
      <w:r>
        <w:rPr>
          <w:rFonts w:ascii="宋体" w:hAnsi="宋体" w:eastAsia="宋体" w:cs="宋体"/>
          <w:sz w:val="24"/>
          <w:szCs w:val="24"/>
        </w:rPr>
        <w:t>其次要及时清扫场区积水，在场区的景观水塘</w:t>
      </w:r>
      <w:r>
        <w:rPr>
          <w:rFonts w:ascii="宋体" w:hAnsi="宋体" w:eastAsia="宋体" w:cs="宋体"/>
          <w:spacing w:val="-1"/>
          <w:sz w:val="24"/>
          <w:szCs w:val="24"/>
        </w:rPr>
        <w:t>喷洒对环境友好的杀虫剂。</w:t>
      </w:r>
    </w:p>
    <w:p w14:paraId="50C5B7AB">
      <w:pPr>
        <w:spacing w:line="362" w:lineRule="exact"/>
        <w:ind w:left="491"/>
        <w:outlineLvl w:val="0"/>
        <w:rPr>
          <w:rFonts w:ascii="宋体" w:hAnsi="宋体" w:eastAsia="宋体" w:cs="宋体"/>
          <w:sz w:val="24"/>
          <w:szCs w:val="24"/>
        </w:rPr>
      </w:pPr>
      <w:r>
        <w:rPr>
          <w:rFonts w:ascii="宋体" w:hAnsi="宋体" w:eastAsia="宋体" w:cs="宋体"/>
          <w:spacing w:val="-5"/>
          <w:position w:val="2"/>
          <w:sz w:val="24"/>
          <w:szCs w:val="24"/>
        </w:rPr>
        <w:t>（</w:t>
      </w:r>
      <w:r>
        <w:rPr>
          <w:rFonts w:ascii="Times New Roman" w:hAnsi="Times New Roman" w:eastAsia="Times New Roman" w:cs="Times New Roman"/>
          <w:spacing w:val="-5"/>
          <w:position w:val="2"/>
          <w:sz w:val="24"/>
          <w:szCs w:val="24"/>
        </w:rPr>
        <w:t>2</w:t>
      </w:r>
      <w:r>
        <w:rPr>
          <w:rFonts w:ascii="宋体" w:hAnsi="宋体" w:eastAsia="宋体" w:cs="宋体"/>
          <w:spacing w:val="-5"/>
          <w:position w:val="2"/>
          <w:sz w:val="24"/>
          <w:szCs w:val="24"/>
        </w:rPr>
        <w:t>）灭鼠</w:t>
      </w:r>
    </w:p>
    <w:p w14:paraId="4A07C9ED">
      <w:pPr>
        <w:spacing w:before="74" w:line="359" w:lineRule="auto"/>
        <w:ind w:right="169" w:firstLine="479"/>
        <w:rPr>
          <w:rFonts w:ascii="宋体" w:hAnsi="宋体" w:eastAsia="宋体" w:cs="宋体"/>
          <w:sz w:val="24"/>
          <w:szCs w:val="24"/>
        </w:rPr>
      </w:pPr>
      <w:r>
        <w:rPr>
          <w:rFonts w:ascii="宋体" w:hAnsi="宋体" w:eastAsia="宋体" w:cs="宋体"/>
          <w:sz w:val="24"/>
          <w:szCs w:val="24"/>
        </w:rPr>
        <w:t>在鼠经常出入活动的地方投放捕鼠器并及时清除死鼠。</w:t>
      </w:r>
      <w:r>
        <w:rPr>
          <w:rFonts w:ascii="宋体" w:hAnsi="宋体" w:eastAsia="宋体" w:cs="宋体"/>
          <w:spacing w:val="-1"/>
          <w:sz w:val="24"/>
          <w:szCs w:val="24"/>
        </w:rPr>
        <w:t>每月两次在养猪场的饲</w:t>
      </w:r>
      <w:r>
        <w:rPr>
          <w:rFonts w:ascii="宋体" w:hAnsi="宋体" w:eastAsia="宋体" w:cs="宋体"/>
          <w:sz w:val="24"/>
          <w:szCs w:val="24"/>
        </w:rPr>
        <w:t xml:space="preserve"> </w:t>
      </w:r>
      <w:r>
        <w:rPr>
          <w:rFonts w:ascii="宋体" w:hAnsi="宋体" w:eastAsia="宋体" w:cs="宋体"/>
          <w:spacing w:val="-1"/>
          <w:sz w:val="24"/>
          <w:szCs w:val="24"/>
        </w:rPr>
        <w:t>料仓库等设施旁投放鼠药，但要注意避免污染饲料。</w:t>
      </w:r>
    </w:p>
    <w:p w14:paraId="5097C52A">
      <w:pPr>
        <w:spacing w:line="220" w:lineRule="auto"/>
        <w:ind w:left="480"/>
        <w:rPr>
          <w:rFonts w:ascii="宋体" w:hAnsi="宋体" w:eastAsia="宋体" w:cs="宋体"/>
          <w:sz w:val="24"/>
          <w:szCs w:val="24"/>
        </w:rPr>
      </w:pPr>
      <w:r>
        <w:rPr>
          <w:rFonts w:ascii="宋体" w:hAnsi="宋体" w:eastAsia="宋体" w:cs="宋体"/>
          <w:spacing w:val="-1"/>
          <w:sz w:val="24"/>
          <w:szCs w:val="24"/>
        </w:rPr>
        <w:t>养猪场的生产和生活垃圾及时清除，保持外环境的清洁。</w:t>
      </w:r>
    </w:p>
    <w:p w14:paraId="1BE5F799">
      <w:pPr>
        <w:spacing w:before="181" w:line="359" w:lineRule="auto"/>
        <w:ind w:right="169" w:firstLine="480"/>
        <w:rPr>
          <w:rFonts w:ascii="宋体" w:hAnsi="宋体" w:eastAsia="宋体" w:cs="宋体"/>
          <w:sz w:val="24"/>
          <w:szCs w:val="24"/>
        </w:rPr>
      </w:pPr>
      <w:r>
        <w:rPr>
          <w:rFonts w:ascii="宋体" w:hAnsi="宋体" w:eastAsia="宋体" w:cs="宋体"/>
          <w:sz w:val="24"/>
          <w:szCs w:val="24"/>
        </w:rPr>
        <w:t>环境灭鼠：老鼠需要水、食物以及隐蔽的栖息条件，</w:t>
      </w:r>
      <w:r>
        <w:rPr>
          <w:rFonts w:ascii="宋体" w:hAnsi="宋体" w:eastAsia="宋体" w:cs="宋体"/>
          <w:spacing w:val="-1"/>
          <w:sz w:val="24"/>
          <w:szCs w:val="24"/>
        </w:rPr>
        <w:t>才能生存和繁殖。因此，</w:t>
      </w:r>
      <w:r>
        <w:rPr>
          <w:rFonts w:ascii="宋体" w:hAnsi="宋体" w:eastAsia="宋体" w:cs="宋体"/>
          <w:sz w:val="24"/>
          <w:szCs w:val="24"/>
        </w:rPr>
        <w:t xml:space="preserve"> 创造一个不适宜其生存的环境，就能使一个地方的鼠量大</w:t>
      </w:r>
      <w:r>
        <w:rPr>
          <w:rFonts w:ascii="宋体" w:hAnsi="宋体" w:eastAsia="宋体" w:cs="宋体"/>
          <w:spacing w:val="-1"/>
          <w:sz w:val="24"/>
          <w:szCs w:val="24"/>
        </w:rPr>
        <w:t>大下降，并能使灭鼠成果</w:t>
      </w:r>
      <w:r>
        <w:rPr>
          <w:rFonts w:ascii="宋体" w:hAnsi="宋体" w:eastAsia="宋体" w:cs="宋体"/>
          <w:sz w:val="24"/>
          <w:szCs w:val="24"/>
        </w:rPr>
        <w:t xml:space="preserve"> 容易得到巩固。所以我们首先要搞好环境卫生、清除场区</w:t>
      </w:r>
      <w:r>
        <w:rPr>
          <w:rFonts w:ascii="宋体" w:hAnsi="宋体" w:eastAsia="宋体" w:cs="宋体"/>
          <w:spacing w:val="-1"/>
          <w:sz w:val="24"/>
          <w:szCs w:val="24"/>
        </w:rPr>
        <w:t>周围的杂草，进行有序绿</w:t>
      </w:r>
      <w:r>
        <w:rPr>
          <w:rFonts w:ascii="宋体" w:hAnsi="宋体" w:eastAsia="宋体" w:cs="宋体"/>
          <w:sz w:val="24"/>
          <w:szCs w:val="24"/>
        </w:rPr>
        <w:t xml:space="preserve"> 化工作、不得随意堆放的物品，经常清扫场区内外卫生，</w:t>
      </w:r>
      <w:r>
        <w:rPr>
          <w:rFonts w:ascii="宋体" w:hAnsi="宋体" w:eastAsia="宋体" w:cs="宋体"/>
          <w:spacing w:val="-1"/>
          <w:sz w:val="24"/>
          <w:szCs w:val="24"/>
        </w:rPr>
        <w:t>各种用具杂物收拾整齐，</w:t>
      </w:r>
      <w:r>
        <w:rPr>
          <w:rFonts w:ascii="宋体" w:hAnsi="宋体" w:eastAsia="宋体" w:cs="宋体"/>
          <w:sz w:val="24"/>
          <w:szCs w:val="24"/>
        </w:rPr>
        <w:t xml:space="preserve"> </w:t>
      </w:r>
      <w:r>
        <w:rPr>
          <w:rFonts w:ascii="宋体" w:hAnsi="宋体" w:eastAsia="宋体" w:cs="宋体"/>
          <w:spacing w:val="-2"/>
          <w:sz w:val="24"/>
          <w:szCs w:val="24"/>
        </w:rPr>
        <w:t>不使鼠类营巢。</w:t>
      </w:r>
    </w:p>
    <w:p w14:paraId="22E0722A">
      <w:pPr>
        <w:spacing w:before="1" w:line="359" w:lineRule="auto"/>
        <w:ind w:left="6" w:right="121" w:firstLine="530"/>
        <w:jc w:val="both"/>
        <w:rPr>
          <w:rFonts w:ascii="宋体" w:hAnsi="宋体" w:eastAsia="宋体" w:cs="宋体"/>
          <w:sz w:val="24"/>
          <w:szCs w:val="24"/>
        </w:rPr>
      </w:pPr>
      <w:r>
        <w:rPr>
          <w:rFonts w:ascii="宋体" w:hAnsi="宋体" w:eastAsia="宋体" w:cs="宋体"/>
          <w:spacing w:val="-1"/>
          <w:sz w:val="24"/>
          <w:szCs w:val="24"/>
        </w:rPr>
        <w:t>断绝老鼠的食物：鼠的食物不仅包括人的食物，还包括饲料、垃圾、食品行业</w:t>
      </w:r>
      <w:r>
        <w:rPr>
          <w:rFonts w:ascii="宋体" w:hAnsi="宋体" w:eastAsia="宋体" w:cs="宋体"/>
          <w:spacing w:val="14"/>
          <w:sz w:val="24"/>
          <w:szCs w:val="24"/>
        </w:rPr>
        <w:t xml:space="preserve"> </w:t>
      </w:r>
      <w:r>
        <w:rPr>
          <w:rFonts w:ascii="宋体" w:hAnsi="宋体" w:eastAsia="宋体" w:cs="宋体"/>
          <w:sz w:val="24"/>
          <w:szCs w:val="24"/>
        </w:rPr>
        <w:t>的下脚料、粪便等，这些东西要存放在加盖</w:t>
      </w:r>
      <w:r>
        <w:rPr>
          <w:rFonts w:ascii="宋体" w:hAnsi="宋体" w:eastAsia="宋体" w:cs="宋体"/>
          <w:spacing w:val="-1"/>
          <w:sz w:val="24"/>
          <w:szCs w:val="24"/>
        </w:rPr>
        <w:t>的而且没有缝隙的容器内，使老鼠得不</w:t>
      </w:r>
      <w:r>
        <w:rPr>
          <w:rFonts w:ascii="宋体" w:hAnsi="宋体" w:eastAsia="宋体" w:cs="宋体"/>
          <w:sz w:val="24"/>
          <w:szCs w:val="24"/>
        </w:rPr>
        <w:t xml:space="preserve"> </w:t>
      </w:r>
      <w:r>
        <w:rPr>
          <w:rFonts w:ascii="宋体" w:hAnsi="宋体" w:eastAsia="宋体" w:cs="宋体"/>
          <w:spacing w:val="-1"/>
          <w:sz w:val="24"/>
          <w:szCs w:val="24"/>
        </w:rPr>
        <w:t>到食物而被动地去吃投放的毒饵，以达到消灭老鼠的目的。</w:t>
      </w:r>
    </w:p>
    <w:p w14:paraId="02BD2722">
      <w:pPr>
        <w:spacing w:before="1" w:line="359" w:lineRule="auto"/>
        <w:ind w:firstLine="503"/>
        <w:jc w:val="both"/>
        <w:rPr>
          <w:rFonts w:ascii="宋体" w:hAnsi="宋体" w:eastAsia="宋体" w:cs="宋体"/>
          <w:sz w:val="24"/>
          <w:szCs w:val="24"/>
        </w:rPr>
      </w:pPr>
      <w:r>
        <w:rPr>
          <w:rFonts w:ascii="宋体" w:hAnsi="宋体" w:eastAsia="宋体" w:cs="宋体"/>
          <w:sz w:val="24"/>
          <w:szCs w:val="24"/>
        </w:rPr>
        <w:t>物理学灭鼠法：又称器械灭鼠法，应用较久，应用方</w:t>
      </w:r>
      <w:r>
        <w:rPr>
          <w:rFonts w:ascii="宋体" w:hAnsi="宋体" w:eastAsia="宋体" w:cs="宋体"/>
          <w:spacing w:val="-1"/>
          <w:sz w:val="24"/>
          <w:szCs w:val="24"/>
        </w:rPr>
        <w:t>式也较多。它不仅包括各</w:t>
      </w:r>
      <w:r>
        <w:rPr>
          <w:rFonts w:ascii="宋体" w:hAnsi="宋体" w:eastAsia="宋体" w:cs="宋体"/>
          <w:sz w:val="24"/>
          <w:szCs w:val="24"/>
        </w:rPr>
        <w:t xml:space="preserve">  </w:t>
      </w:r>
      <w:r>
        <w:rPr>
          <w:rFonts w:ascii="宋体" w:hAnsi="宋体" w:eastAsia="宋体" w:cs="宋体"/>
          <w:spacing w:val="-2"/>
          <w:sz w:val="24"/>
          <w:szCs w:val="24"/>
        </w:rPr>
        <w:t>种专用捕鼠器，如鼠夹、鼠笼，也包括压、卡、关、夹、翻、灌、挖</w:t>
      </w:r>
      <w:r>
        <w:rPr>
          <w:rFonts w:ascii="宋体" w:hAnsi="宋体" w:eastAsia="宋体" w:cs="宋体"/>
          <w:spacing w:val="-3"/>
          <w:sz w:val="24"/>
          <w:szCs w:val="24"/>
        </w:rPr>
        <w:t>、粘和枪击等。</w:t>
      </w:r>
      <w:r>
        <w:rPr>
          <w:rFonts w:ascii="宋体" w:hAnsi="宋体" w:eastAsia="宋体" w:cs="宋体"/>
          <w:sz w:val="24"/>
          <w:szCs w:val="24"/>
        </w:rPr>
        <w:t xml:space="preserve"> 物理学灭鼠也讲究一定的的科学技术，如安放鼠笼（夹）</w:t>
      </w:r>
      <w:r>
        <w:rPr>
          <w:rFonts w:ascii="宋体" w:hAnsi="宋体" w:eastAsia="宋体" w:cs="宋体"/>
          <w:spacing w:val="-1"/>
          <w:sz w:val="24"/>
          <w:szCs w:val="24"/>
        </w:rPr>
        <w:t>要放在鼠洞口，应与鼠洞</w:t>
      </w:r>
      <w:r>
        <w:rPr>
          <w:rFonts w:ascii="宋体" w:hAnsi="宋体" w:eastAsia="宋体" w:cs="宋体"/>
          <w:sz w:val="24"/>
          <w:szCs w:val="24"/>
        </w:rPr>
        <w:t xml:space="preserve">  有一定距离，有时用些伪装，可以提高捕杀率；鼠笼上的</w:t>
      </w:r>
      <w:r>
        <w:rPr>
          <w:rFonts w:ascii="宋体" w:hAnsi="宋体" w:eastAsia="宋体" w:cs="宋体"/>
          <w:spacing w:val="-1"/>
          <w:sz w:val="24"/>
          <w:szCs w:val="24"/>
        </w:rPr>
        <w:t>诱饵要新鲜，应是鼠类爱</w:t>
      </w:r>
      <w:r>
        <w:rPr>
          <w:rFonts w:ascii="宋体" w:hAnsi="宋体" w:eastAsia="宋体" w:cs="宋体"/>
          <w:sz w:val="24"/>
          <w:szCs w:val="24"/>
        </w:rPr>
        <w:t xml:space="preserve">  </w:t>
      </w:r>
      <w:r>
        <w:rPr>
          <w:rFonts w:ascii="宋体" w:hAnsi="宋体" w:eastAsia="宋体" w:cs="宋体"/>
          <w:spacing w:val="-1"/>
          <w:sz w:val="24"/>
          <w:szCs w:val="24"/>
        </w:rPr>
        <w:t>吃的食物。一般第一个晚上老鼠不易上笼因有</w:t>
      </w:r>
      <w:r>
        <w:rPr>
          <w:rFonts w:ascii="Times New Roman" w:hAnsi="Times New Roman" w:eastAsia="Times New Roman" w:cs="Times New Roman"/>
          <w:spacing w:val="-1"/>
          <w:sz w:val="24"/>
          <w:szCs w:val="24"/>
        </w:rPr>
        <w:t>”</w:t>
      </w:r>
      <w:r>
        <w:rPr>
          <w:rFonts w:ascii="宋体" w:hAnsi="宋体" w:eastAsia="宋体" w:cs="宋体"/>
          <w:spacing w:val="-1"/>
          <w:sz w:val="24"/>
          <w:szCs w:val="24"/>
        </w:rPr>
        <w:t>新物反应</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，二、三天后上笼率会提</w:t>
      </w:r>
      <w:r>
        <w:rPr>
          <w:rFonts w:ascii="宋体" w:hAnsi="宋体" w:eastAsia="宋体" w:cs="宋体"/>
          <w:sz w:val="24"/>
          <w:szCs w:val="24"/>
        </w:rPr>
        <w:t xml:space="preserve">  </w:t>
      </w:r>
      <w:r>
        <w:rPr>
          <w:rFonts w:ascii="宋体" w:hAnsi="宋体" w:eastAsia="宋体" w:cs="宋体"/>
          <w:spacing w:val="-5"/>
          <w:sz w:val="24"/>
          <w:szCs w:val="24"/>
        </w:rPr>
        <w:t>高。</w:t>
      </w:r>
    </w:p>
    <w:p w14:paraId="454FFC0B">
      <w:pPr>
        <w:spacing w:before="5" w:line="359" w:lineRule="auto"/>
        <w:ind w:right="81" w:firstLine="600"/>
        <w:jc w:val="both"/>
        <w:rPr>
          <w:rFonts w:ascii="宋体" w:hAnsi="宋体" w:eastAsia="宋体" w:cs="宋体"/>
          <w:sz w:val="24"/>
          <w:szCs w:val="24"/>
        </w:rPr>
      </w:pPr>
      <w:r>
        <w:rPr>
          <w:rFonts w:ascii="宋体" w:hAnsi="宋体" w:eastAsia="宋体" w:cs="宋体"/>
          <w:spacing w:val="-1"/>
          <w:sz w:val="24"/>
          <w:szCs w:val="24"/>
        </w:rPr>
        <w:t>化学灭鼠法：又称药物灭鼠法，是应用最广、效果最好的</w:t>
      </w:r>
      <w:r>
        <w:rPr>
          <w:rFonts w:ascii="宋体" w:hAnsi="宋体" w:eastAsia="宋体" w:cs="宋体"/>
          <w:spacing w:val="-2"/>
          <w:sz w:val="24"/>
          <w:szCs w:val="24"/>
        </w:rPr>
        <w:t>一种灭鼠方法。药物</w:t>
      </w:r>
      <w:r>
        <w:rPr>
          <w:rFonts w:ascii="宋体" w:hAnsi="宋体" w:eastAsia="宋体" w:cs="宋体"/>
          <w:sz w:val="24"/>
          <w:szCs w:val="24"/>
        </w:rPr>
        <w:t xml:space="preserve"> 灭鼠又可分为肠毒物灭鼠和熏蒸灭鼠。作为灭鼠所用的肠</w:t>
      </w:r>
      <w:r>
        <w:rPr>
          <w:rFonts w:ascii="宋体" w:hAnsi="宋体" w:eastAsia="宋体" w:cs="宋体"/>
          <w:spacing w:val="-1"/>
          <w:sz w:val="24"/>
          <w:szCs w:val="24"/>
        </w:rPr>
        <w:t>道灭鼠药，主要是有机化</w:t>
      </w:r>
      <w:r>
        <w:rPr>
          <w:rFonts w:ascii="宋体" w:hAnsi="宋体" w:eastAsia="宋体" w:cs="宋体"/>
          <w:sz w:val="24"/>
          <w:szCs w:val="24"/>
        </w:rPr>
        <w:t xml:space="preserve"> 合物，其次是无机化合物和野生植物及其提取物。胃肠道</w:t>
      </w:r>
      <w:r>
        <w:rPr>
          <w:rFonts w:ascii="宋体" w:hAnsi="宋体" w:eastAsia="宋体" w:cs="宋体"/>
          <w:spacing w:val="-1"/>
          <w:sz w:val="24"/>
          <w:szCs w:val="24"/>
        </w:rPr>
        <w:t>灭鼠药要求对鼠有较好的</w:t>
      </w:r>
      <w:r>
        <w:rPr>
          <w:rFonts w:ascii="宋体" w:hAnsi="宋体" w:eastAsia="宋体" w:cs="宋体"/>
          <w:sz w:val="24"/>
          <w:szCs w:val="24"/>
        </w:rPr>
        <w:t xml:space="preserve"> 适口性，不会拒食，毒力适当。由它为主制成各种毒饵，</w:t>
      </w:r>
      <w:r>
        <w:rPr>
          <w:rFonts w:ascii="宋体" w:hAnsi="宋体" w:eastAsia="宋体" w:cs="宋体"/>
          <w:spacing w:val="-1"/>
          <w:sz w:val="24"/>
          <w:szCs w:val="24"/>
        </w:rPr>
        <w:t>效果好，用法简便，用量</w:t>
      </w:r>
      <w:r>
        <w:rPr>
          <w:rFonts w:ascii="宋体" w:hAnsi="宋体" w:eastAsia="宋体" w:cs="宋体"/>
          <w:sz w:val="24"/>
          <w:szCs w:val="24"/>
        </w:rPr>
        <w:t xml:space="preserve"> 大。其次是毒水、毒粉、毒胶、毒沫等。熏蒸灭鼠，如磷</w:t>
      </w:r>
      <w:r>
        <w:rPr>
          <w:rFonts w:ascii="宋体" w:hAnsi="宋体" w:eastAsia="宋体" w:cs="宋体"/>
          <w:spacing w:val="-1"/>
          <w:sz w:val="24"/>
          <w:szCs w:val="24"/>
        </w:rPr>
        <w:t>化铝、氯化苦，不过鉴于</w:t>
      </w:r>
      <w:r>
        <w:rPr>
          <w:rFonts w:ascii="宋体" w:hAnsi="宋体" w:eastAsia="宋体" w:cs="宋体"/>
          <w:sz w:val="24"/>
          <w:szCs w:val="24"/>
        </w:rPr>
        <w:t xml:space="preserve"> 建设项目特性，出于猪食品安全的考虑，本报告</w:t>
      </w:r>
      <w:r>
        <w:rPr>
          <w:rFonts w:ascii="宋体" w:hAnsi="宋体" w:eastAsia="宋体" w:cs="宋体"/>
          <w:spacing w:val="-1"/>
          <w:sz w:val="24"/>
          <w:szCs w:val="24"/>
        </w:rPr>
        <w:t>不建议使用化学灭鼠法。</w:t>
      </w:r>
    </w:p>
    <w:p w14:paraId="6288F57A">
      <w:pPr>
        <w:spacing w:before="83" w:line="379" w:lineRule="auto"/>
        <w:ind w:right="81" w:firstLine="481"/>
        <w:rPr>
          <w:rFonts w:ascii="宋体" w:hAnsi="宋体" w:eastAsia="宋体" w:cs="宋体"/>
          <w:sz w:val="24"/>
          <w:szCs w:val="24"/>
        </w:rPr>
      </w:pPr>
      <w:r>
        <w:rPr>
          <w:rFonts w:ascii="宋体" w:hAnsi="宋体" w:eastAsia="宋体" w:cs="宋体"/>
          <w:spacing w:val="2"/>
          <w:sz w:val="24"/>
          <w:szCs w:val="24"/>
        </w:rPr>
        <w:t>生态学灭鼠：也就是通过改良环境，包括防鼠建筑、断绝鼠粮、搞好场区内外</w:t>
      </w:r>
      <w:r>
        <w:rPr>
          <w:rFonts w:ascii="宋体" w:hAnsi="宋体" w:eastAsia="宋体" w:cs="宋体"/>
          <w:spacing w:val="8"/>
          <w:sz w:val="24"/>
          <w:szCs w:val="24"/>
        </w:rPr>
        <w:t xml:space="preserve"> </w:t>
      </w:r>
      <w:r>
        <w:rPr>
          <w:rFonts w:ascii="宋体" w:hAnsi="宋体" w:eastAsia="宋体" w:cs="宋体"/>
          <w:spacing w:val="2"/>
          <w:sz w:val="24"/>
          <w:szCs w:val="24"/>
        </w:rPr>
        <w:t>环境卫生、清除鼠类隐蔽处所等，也就是控制、改造、破坏有利于鼠类生存的生活</w:t>
      </w:r>
    </w:p>
    <w:p w14:paraId="040D86D7">
      <w:pPr>
        <w:spacing w:line="379" w:lineRule="auto"/>
        <w:rPr>
          <w:rFonts w:ascii="宋体" w:hAnsi="宋体" w:eastAsia="宋体" w:cs="宋体"/>
          <w:sz w:val="24"/>
          <w:szCs w:val="24"/>
        </w:rPr>
        <w:sectPr>
          <w:footerReference r:id="rId161" w:type="default"/>
          <w:pgSz w:w="11906" w:h="16839"/>
          <w:pgMar w:top="400" w:right="1507" w:bottom="1485" w:left="1598" w:header="0" w:footer="1249" w:gutter="0"/>
          <w:cols w:space="720" w:num="1"/>
        </w:sectPr>
      </w:pPr>
    </w:p>
    <w:p w14:paraId="07216280">
      <w:pPr>
        <w:pStyle w:val="2"/>
        <w:spacing w:line="264" w:lineRule="auto"/>
      </w:pPr>
    </w:p>
    <w:p w14:paraId="0DFAA541">
      <w:pPr>
        <w:pStyle w:val="2"/>
        <w:spacing w:line="264" w:lineRule="auto"/>
      </w:pPr>
    </w:p>
    <w:p w14:paraId="20D1B852">
      <w:pPr>
        <w:pStyle w:val="2"/>
        <w:spacing w:line="264" w:lineRule="auto"/>
      </w:pPr>
    </w:p>
    <w:p w14:paraId="3B5DC2BD">
      <w:pPr>
        <w:pStyle w:val="2"/>
        <w:spacing w:line="265" w:lineRule="auto"/>
      </w:pPr>
    </w:p>
    <w:p w14:paraId="534FF8F1">
      <w:pPr>
        <w:spacing w:before="78" w:line="328" w:lineRule="auto"/>
        <w:rPr>
          <w:rFonts w:ascii="宋体" w:hAnsi="宋体" w:eastAsia="宋体" w:cs="宋体"/>
          <w:sz w:val="24"/>
          <w:szCs w:val="24"/>
        </w:rPr>
      </w:pPr>
      <w:r>
        <w:rPr>
          <w:rFonts w:ascii="宋体" w:hAnsi="宋体" w:eastAsia="宋体" w:cs="宋体"/>
          <w:spacing w:val="2"/>
          <w:sz w:val="24"/>
          <w:szCs w:val="24"/>
        </w:rPr>
        <w:t>环境和条件，使鼠类不能在那些地方生存和繁衍。生态学灭鼠是综合鼠害防治中很</w:t>
      </w:r>
      <w:r>
        <w:rPr>
          <w:rFonts w:ascii="宋体" w:hAnsi="宋体" w:eastAsia="宋体" w:cs="宋体"/>
          <w:spacing w:val="6"/>
          <w:sz w:val="24"/>
          <w:szCs w:val="24"/>
        </w:rPr>
        <w:t xml:space="preserve"> </w:t>
      </w:r>
      <w:r>
        <w:rPr>
          <w:rFonts w:ascii="宋体" w:hAnsi="宋体" w:eastAsia="宋体" w:cs="宋体"/>
          <w:spacing w:val="-2"/>
          <w:sz w:val="24"/>
          <w:szCs w:val="24"/>
        </w:rPr>
        <w:t>重要的一环。</w:t>
      </w:r>
    </w:p>
    <w:p w14:paraId="1037EBD3">
      <w:pPr>
        <w:spacing w:before="2" w:line="351" w:lineRule="auto"/>
        <w:ind w:left="19" w:firstLine="464"/>
        <w:rPr>
          <w:rFonts w:ascii="宋体" w:hAnsi="宋体" w:eastAsia="宋体" w:cs="宋体"/>
          <w:sz w:val="24"/>
          <w:szCs w:val="24"/>
        </w:rPr>
      </w:pPr>
      <w:r>
        <w:rPr>
          <w:rFonts w:ascii="宋体" w:hAnsi="宋体" w:eastAsia="宋体" w:cs="宋体"/>
          <w:sz w:val="24"/>
          <w:szCs w:val="24"/>
        </w:rPr>
        <w:t>项目的有害生物防治措施投资约</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17"/>
          <w:w w:val="101"/>
          <w:sz w:val="24"/>
          <w:szCs w:val="24"/>
        </w:rPr>
        <w:t xml:space="preserve"> </w:t>
      </w:r>
      <w:r>
        <w:rPr>
          <w:rFonts w:ascii="宋体" w:hAnsi="宋体" w:eastAsia="宋体" w:cs="宋体"/>
          <w:sz w:val="24"/>
          <w:szCs w:val="24"/>
        </w:rPr>
        <w:t>万元，</w:t>
      </w:r>
      <w:r>
        <w:rPr>
          <w:rFonts w:ascii="宋体" w:hAnsi="宋体" w:eastAsia="宋体" w:cs="宋体"/>
          <w:spacing w:val="-69"/>
          <w:sz w:val="24"/>
          <w:szCs w:val="24"/>
        </w:rPr>
        <w:t xml:space="preserve"> </w:t>
      </w:r>
      <w:r>
        <w:rPr>
          <w:rFonts w:ascii="宋体" w:hAnsi="宋体" w:eastAsia="宋体" w:cs="宋体"/>
          <w:sz w:val="24"/>
          <w:szCs w:val="24"/>
        </w:rPr>
        <w:t>占总投资的</w:t>
      </w:r>
      <w:r>
        <w:rPr>
          <w:rFonts w:ascii="Times New Roman" w:hAnsi="Times New Roman" w:eastAsia="Times New Roman" w:cs="Times New Roman"/>
          <w:sz w:val="24"/>
          <w:szCs w:val="24"/>
        </w:rPr>
        <w:t>0.08</w:t>
      </w:r>
      <w:r>
        <w:rPr>
          <w:rFonts w:ascii="宋体" w:hAnsi="宋体" w:eastAsia="宋体" w:cs="宋体"/>
          <w:spacing w:val="17"/>
          <w:sz w:val="24"/>
          <w:szCs w:val="24"/>
        </w:rPr>
        <w:t>％，</w:t>
      </w:r>
      <w:r>
        <w:rPr>
          <w:rFonts w:ascii="宋体" w:hAnsi="宋体" w:eastAsia="宋体" w:cs="宋体"/>
          <w:sz w:val="24"/>
          <w:szCs w:val="24"/>
        </w:rPr>
        <w:t xml:space="preserve">从经济上是可行 </w:t>
      </w:r>
      <w:r>
        <w:rPr>
          <w:rFonts w:ascii="宋体" w:hAnsi="宋体" w:eastAsia="宋体" w:cs="宋体"/>
          <w:spacing w:val="-3"/>
          <w:sz w:val="24"/>
          <w:szCs w:val="24"/>
        </w:rPr>
        <w:t>的，可以被建设单位接受。</w:t>
      </w:r>
    </w:p>
    <w:p w14:paraId="48BE3FE8">
      <w:pPr>
        <w:spacing w:line="351" w:lineRule="auto"/>
        <w:rPr>
          <w:rFonts w:ascii="宋体" w:hAnsi="宋体" w:eastAsia="宋体" w:cs="宋体"/>
          <w:sz w:val="24"/>
          <w:szCs w:val="24"/>
        </w:rPr>
        <w:sectPr>
          <w:footerReference r:id="rId162" w:type="default"/>
          <w:pgSz w:w="11906" w:h="16839"/>
          <w:pgMar w:top="400" w:right="1588" w:bottom="1485" w:left="1598" w:header="0" w:footer="1249" w:gutter="0"/>
          <w:cols w:space="720" w:num="1"/>
        </w:sectPr>
      </w:pPr>
    </w:p>
    <w:p w14:paraId="42E97649">
      <w:pPr>
        <w:pStyle w:val="2"/>
        <w:spacing w:line="250" w:lineRule="auto"/>
      </w:pPr>
    </w:p>
    <w:p w14:paraId="4EE49D0D">
      <w:pPr>
        <w:pStyle w:val="2"/>
        <w:spacing w:line="250" w:lineRule="auto"/>
      </w:pPr>
    </w:p>
    <w:p w14:paraId="32FE8A7A">
      <w:pPr>
        <w:pStyle w:val="2"/>
        <w:spacing w:line="250" w:lineRule="auto"/>
      </w:pPr>
    </w:p>
    <w:p w14:paraId="17E62979">
      <w:pPr>
        <w:pStyle w:val="2"/>
        <w:spacing w:line="250" w:lineRule="auto"/>
      </w:pPr>
    </w:p>
    <w:p w14:paraId="35F30394">
      <w:pPr>
        <w:spacing w:before="140" w:line="637" w:lineRule="exact"/>
        <w:ind w:left="2625"/>
        <w:outlineLvl w:val="0"/>
        <w:rPr>
          <w:rFonts w:ascii="黑体" w:hAnsi="黑体" w:eastAsia="黑体" w:cs="黑体"/>
          <w:sz w:val="43"/>
          <w:szCs w:val="43"/>
        </w:rPr>
      </w:pPr>
      <w:bookmarkStart w:id="44" w:name="bookmark39"/>
      <w:bookmarkEnd w:id="44"/>
      <w:r>
        <w:rPr>
          <w:rFonts w:ascii="Calibri" w:hAnsi="Calibri" w:eastAsia="Calibri" w:cs="Calibri"/>
          <w:spacing w:val="6"/>
          <w:position w:val="4"/>
          <w:sz w:val="43"/>
          <w:szCs w:val="43"/>
        </w:rPr>
        <w:t>7</w:t>
      </w:r>
      <w:r>
        <w:rPr>
          <w:rFonts w:ascii="黑体" w:hAnsi="黑体" w:eastAsia="黑体" w:cs="黑体"/>
          <w:spacing w:val="6"/>
          <w:position w:val="4"/>
          <w:sz w:val="43"/>
          <w:szCs w:val="43"/>
        </w:rPr>
        <w:t>环境经济损益分析</w:t>
      </w:r>
    </w:p>
    <w:p w14:paraId="38DA3176">
      <w:pPr>
        <w:pStyle w:val="2"/>
        <w:spacing w:line="392" w:lineRule="auto"/>
      </w:pPr>
    </w:p>
    <w:p w14:paraId="7EBA3FA7">
      <w:pPr>
        <w:spacing w:before="78" w:line="377" w:lineRule="auto"/>
        <w:ind w:left="124" w:right="113" w:firstLine="478"/>
        <w:jc w:val="both"/>
        <w:rPr>
          <w:rFonts w:ascii="宋体" w:hAnsi="宋体" w:eastAsia="宋体" w:cs="宋体"/>
          <w:sz w:val="24"/>
          <w:szCs w:val="24"/>
        </w:rPr>
      </w:pPr>
      <w:r>
        <w:rPr>
          <w:rFonts w:ascii="宋体" w:hAnsi="宋体" w:eastAsia="宋体" w:cs="宋体"/>
          <w:spacing w:val="2"/>
          <w:sz w:val="24"/>
          <w:szCs w:val="24"/>
        </w:rPr>
        <w:t>环境影响经济损益分析是对项目的环境影响作出经济评价，重点是对有长期影</w:t>
      </w:r>
      <w:r>
        <w:rPr>
          <w:rFonts w:ascii="宋体" w:hAnsi="宋体" w:eastAsia="宋体" w:cs="宋体"/>
          <w:spacing w:val="10"/>
          <w:sz w:val="24"/>
          <w:szCs w:val="24"/>
        </w:rPr>
        <w:t xml:space="preserve"> </w:t>
      </w:r>
      <w:r>
        <w:rPr>
          <w:rFonts w:ascii="宋体" w:hAnsi="宋体" w:eastAsia="宋体" w:cs="宋体"/>
          <w:spacing w:val="2"/>
          <w:sz w:val="24"/>
          <w:szCs w:val="24"/>
        </w:rPr>
        <w:t>响的主要环境因子作出经济损益分析，包括对环境不利和有利因子的分析。在效益</w:t>
      </w:r>
      <w:r>
        <w:rPr>
          <w:rFonts w:ascii="宋体" w:hAnsi="宋体" w:eastAsia="宋体" w:cs="宋体"/>
          <w:spacing w:val="4"/>
          <w:sz w:val="24"/>
          <w:szCs w:val="24"/>
        </w:rPr>
        <w:t xml:space="preserve"> </w:t>
      </w:r>
      <w:r>
        <w:rPr>
          <w:rFonts w:ascii="宋体" w:hAnsi="宋体" w:eastAsia="宋体" w:cs="宋体"/>
          <w:spacing w:val="2"/>
          <w:sz w:val="24"/>
          <w:szCs w:val="24"/>
        </w:rPr>
        <w:t>分析中，考虑直接效益（经济效益）和间接效益（社会效益、环境效益）。根据项</w:t>
      </w:r>
      <w:r>
        <w:rPr>
          <w:rFonts w:ascii="宋体" w:hAnsi="宋体" w:eastAsia="宋体" w:cs="宋体"/>
          <w:spacing w:val="4"/>
          <w:sz w:val="24"/>
          <w:szCs w:val="24"/>
        </w:rPr>
        <w:t xml:space="preserve"> </w:t>
      </w:r>
      <w:r>
        <w:rPr>
          <w:rFonts w:ascii="宋体" w:hAnsi="宋体" w:eastAsia="宋体" w:cs="宋体"/>
          <w:spacing w:val="2"/>
          <w:sz w:val="24"/>
          <w:szCs w:val="24"/>
        </w:rPr>
        <w:t>目特征，拟本项目可能对环境产生不利影响的主要因子为水污染和大气污染。本章</w:t>
      </w:r>
      <w:r>
        <w:rPr>
          <w:rFonts w:ascii="宋体" w:hAnsi="宋体" w:eastAsia="宋体" w:cs="宋体"/>
          <w:spacing w:val="4"/>
          <w:sz w:val="24"/>
          <w:szCs w:val="24"/>
        </w:rPr>
        <w:t xml:space="preserve"> </w:t>
      </w:r>
      <w:r>
        <w:rPr>
          <w:rFonts w:ascii="宋体" w:hAnsi="宋体" w:eastAsia="宋体" w:cs="宋体"/>
          <w:spacing w:val="2"/>
          <w:sz w:val="24"/>
          <w:szCs w:val="24"/>
        </w:rPr>
        <w:t>主要根据企业提供的有关资料，采用类比调查和经济分析评价等方法，对该项目的</w:t>
      </w:r>
      <w:r>
        <w:rPr>
          <w:rFonts w:ascii="宋体" w:hAnsi="宋体" w:eastAsia="宋体" w:cs="宋体"/>
          <w:spacing w:val="4"/>
          <w:sz w:val="24"/>
          <w:szCs w:val="24"/>
        </w:rPr>
        <w:t xml:space="preserve"> </w:t>
      </w:r>
      <w:r>
        <w:rPr>
          <w:rFonts w:ascii="宋体" w:hAnsi="宋体" w:eastAsia="宋体" w:cs="宋体"/>
          <w:spacing w:val="-1"/>
          <w:sz w:val="24"/>
          <w:szCs w:val="24"/>
        </w:rPr>
        <w:t>经济效益、环保投资以及环境资源损失进行简要分析。</w:t>
      </w:r>
    </w:p>
    <w:p w14:paraId="2233E9CD">
      <w:pPr>
        <w:spacing w:before="298" w:line="226" w:lineRule="auto"/>
        <w:ind w:left="124"/>
        <w:outlineLvl w:val="1"/>
        <w:rPr>
          <w:rFonts w:ascii="宋体" w:hAnsi="宋体" w:eastAsia="宋体" w:cs="宋体"/>
          <w:sz w:val="31"/>
          <w:szCs w:val="31"/>
        </w:rPr>
      </w:pPr>
      <w:bookmarkStart w:id="45" w:name="bookmark40"/>
      <w:bookmarkEnd w:id="45"/>
      <w:r>
        <w:rPr>
          <w:rFonts w:ascii="Times New Roman" w:hAnsi="Times New Roman" w:eastAsia="Times New Roman" w:cs="Times New Roman"/>
          <w:b/>
          <w:bCs/>
          <w:spacing w:val="5"/>
          <w:sz w:val="31"/>
          <w:szCs w:val="31"/>
        </w:rPr>
        <w:t>7.1</w:t>
      </w:r>
      <w:r>
        <w:rPr>
          <w:rFonts w:ascii="宋体" w:hAnsi="宋体" w:eastAsia="宋体" w:cs="宋体"/>
          <w:b/>
          <w:bCs/>
          <w:spacing w:val="5"/>
          <w:sz w:val="31"/>
          <w:szCs w:val="31"/>
        </w:rPr>
        <w:t>环境经济效益分析</w:t>
      </w:r>
    </w:p>
    <w:p w14:paraId="04CB9FD4">
      <w:pPr>
        <w:pStyle w:val="2"/>
        <w:spacing w:line="447" w:lineRule="auto"/>
      </w:pPr>
    </w:p>
    <w:p w14:paraId="28AD9E7C">
      <w:pPr>
        <w:spacing w:before="78" w:line="221" w:lineRule="auto"/>
        <w:ind w:left="121"/>
        <w:outlineLvl w:val="2"/>
        <w:rPr>
          <w:rFonts w:ascii="宋体" w:hAnsi="宋体" w:eastAsia="宋体" w:cs="宋体"/>
          <w:sz w:val="24"/>
          <w:szCs w:val="24"/>
        </w:rPr>
      </w:pPr>
      <w:r>
        <w:rPr>
          <w:rFonts w:ascii="Times New Roman" w:hAnsi="Times New Roman" w:eastAsia="Times New Roman" w:cs="Times New Roman"/>
          <w:b/>
          <w:bCs/>
          <w:spacing w:val="-2"/>
          <w:sz w:val="24"/>
          <w:szCs w:val="24"/>
        </w:rPr>
        <w:t>7.1.1</w:t>
      </w:r>
      <w:r>
        <w:rPr>
          <w:rFonts w:ascii="宋体" w:hAnsi="宋体" w:eastAsia="宋体" w:cs="宋体"/>
          <w:b/>
          <w:bCs/>
          <w:spacing w:val="-2"/>
          <w:sz w:val="24"/>
          <w:szCs w:val="24"/>
        </w:rPr>
        <w:t>减少污染物排放</w:t>
      </w:r>
    </w:p>
    <w:p w14:paraId="5053825B">
      <w:pPr>
        <w:pStyle w:val="2"/>
        <w:spacing w:line="274" w:lineRule="auto"/>
      </w:pPr>
    </w:p>
    <w:p w14:paraId="7942AAAB">
      <w:pPr>
        <w:spacing w:before="78" w:line="377" w:lineRule="auto"/>
        <w:ind w:left="122" w:right="113" w:firstLine="480"/>
        <w:jc w:val="both"/>
        <w:rPr>
          <w:rFonts w:ascii="宋体" w:hAnsi="宋体" w:eastAsia="宋体" w:cs="宋体"/>
          <w:sz w:val="24"/>
          <w:szCs w:val="24"/>
        </w:rPr>
      </w:pPr>
      <w:r>
        <w:rPr>
          <w:rFonts w:ascii="宋体" w:hAnsi="宋体" w:eastAsia="宋体" w:cs="宋体"/>
          <w:spacing w:val="2"/>
          <w:sz w:val="24"/>
          <w:szCs w:val="24"/>
        </w:rPr>
        <w:t>本项目产生的猪只尿液、猪舍冲洗水与猪只粪便一起收集，经异位发酵床处理</w:t>
      </w:r>
      <w:r>
        <w:rPr>
          <w:rFonts w:ascii="宋体" w:hAnsi="宋体" w:eastAsia="宋体" w:cs="宋体"/>
          <w:spacing w:val="9"/>
          <w:sz w:val="24"/>
          <w:szCs w:val="24"/>
        </w:rPr>
        <w:t xml:space="preserve"> </w:t>
      </w:r>
      <w:r>
        <w:rPr>
          <w:rFonts w:ascii="宋体" w:hAnsi="宋体" w:eastAsia="宋体" w:cs="宋体"/>
          <w:spacing w:val="2"/>
          <w:sz w:val="24"/>
          <w:szCs w:val="24"/>
        </w:rPr>
        <w:t>制作有机肥半成品，外售，不外排；项目的产生的生活污水也与猪只粪污一起经异</w:t>
      </w:r>
      <w:r>
        <w:rPr>
          <w:rFonts w:ascii="宋体" w:hAnsi="宋体" w:eastAsia="宋体" w:cs="宋体"/>
          <w:spacing w:val="6"/>
          <w:sz w:val="24"/>
          <w:szCs w:val="24"/>
        </w:rPr>
        <w:t xml:space="preserve"> </w:t>
      </w:r>
      <w:r>
        <w:rPr>
          <w:rFonts w:ascii="宋体" w:hAnsi="宋体" w:eastAsia="宋体" w:cs="宋体"/>
          <w:spacing w:val="2"/>
          <w:sz w:val="24"/>
          <w:szCs w:val="24"/>
        </w:rPr>
        <w:t>位发酵床处理制作有机肥半成品，外售，不外排。生活垃圾收集后交由当地环卫部</w:t>
      </w:r>
      <w:r>
        <w:rPr>
          <w:rFonts w:ascii="宋体" w:hAnsi="宋体" w:eastAsia="宋体" w:cs="宋体"/>
          <w:spacing w:val="6"/>
          <w:sz w:val="24"/>
          <w:szCs w:val="24"/>
        </w:rPr>
        <w:t xml:space="preserve"> </w:t>
      </w:r>
      <w:r>
        <w:rPr>
          <w:rFonts w:ascii="宋体" w:hAnsi="宋体" w:eastAsia="宋体" w:cs="宋体"/>
          <w:spacing w:val="2"/>
          <w:sz w:val="24"/>
          <w:szCs w:val="24"/>
        </w:rPr>
        <w:t>门定期清运处理，牲畜粪便转移至有机肥发酵车间经异位发酵床处理制作有机肥半</w:t>
      </w:r>
      <w:r>
        <w:rPr>
          <w:rFonts w:ascii="宋体" w:hAnsi="宋体" w:eastAsia="宋体" w:cs="宋体"/>
          <w:spacing w:val="6"/>
          <w:sz w:val="24"/>
          <w:szCs w:val="24"/>
        </w:rPr>
        <w:t xml:space="preserve"> </w:t>
      </w:r>
      <w:r>
        <w:rPr>
          <w:rFonts w:ascii="宋体" w:hAnsi="宋体" w:eastAsia="宋体" w:cs="宋体"/>
          <w:spacing w:val="2"/>
          <w:sz w:val="24"/>
          <w:szCs w:val="24"/>
        </w:rPr>
        <w:t>成品，外售，不外排；病死猪尸体采用安全填埋井进行填埋处理，牲畜检疫、生病</w:t>
      </w:r>
      <w:r>
        <w:rPr>
          <w:rFonts w:ascii="宋体" w:hAnsi="宋体" w:eastAsia="宋体" w:cs="宋体"/>
          <w:spacing w:val="6"/>
          <w:sz w:val="24"/>
          <w:szCs w:val="24"/>
        </w:rPr>
        <w:t xml:space="preserve"> </w:t>
      </w:r>
      <w:r>
        <w:rPr>
          <w:rFonts w:ascii="宋体" w:hAnsi="宋体" w:eastAsia="宋体" w:cs="宋体"/>
          <w:spacing w:val="-1"/>
          <w:sz w:val="24"/>
          <w:szCs w:val="24"/>
        </w:rPr>
        <w:t>时使用医疗设备会产生少量医疗垃圾收集后交由有资质单位处理。</w:t>
      </w:r>
    </w:p>
    <w:p w14:paraId="2181FF6B">
      <w:pPr>
        <w:spacing w:before="293" w:line="219" w:lineRule="auto"/>
        <w:ind w:left="121"/>
        <w:outlineLvl w:val="2"/>
        <w:rPr>
          <w:rFonts w:ascii="宋体" w:hAnsi="宋体" w:eastAsia="宋体" w:cs="宋体"/>
          <w:sz w:val="24"/>
          <w:szCs w:val="24"/>
        </w:rPr>
      </w:pPr>
      <w:r>
        <w:rPr>
          <w:rFonts w:ascii="Times New Roman" w:hAnsi="Times New Roman" w:eastAsia="Times New Roman" w:cs="Times New Roman"/>
          <w:b/>
          <w:bCs/>
          <w:spacing w:val="-2"/>
          <w:sz w:val="24"/>
          <w:szCs w:val="24"/>
        </w:rPr>
        <w:t>7.1.2</w:t>
      </w:r>
      <w:r>
        <w:rPr>
          <w:rFonts w:ascii="宋体" w:hAnsi="宋体" w:eastAsia="宋体" w:cs="宋体"/>
          <w:b/>
          <w:bCs/>
          <w:spacing w:val="-2"/>
          <w:sz w:val="24"/>
          <w:szCs w:val="24"/>
        </w:rPr>
        <w:t>环保投资估算</w:t>
      </w:r>
    </w:p>
    <w:p w14:paraId="79C5494E">
      <w:pPr>
        <w:pStyle w:val="2"/>
        <w:spacing w:line="246" w:lineRule="auto"/>
      </w:pPr>
    </w:p>
    <w:p w14:paraId="0F916BC4">
      <w:pPr>
        <w:spacing w:before="79" w:line="372" w:lineRule="auto"/>
        <w:ind w:left="124" w:right="113" w:firstLine="481"/>
        <w:rPr>
          <w:rFonts w:ascii="宋体" w:hAnsi="宋体" w:eastAsia="宋体" w:cs="宋体"/>
          <w:sz w:val="24"/>
          <w:szCs w:val="24"/>
        </w:rPr>
      </w:pPr>
      <w:r>
        <w:rPr>
          <w:rFonts w:ascii="宋体" w:hAnsi="宋体" w:eastAsia="宋体" w:cs="宋体"/>
          <w:spacing w:val="-1"/>
          <w:sz w:val="24"/>
          <w:szCs w:val="24"/>
        </w:rPr>
        <w:t>项目总投资为</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1300</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万，其中环保投资约</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320</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万元，占项目投资的</w:t>
      </w:r>
      <w:r>
        <w:rPr>
          <w:rFonts w:ascii="Times New Roman" w:hAnsi="Times New Roman" w:eastAsia="Times New Roman" w:cs="Times New Roman"/>
          <w:spacing w:val="-1"/>
          <w:sz w:val="24"/>
          <w:szCs w:val="24"/>
        </w:rPr>
        <w:t>24.6%</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，主要</w:t>
      </w:r>
      <w:r>
        <w:rPr>
          <w:rFonts w:ascii="宋体" w:hAnsi="宋体" w:eastAsia="宋体" w:cs="宋体"/>
          <w:sz w:val="24"/>
          <w:szCs w:val="24"/>
        </w:rPr>
        <w:t xml:space="preserve"> </w:t>
      </w:r>
      <w:r>
        <w:rPr>
          <w:rFonts w:ascii="宋体" w:hAnsi="宋体" w:eastAsia="宋体" w:cs="宋体"/>
          <w:spacing w:val="-1"/>
          <w:sz w:val="24"/>
          <w:szCs w:val="24"/>
        </w:rPr>
        <w:t>用于粪污收集和处理、固体废物收集等，详见表</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7.1-1</w:t>
      </w:r>
      <w:r>
        <w:rPr>
          <w:rFonts w:ascii="宋体" w:hAnsi="宋体" w:eastAsia="宋体" w:cs="宋体"/>
          <w:spacing w:val="-1"/>
          <w:sz w:val="24"/>
          <w:szCs w:val="24"/>
        </w:rPr>
        <w:t>。</w:t>
      </w:r>
    </w:p>
    <w:p w14:paraId="35AD6A1C">
      <w:pPr>
        <w:spacing w:before="61" w:line="227" w:lineRule="auto"/>
        <w:ind w:left="2717"/>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b/>
          <w:bCs/>
          <w:spacing w:val="5"/>
          <w:sz w:val="20"/>
          <w:szCs w:val="20"/>
        </w:rPr>
        <w:t xml:space="preserve">7.1-1      </w:t>
      </w:r>
      <w:r>
        <w:rPr>
          <w:rFonts w:ascii="宋体" w:hAnsi="宋体" w:eastAsia="宋体" w:cs="宋体"/>
          <w:b/>
          <w:bCs/>
          <w:spacing w:val="5"/>
          <w:sz w:val="20"/>
          <w:szCs w:val="20"/>
        </w:rPr>
        <w:t>工程三废治理环保投资估算</w:t>
      </w:r>
    </w:p>
    <w:p w14:paraId="703369E7">
      <w:pPr>
        <w:spacing w:line="104"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3"/>
        <w:gridCol w:w="1529"/>
        <w:gridCol w:w="3854"/>
        <w:gridCol w:w="1684"/>
      </w:tblGrid>
      <w:tr w14:paraId="3CC8D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883" w:type="dxa"/>
            <w:vAlign w:val="top"/>
          </w:tcPr>
          <w:p w14:paraId="1A638303">
            <w:pPr>
              <w:pStyle w:val="6"/>
              <w:spacing w:before="61" w:line="228" w:lineRule="auto"/>
              <w:ind w:left="512"/>
            </w:pPr>
            <w:r>
              <w:rPr>
                <w:b/>
                <w:bCs/>
                <w:spacing w:val="6"/>
              </w:rPr>
              <w:t>环保措施</w:t>
            </w:r>
          </w:p>
        </w:tc>
        <w:tc>
          <w:tcPr>
            <w:tcW w:w="1529" w:type="dxa"/>
            <w:vAlign w:val="top"/>
          </w:tcPr>
          <w:p w14:paraId="2669941B">
            <w:pPr>
              <w:pStyle w:val="6"/>
              <w:spacing w:before="62" w:line="228" w:lineRule="auto"/>
              <w:ind w:left="554"/>
            </w:pPr>
            <w:r>
              <w:rPr>
                <w:b/>
                <w:bCs/>
                <w:spacing w:val="-1"/>
              </w:rPr>
              <w:t>时段</w:t>
            </w:r>
          </w:p>
        </w:tc>
        <w:tc>
          <w:tcPr>
            <w:tcW w:w="3854" w:type="dxa"/>
            <w:vAlign w:val="top"/>
          </w:tcPr>
          <w:p w14:paraId="128C5422">
            <w:pPr>
              <w:pStyle w:val="6"/>
              <w:spacing w:before="62" w:line="227" w:lineRule="auto"/>
              <w:ind w:left="1501"/>
            </w:pPr>
            <w:r>
              <w:rPr>
                <w:b/>
                <w:bCs/>
                <w:spacing w:val="6"/>
              </w:rPr>
              <w:t>主要内容</w:t>
            </w:r>
          </w:p>
        </w:tc>
        <w:tc>
          <w:tcPr>
            <w:tcW w:w="1684" w:type="dxa"/>
            <w:vAlign w:val="top"/>
          </w:tcPr>
          <w:p w14:paraId="5614570A">
            <w:pPr>
              <w:pStyle w:val="6"/>
              <w:spacing w:before="61" w:line="228" w:lineRule="auto"/>
              <w:ind w:left="204"/>
            </w:pPr>
            <w:r>
              <w:rPr>
                <w:b/>
                <w:bCs/>
                <w:spacing w:val="4"/>
              </w:rPr>
              <w:t>投资（万元）</w:t>
            </w:r>
          </w:p>
        </w:tc>
      </w:tr>
      <w:tr w14:paraId="0DD4E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883" w:type="dxa"/>
            <w:vMerge w:val="restart"/>
            <w:tcBorders>
              <w:bottom w:val="nil"/>
            </w:tcBorders>
            <w:vAlign w:val="top"/>
          </w:tcPr>
          <w:p w14:paraId="08EACF07">
            <w:pPr>
              <w:pStyle w:val="6"/>
              <w:spacing w:before="224" w:line="227" w:lineRule="auto"/>
              <w:ind w:left="200"/>
            </w:pPr>
            <w:r>
              <w:rPr>
                <w:spacing w:val="8"/>
              </w:rPr>
              <w:t>水环境保护措施</w:t>
            </w:r>
          </w:p>
        </w:tc>
        <w:tc>
          <w:tcPr>
            <w:tcW w:w="1529" w:type="dxa"/>
            <w:vMerge w:val="restart"/>
            <w:tcBorders>
              <w:bottom w:val="nil"/>
            </w:tcBorders>
            <w:vAlign w:val="top"/>
          </w:tcPr>
          <w:p w14:paraId="7A88DA57">
            <w:pPr>
              <w:pStyle w:val="6"/>
              <w:spacing w:before="224" w:line="228" w:lineRule="auto"/>
              <w:ind w:left="438"/>
            </w:pPr>
            <w:r>
              <w:rPr>
                <w:spacing w:val="7"/>
              </w:rPr>
              <w:t>施工期</w:t>
            </w:r>
          </w:p>
        </w:tc>
        <w:tc>
          <w:tcPr>
            <w:tcW w:w="3854" w:type="dxa"/>
            <w:vAlign w:val="top"/>
          </w:tcPr>
          <w:p w14:paraId="07EF8773">
            <w:pPr>
              <w:pStyle w:val="6"/>
              <w:spacing w:before="58" w:line="228" w:lineRule="auto"/>
              <w:ind w:left="1709"/>
            </w:pPr>
            <w:r>
              <w:rPr>
                <w:spacing w:val="4"/>
              </w:rPr>
              <w:t>堆场</w:t>
            </w:r>
          </w:p>
        </w:tc>
        <w:tc>
          <w:tcPr>
            <w:tcW w:w="1684" w:type="dxa"/>
            <w:vAlign w:val="top"/>
          </w:tcPr>
          <w:p w14:paraId="512147A7">
            <w:pPr>
              <w:spacing w:before="28" w:line="271" w:lineRule="exact"/>
              <w:ind w:left="7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6DBEA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883" w:type="dxa"/>
            <w:vMerge w:val="continue"/>
            <w:tcBorders>
              <w:top w:val="nil"/>
            </w:tcBorders>
            <w:vAlign w:val="top"/>
          </w:tcPr>
          <w:p w14:paraId="5BEB195D">
            <w:pPr>
              <w:rPr>
                <w:rFonts w:ascii="Arial"/>
                <w:sz w:val="21"/>
              </w:rPr>
            </w:pPr>
          </w:p>
        </w:tc>
        <w:tc>
          <w:tcPr>
            <w:tcW w:w="1529" w:type="dxa"/>
            <w:vMerge w:val="continue"/>
            <w:tcBorders>
              <w:top w:val="nil"/>
            </w:tcBorders>
            <w:vAlign w:val="top"/>
          </w:tcPr>
          <w:p w14:paraId="431C0BD5">
            <w:pPr>
              <w:rPr>
                <w:rFonts w:ascii="Arial"/>
                <w:sz w:val="21"/>
              </w:rPr>
            </w:pPr>
          </w:p>
        </w:tc>
        <w:tc>
          <w:tcPr>
            <w:tcW w:w="3854" w:type="dxa"/>
            <w:vAlign w:val="top"/>
          </w:tcPr>
          <w:p w14:paraId="3A237274">
            <w:pPr>
              <w:pStyle w:val="6"/>
              <w:spacing w:before="59" w:line="228" w:lineRule="auto"/>
              <w:ind w:left="1603"/>
            </w:pPr>
            <w:r>
              <w:rPr>
                <w:spacing w:val="6"/>
              </w:rPr>
              <w:t>沉淀池</w:t>
            </w:r>
          </w:p>
        </w:tc>
        <w:tc>
          <w:tcPr>
            <w:tcW w:w="1684" w:type="dxa"/>
            <w:vAlign w:val="top"/>
          </w:tcPr>
          <w:p w14:paraId="3D055699">
            <w:pPr>
              <w:spacing w:before="29" w:line="272" w:lineRule="exact"/>
              <w:ind w:left="7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7F3A7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883" w:type="dxa"/>
            <w:vMerge w:val="restart"/>
            <w:tcBorders>
              <w:bottom w:val="nil"/>
            </w:tcBorders>
            <w:vAlign w:val="top"/>
          </w:tcPr>
          <w:p w14:paraId="5C678E3D">
            <w:pPr>
              <w:spacing w:line="325" w:lineRule="auto"/>
              <w:rPr>
                <w:rFonts w:ascii="Arial"/>
                <w:sz w:val="21"/>
              </w:rPr>
            </w:pPr>
          </w:p>
          <w:p w14:paraId="64B2C64F">
            <w:pPr>
              <w:pStyle w:val="6"/>
              <w:spacing w:before="65" w:line="228" w:lineRule="auto"/>
              <w:ind w:left="95"/>
            </w:pPr>
            <w:r>
              <w:rPr>
                <w:spacing w:val="8"/>
              </w:rPr>
              <w:t>大气环境保护措施</w:t>
            </w:r>
          </w:p>
        </w:tc>
        <w:tc>
          <w:tcPr>
            <w:tcW w:w="1529" w:type="dxa"/>
            <w:vAlign w:val="top"/>
          </w:tcPr>
          <w:p w14:paraId="3AD1C385">
            <w:pPr>
              <w:pStyle w:val="6"/>
              <w:spacing w:before="59" w:line="228" w:lineRule="auto"/>
              <w:ind w:left="438"/>
            </w:pPr>
            <w:r>
              <w:rPr>
                <w:spacing w:val="7"/>
              </w:rPr>
              <w:t>施工期</w:t>
            </w:r>
          </w:p>
        </w:tc>
        <w:tc>
          <w:tcPr>
            <w:tcW w:w="3854" w:type="dxa"/>
            <w:vAlign w:val="top"/>
          </w:tcPr>
          <w:p w14:paraId="7BD7C701">
            <w:pPr>
              <w:pStyle w:val="6"/>
              <w:spacing w:before="59" w:line="227" w:lineRule="auto"/>
              <w:ind w:left="1499"/>
            </w:pPr>
            <w:r>
              <w:rPr>
                <w:spacing w:val="7"/>
              </w:rPr>
              <w:t>施工围挡</w:t>
            </w:r>
          </w:p>
        </w:tc>
        <w:tc>
          <w:tcPr>
            <w:tcW w:w="1684" w:type="dxa"/>
            <w:vAlign w:val="top"/>
          </w:tcPr>
          <w:p w14:paraId="3A5785B9">
            <w:pPr>
              <w:spacing w:before="29" w:line="272" w:lineRule="exact"/>
              <w:ind w:left="7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r>
      <w:tr w14:paraId="1ABED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883" w:type="dxa"/>
            <w:vMerge w:val="continue"/>
            <w:tcBorders>
              <w:top w:val="nil"/>
              <w:bottom w:val="nil"/>
            </w:tcBorders>
            <w:vAlign w:val="top"/>
          </w:tcPr>
          <w:p w14:paraId="7D5D3D5C">
            <w:pPr>
              <w:rPr>
                <w:rFonts w:ascii="Arial"/>
                <w:sz w:val="21"/>
              </w:rPr>
            </w:pPr>
          </w:p>
        </w:tc>
        <w:tc>
          <w:tcPr>
            <w:tcW w:w="1529" w:type="dxa"/>
            <w:vMerge w:val="restart"/>
            <w:tcBorders>
              <w:bottom w:val="nil"/>
            </w:tcBorders>
            <w:vAlign w:val="top"/>
          </w:tcPr>
          <w:p w14:paraId="0F116328">
            <w:pPr>
              <w:pStyle w:val="6"/>
              <w:spacing w:before="227" w:line="228" w:lineRule="auto"/>
              <w:ind w:left="445"/>
            </w:pPr>
            <w:r>
              <w:rPr>
                <w:spacing w:val="4"/>
              </w:rPr>
              <w:t>营运期</w:t>
            </w:r>
          </w:p>
        </w:tc>
        <w:tc>
          <w:tcPr>
            <w:tcW w:w="3854" w:type="dxa"/>
            <w:vAlign w:val="top"/>
          </w:tcPr>
          <w:p w14:paraId="40CAE05B">
            <w:pPr>
              <w:pStyle w:val="6"/>
              <w:spacing w:before="60" w:line="227" w:lineRule="auto"/>
              <w:ind w:left="1288"/>
            </w:pPr>
            <w:r>
              <w:rPr>
                <w:spacing w:val="8"/>
              </w:rPr>
              <w:t>臭气防治措施</w:t>
            </w:r>
          </w:p>
        </w:tc>
        <w:tc>
          <w:tcPr>
            <w:tcW w:w="1684" w:type="dxa"/>
            <w:vAlign w:val="top"/>
          </w:tcPr>
          <w:p w14:paraId="379AC4D1">
            <w:pPr>
              <w:spacing w:before="30" w:line="272" w:lineRule="exact"/>
              <w:ind w:left="72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r>
      <w:tr w14:paraId="18613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883" w:type="dxa"/>
            <w:vMerge w:val="continue"/>
            <w:tcBorders>
              <w:top w:val="nil"/>
            </w:tcBorders>
            <w:vAlign w:val="top"/>
          </w:tcPr>
          <w:p w14:paraId="0B4234F5">
            <w:pPr>
              <w:rPr>
                <w:rFonts w:ascii="Arial"/>
                <w:sz w:val="21"/>
              </w:rPr>
            </w:pPr>
          </w:p>
        </w:tc>
        <w:tc>
          <w:tcPr>
            <w:tcW w:w="1529" w:type="dxa"/>
            <w:vMerge w:val="continue"/>
            <w:tcBorders>
              <w:top w:val="nil"/>
            </w:tcBorders>
            <w:vAlign w:val="top"/>
          </w:tcPr>
          <w:p w14:paraId="42401E9D">
            <w:pPr>
              <w:rPr>
                <w:rFonts w:ascii="Arial"/>
                <w:sz w:val="21"/>
              </w:rPr>
            </w:pPr>
          </w:p>
        </w:tc>
        <w:tc>
          <w:tcPr>
            <w:tcW w:w="3854" w:type="dxa"/>
            <w:vAlign w:val="top"/>
          </w:tcPr>
          <w:p w14:paraId="745C2186">
            <w:pPr>
              <w:pStyle w:val="6"/>
              <w:spacing w:before="61" w:line="227" w:lineRule="auto"/>
              <w:ind w:left="1306"/>
            </w:pPr>
            <w:r>
              <w:rPr>
                <w:spacing w:val="7"/>
              </w:rPr>
              <w:t>室内通风系统</w:t>
            </w:r>
          </w:p>
        </w:tc>
        <w:tc>
          <w:tcPr>
            <w:tcW w:w="1684" w:type="dxa"/>
            <w:vAlign w:val="top"/>
          </w:tcPr>
          <w:p w14:paraId="30804C1E">
            <w:pPr>
              <w:spacing w:before="30" w:line="272"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40E31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883" w:type="dxa"/>
            <w:vMerge w:val="restart"/>
            <w:tcBorders>
              <w:bottom w:val="nil"/>
            </w:tcBorders>
            <w:vAlign w:val="top"/>
          </w:tcPr>
          <w:p w14:paraId="065C9398">
            <w:pPr>
              <w:pStyle w:val="6"/>
              <w:spacing w:before="227" w:line="228" w:lineRule="auto"/>
              <w:ind w:left="216"/>
            </w:pPr>
            <w:r>
              <w:rPr>
                <w:spacing w:val="8"/>
              </w:rPr>
              <w:t>声环境保护措施</w:t>
            </w:r>
          </w:p>
        </w:tc>
        <w:tc>
          <w:tcPr>
            <w:tcW w:w="1529" w:type="dxa"/>
            <w:vAlign w:val="top"/>
          </w:tcPr>
          <w:p w14:paraId="7C386E81">
            <w:pPr>
              <w:pStyle w:val="6"/>
              <w:spacing w:before="61" w:line="228" w:lineRule="auto"/>
              <w:ind w:left="452"/>
            </w:pPr>
            <w:r>
              <w:rPr>
                <w:spacing w:val="7"/>
              </w:rPr>
              <w:t>施工期</w:t>
            </w:r>
          </w:p>
        </w:tc>
        <w:tc>
          <w:tcPr>
            <w:tcW w:w="3854" w:type="dxa"/>
            <w:vAlign w:val="top"/>
          </w:tcPr>
          <w:p w14:paraId="5039B386">
            <w:pPr>
              <w:pStyle w:val="6"/>
              <w:spacing w:before="61" w:line="227" w:lineRule="auto"/>
              <w:ind w:left="1524"/>
            </w:pPr>
            <w:r>
              <w:rPr>
                <w:spacing w:val="4"/>
              </w:rPr>
              <w:t>噪声管理</w:t>
            </w:r>
          </w:p>
        </w:tc>
        <w:tc>
          <w:tcPr>
            <w:tcW w:w="1684" w:type="dxa"/>
            <w:vAlign w:val="top"/>
          </w:tcPr>
          <w:p w14:paraId="758837AB">
            <w:pPr>
              <w:spacing w:before="31" w:line="272" w:lineRule="exact"/>
              <w:ind w:left="79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r w14:paraId="1C8B8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883" w:type="dxa"/>
            <w:vMerge w:val="continue"/>
            <w:tcBorders>
              <w:top w:val="nil"/>
            </w:tcBorders>
            <w:vAlign w:val="top"/>
          </w:tcPr>
          <w:p w14:paraId="540BC616">
            <w:pPr>
              <w:rPr>
                <w:rFonts w:ascii="Arial"/>
                <w:sz w:val="21"/>
              </w:rPr>
            </w:pPr>
          </w:p>
        </w:tc>
        <w:tc>
          <w:tcPr>
            <w:tcW w:w="1529" w:type="dxa"/>
            <w:vAlign w:val="top"/>
          </w:tcPr>
          <w:p w14:paraId="61DA1CEE">
            <w:pPr>
              <w:pStyle w:val="6"/>
              <w:spacing w:before="61" w:line="228" w:lineRule="auto"/>
              <w:ind w:left="460"/>
            </w:pPr>
            <w:r>
              <w:rPr>
                <w:spacing w:val="4"/>
              </w:rPr>
              <w:t>营运期</w:t>
            </w:r>
          </w:p>
        </w:tc>
        <w:tc>
          <w:tcPr>
            <w:tcW w:w="3854" w:type="dxa"/>
            <w:vAlign w:val="top"/>
          </w:tcPr>
          <w:p w14:paraId="0328D87C">
            <w:pPr>
              <w:pStyle w:val="6"/>
              <w:spacing w:before="61" w:line="228" w:lineRule="auto"/>
              <w:ind w:left="1212"/>
            </w:pPr>
            <w:r>
              <w:rPr>
                <w:spacing w:val="6"/>
              </w:rPr>
              <w:t>隔声、减震措施</w:t>
            </w:r>
          </w:p>
        </w:tc>
        <w:tc>
          <w:tcPr>
            <w:tcW w:w="1684" w:type="dxa"/>
            <w:vAlign w:val="top"/>
          </w:tcPr>
          <w:p w14:paraId="780A5B2F">
            <w:pPr>
              <w:spacing w:before="31" w:line="272"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bl>
    <w:p w14:paraId="17726958">
      <w:pPr>
        <w:pStyle w:val="2"/>
        <w:spacing w:line="14" w:lineRule="auto"/>
        <w:rPr>
          <w:sz w:val="2"/>
        </w:rPr>
      </w:pPr>
    </w:p>
    <w:p w14:paraId="44A361A1">
      <w:pPr>
        <w:spacing w:line="14" w:lineRule="auto"/>
        <w:rPr>
          <w:sz w:val="2"/>
          <w:szCs w:val="2"/>
        </w:rPr>
        <w:sectPr>
          <w:footerReference r:id="rId163" w:type="default"/>
          <w:pgSz w:w="11906" w:h="16839"/>
          <w:pgMar w:top="400" w:right="1475" w:bottom="1485" w:left="1475" w:header="0" w:footer="1249" w:gutter="0"/>
          <w:cols w:space="720" w:num="1"/>
        </w:sectPr>
      </w:pPr>
    </w:p>
    <w:p w14:paraId="298B7121">
      <w:pPr>
        <w:spacing w:before="13"/>
      </w:pPr>
    </w:p>
    <w:p w14:paraId="51F509F6">
      <w:pPr>
        <w:spacing w:before="13"/>
      </w:pPr>
    </w:p>
    <w:p w14:paraId="6DA8BA44">
      <w:pPr>
        <w:spacing w:before="13"/>
      </w:pPr>
    </w:p>
    <w:p w14:paraId="66C5A2E8">
      <w:pPr>
        <w:spacing w:before="13"/>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3"/>
        <w:gridCol w:w="1529"/>
        <w:gridCol w:w="3854"/>
        <w:gridCol w:w="1684"/>
      </w:tblGrid>
      <w:tr w14:paraId="2D3A3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883" w:type="dxa"/>
            <w:vAlign w:val="top"/>
          </w:tcPr>
          <w:p w14:paraId="1727F0C5">
            <w:pPr>
              <w:pStyle w:val="6"/>
              <w:spacing w:before="64" w:line="229" w:lineRule="auto"/>
              <w:ind w:left="512"/>
            </w:pPr>
            <w:r>
              <w:rPr>
                <w:b/>
                <w:bCs/>
                <w:spacing w:val="6"/>
              </w:rPr>
              <w:t>环保措施</w:t>
            </w:r>
          </w:p>
        </w:tc>
        <w:tc>
          <w:tcPr>
            <w:tcW w:w="1529" w:type="dxa"/>
            <w:vAlign w:val="top"/>
          </w:tcPr>
          <w:p w14:paraId="63D0831D">
            <w:pPr>
              <w:pStyle w:val="6"/>
              <w:spacing w:before="63" w:line="230" w:lineRule="auto"/>
              <w:ind w:left="554"/>
            </w:pPr>
            <w:r>
              <w:rPr>
                <w:b/>
                <w:bCs/>
                <w:spacing w:val="-1"/>
              </w:rPr>
              <w:t>时段</w:t>
            </w:r>
          </w:p>
        </w:tc>
        <w:tc>
          <w:tcPr>
            <w:tcW w:w="3854" w:type="dxa"/>
            <w:vAlign w:val="top"/>
          </w:tcPr>
          <w:p w14:paraId="5F0F8A0C">
            <w:pPr>
              <w:pStyle w:val="6"/>
              <w:spacing w:before="64" w:line="228" w:lineRule="auto"/>
              <w:ind w:left="1501"/>
            </w:pPr>
            <w:r>
              <w:rPr>
                <w:b/>
                <w:bCs/>
                <w:spacing w:val="6"/>
              </w:rPr>
              <w:t>主要内容</w:t>
            </w:r>
          </w:p>
        </w:tc>
        <w:tc>
          <w:tcPr>
            <w:tcW w:w="1684" w:type="dxa"/>
            <w:vAlign w:val="top"/>
          </w:tcPr>
          <w:p w14:paraId="04891555">
            <w:pPr>
              <w:pStyle w:val="6"/>
              <w:spacing w:before="64" w:line="229" w:lineRule="auto"/>
              <w:ind w:left="204"/>
            </w:pPr>
            <w:r>
              <w:rPr>
                <w:b/>
                <w:bCs/>
                <w:spacing w:val="4"/>
              </w:rPr>
              <w:t>投资（万元）</w:t>
            </w:r>
          </w:p>
        </w:tc>
      </w:tr>
      <w:tr w14:paraId="57AD2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883" w:type="dxa"/>
            <w:vMerge w:val="restart"/>
            <w:tcBorders>
              <w:bottom w:val="nil"/>
            </w:tcBorders>
            <w:vAlign w:val="top"/>
          </w:tcPr>
          <w:p w14:paraId="46D74382">
            <w:pPr>
              <w:spacing w:line="250" w:lineRule="auto"/>
              <w:rPr>
                <w:rFonts w:ascii="Arial"/>
                <w:sz w:val="21"/>
              </w:rPr>
            </w:pPr>
          </w:p>
          <w:p w14:paraId="60AA679A">
            <w:pPr>
              <w:spacing w:line="250" w:lineRule="auto"/>
              <w:rPr>
                <w:rFonts w:ascii="Arial"/>
                <w:sz w:val="21"/>
              </w:rPr>
            </w:pPr>
          </w:p>
          <w:p w14:paraId="1F2927ED">
            <w:pPr>
              <w:pStyle w:val="6"/>
              <w:spacing w:before="65" w:line="304" w:lineRule="auto"/>
              <w:ind w:left="842" w:right="204" w:hanging="612"/>
            </w:pPr>
            <w:r>
              <w:rPr>
                <w:spacing w:val="6"/>
              </w:rPr>
              <w:t>固体废物防治措</w:t>
            </w:r>
            <w:r>
              <w:t xml:space="preserve"> </w:t>
            </w:r>
            <w:r>
              <w:rPr>
                <w:spacing w:val="1"/>
              </w:rPr>
              <w:t>施</w:t>
            </w:r>
          </w:p>
        </w:tc>
        <w:tc>
          <w:tcPr>
            <w:tcW w:w="1529" w:type="dxa"/>
            <w:vAlign w:val="top"/>
          </w:tcPr>
          <w:p w14:paraId="41676FDD">
            <w:pPr>
              <w:pStyle w:val="6"/>
              <w:spacing w:before="60" w:line="229" w:lineRule="auto"/>
              <w:ind w:left="452"/>
            </w:pPr>
            <w:r>
              <w:rPr>
                <w:spacing w:val="7"/>
              </w:rPr>
              <w:t>施工期</w:t>
            </w:r>
          </w:p>
        </w:tc>
        <w:tc>
          <w:tcPr>
            <w:tcW w:w="3854" w:type="dxa"/>
            <w:vAlign w:val="top"/>
          </w:tcPr>
          <w:p w14:paraId="74D1568D">
            <w:pPr>
              <w:pStyle w:val="6"/>
              <w:spacing w:before="60" w:line="228" w:lineRule="auto"/>
              <w:ind w:left="362"/>
            </w:pPr>
            <w:r>
              <w:rPr>
                <w:spacing w:val="9"/>
              </w:rPr>
              <w:t>建筑垃圾、施工人员生活垃圾收集</w:t>
            </w:r>
          </w:p>
        </w:tc>
        <w:tc>
          <w:tcPr>
            <w:tcW w:w="1684" w:type="dxa"/>
            <w:vAlign w:val="top"/>
          </w:tcPr>
          <w:p w14:paraId="68600C87">
            <w:pPr>
              <w:spacing w:before="29" w:line="274" w:lineRule="exact"/>
              <w:ind w:left="81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22BA2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883" w:type="dxa"/>
            <w:vMerge w:val="continue"/>
            <w:tcBorders>
              <w:top w:val="nil"/>
              <w:bottom w:val="nil"/>
            </w:tcBorders>
            <w:vAlign w:val="top"/>
          </w:tcPr>
          <w:p w14:paraId="15BDCF98">
            <w:pPr>
              <w:rPr>
                <w:rFonts w:ascii="Arial"/>
                <w:sz w:val="21"/>
              </w:rPr>
            </w:pPr>
          </w:p>
        </w:tc>
        <w:tc>
          <w:tcPr>
            <w:tcW w:w="1529" w:type="dxa"/>
            <w:vMerge w:val="restart"/>
            <w:tcBorders>
              <w:bottom w:val="nil"/>
            </w:tcBorders>
            <w:vAlign w:val="top"/>
          </w:tcPr>
          <w:p w14:paraId="6E056128">
            <w:pPr>
              <w:spacing w:line="248" w:lineRule="auto"/>
              <w:rPr>
                <w:rFonts w:ascii="Arial"/>
                <w:sz w:val="21"/>
              </w:rPr>
            </w:pPr>
          </w:p>
          <w:p w14:paraId="468DEDD2">
            <w:pPr>
              <w:spacing w:line="248" w:lineRule="auto"/>
              <w:rPr>
                <w:rFonts w:ascii="Arial"/>
                <w:sz w:val="21"/>
              </w:rPr>
            </w:pPr>
          </w:p>
          <w:p w14:paraId="0ADC1453">
            <w:pPr>
              <w:pStyle w:val="6"/>
              <w:spacing w:before="65" w:line="229" w:lineRule="auto"/>
              <w:ind w:left="460"/>
            </w:pPr>
            <w:r>
              <w:rPr>
                <w:spacing w:val="4"/>
              </w:rPr>
              <w:t>营运期</w:t>
            </w:r>
          </w:p>
        </w:tc>
        <w:tc>
          <w:tcPr>
            <w:tcW w:w="3854" w:type="dxa"/>
            <w:vAlign w:val="top"/>
          </w:tcPr>
          <w:p w14:paraId="4ABB8F94">
            <w:pPr>
              <w:pStyle w:val="6"/>
              <w:spacing w:before="60" w:line="228" w:lineRule="auto"/>
              <w:ind w:left="1304"/>
            </w:pPr>
            <w:r>
              <w:rPr>
                <w:spacing w:val="7"/>
              </w:rPr>
              <w:t>生活垃圾收集</w:t>
            </w:r>
          </w:p>
        </w:tc>
        <w:tc>
          <w:tcPr>
            <w:tcW w:w="1684" w:type="dxa"/>
            <w:vAlign w:val="top"/>
          </w:tcPr>
          <w:p w14:paraId="286937D6">
            <w:pPr>
              <w:spacing w:before="29" w:line="274" w:lineRule="exact"/>
              <w:ind w:left="81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5E1E0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883" w:type="dxa"/>
            <w:vMerge w:val="continue"/>
            <w:tcBorders>
              <w:top w:val="nil"/>
              <w:bottom w:val="nil"/>
            </w:tcBorders>
            <w:vAlign w:val="top"/>
          </w:tcPr>
          <w:p w14:paraId="09E14B79">
            <w:pPr>
              <w:rPr>
                <w:rFonts w:ascii="Arial"/>
                <w:sz w:val="21"/>
              </w:rPr>
            </w:pPr>
          </w:p>
        </w:tc>
        <w:tc>
          <w:tcPr>
            <w:tcW w:w="1529" w:type="dxa"/>
            <w:vMerge w:val="continue"/>
            <w:tcBorders>
              <w:top w:val="nil"/>
              <w:bottom w:val="nil"/>
            </w:tcBorders>
            <w:vAlign w:val="top"/>
          </w:tcPr>
          <w:p w14:paraId="65FA6AF1">
            <w:pPr>
              <w:rPr>
                <w:rFonts w:ascii="Arial"/>
                <w:sz w:val="21"/>
              </w:rPr>
            </w:pPr>
          </w:p>
        </w:tc>
        <w:tc>
          <w:tcPr>
            <w:tcW w:w="3854" w:type="dxa"/>
            <w:vAlign w:val="top"/>
          </w:tcPr>
          <w:p w14:paraId="6B9FCD12">
            <w:pPr>
              <w:pStyle w:val="6"/>
              <w:spacing w:before="60" w:line="228" w:lineRule="auto"/>
              <w:ind w:left="1516"/>
            </w:pPr>
            <w:r>
              <w:rPr>
                <w:spacing w:val="6"/>
              </w:rPr>
              <w:t>粪污发酵</w:t>
            </w:r>
          </w:p>
        </w:tc>
        <w:tc>
          <w:tcPr>
            <w:tcW w:w="1684" w:type="dxa"/>
            <w:vAlign w:val="top"/>
          </w:tcPr>
          <w:p w14:paraId="6A0F2A28">
            <w:pPr>
              <w:spacing w:before="29" w:line="274" w:lineRule="exact"/>
              <w:ind w:left="6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r>
      <w:tr w14:paraId="6A6DD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883" w:type="dxa"/>
            <w:vMerge w:val="continue"/>
            <w:tcBorders>
              <w:top w:val="nil"/>
              <w:bottom w:val="nil"/>
            </w:tcBorders>
            <w:vAlign w:val="top"/>
          </w:tcPr>
          <w:p w14:paraId="3E8A736E">
            <w:pPr>
              <w:rPr>
                <w:rFonts w:ascii="Arial"/>
                <w:sz w:val="21"/>
              </w:rPr>
            </w:pPr>
          </w:p>
        </w:tc>
        <w:tc>
          <w:tcPr>
            <w:tcW w:w="1529" w:type="dxa"/>
            <w:vMerge w:val="continue"/>
            <w:tcBorders>
              <w:top w:val="nil"/>
              <w:bottom w:val="nil"/>
            </w:tcBorders>
            <w:vAlign w:val="top"/>
          </w:tcPr>
          <w:p w14:paraId="25F39148">
            <w:pPr>
              <w:rPr>
                <w:rFonts w:ascii="Arial"/>
                <w:sz w:val="21"/>
              </w:rPr>
            </w:pPr>
          </w:p>
        </w:tc>
        <w:tc>
          <w:tcPr>
            <w:tcW w:w="3854" w:type="dxa"/>
            <w:vAlign w:val="top"/>
          </w:tcPr>
          <w:p w14:paraId="6ADB3230">
            <w:pPr>
              <w:pStyle w:val="6"/>
              <w:spacing w:before="61" w:line="229" w:lineRule="auto"/>
              <w:ind w:left="987"/>
            </w:pPr>
            <w:r>
              <w:rPr>
                <w:spacing w:val="9"/>
              </w:rPr>
              <w:t>病死猪尸体安全填埋</w:t>
            </w:r>
          </w:p>
        </w:tc>
        <w:tc>
          <w:tcPr>
            <w:tcW w:w="1684" w:type="dxa"/>
            <w:vAlign w:val="top"/>
          </w:tcPr>
          <w:p w14:paraId="15801378">
            <w:pPr>
              <w:spacing w:before="99" w:line="192" w:lineRule="auto"/>
              <w:ind w:left="79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0ED0A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883" w:type="dxa"/>
            <w:vMerge w:val="continue"/>
            <w:tcBorders>
              <w:top w:val="nil"/>
            </w:tcBorders>
            <w:vAlign w:val="top"/>
          </w:tcPr>
          <w:p w14:paraId="16B2DD7F">
            <w:pPr>
              <w:rPr>
                <w:rFonts w:ascii="Arial"/>
                <w:sz w:val="21"/>
              </w:rPr>
            </w:pPr>
          </w:p>
        </w:tc>
        <w:tc>
          <w:tcPr>
            <w:tcW w:w="1529" w:type="dxa"/>
            <w:vMerge w:val="continue"/>
            <w:tcBorders>
              <w:top w:val="nil"/>
            </w:tcBorders>
            <w:vAlign w:val="top"/>
          </w:tcPr>
          <w:p w14:paraId="62621560">
            <w:pPr>
              <w:rPr>
                <w:rFonts w:ascii="Arial"/>
                <w:sz w:val="21"/>
              </w:rPr>
            </w:pPr>
          </w:p>
        </w:tc>
        <w:tc>
          <w:tcPr>
            <w:tcW w:w="3854" w:type="dxa"/>
            <w:vAlign w:val="top"/>
          </w:tcPr>
          <w:p w14:paraId="77B87E9A">
            <w:pPr>
              <w:pStyle w:val="6"/>
              <w:spacing w:before="61" w:line="229" w:lineRule="auto"/>
              <w:ind w:left="1096"/>
            </w:pPr>
            <w:r>
              <w:rPr>
                <w:spacing w:val="8"/>
              </w:rPr>
              <w:t>危险废物委托处理</w:t>
            </w:r>
          </w:p>
        </w:tc>
        <w:tc>
          <w:tcPr>
            <w:tcW w:w="1684" w:type="dxa"/>
            <w:vAlign w:val="top"/>
          </w:tcPr>
          <w:p w14:paraId="671FCC21">
            <w:pPr>
              <w:spacing w:before="99" w:line="192" w:lineRule="auto"/>
              <w:ind w:left="79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78448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883" w:type="dxa"/>
            <w:vAlign w:val="top"/>
          </w:tcPr>
          <w:p w14:paraId="37507DD1">
            <w:pPr>
              <w:pStyle w:val="6"/>
              <w:spacing w:before="60" w:line="270" w:lineRule="auto"/>
              <w:ind w:left="737" w:right="108" w:hanging="621"/>
            </w:pPr>
            <w:r>
              <w:rPr>
                <w:spacing w:val="6"/>
              </w:rPr>
              <w:t>地下水、土壤防治</w:t>
            </w:r>
            <w:r>
              <w:rPr>
                <w:spacing w:val="3"/>
              </w:rPr>
              <w:t xml:space="preserve"> </w:t>
            </w:r>
            <w:r>
              <w:rPr>
                <w:spacing w:val="4"/>
              </w:rPr>
              <w:t>措施</w:t>
            </w:r>
          </w:p>
        </w:tc>
        <w:tc>
          <w:tcPr>
            <w:tcW w:w="1529" w:type="dxa"/>
            <w:vAlign w:val="top"/>
          </w:tcPr>
          <w:p w14:paraId="7D42AB4C">
            <w:pPr>
              <w:pStyle w:val="6"/>
              <w:spacing w:before="225" w:line="229" w:lineRule="auto"/>
              <w:ind w:left="460"/>
            </w:pPr>
            <w:r>
              <w:rPr>
                <w:spacing w:val="4"/>
              </w:rPr>
              <w:t>营运期</w:t>
            </w:r>
          </w:p>
        </w:tc>
        <w:tc>
          <w:tcPr>
            <w:tcW w:w="3854" w:type="dxa"/>
            <w:vAlign w:val="top"/>
          </w:tcPr>
          <w:p w14:paraId="0FA6E2C4">
            <w:pPr>
              <w:pStyle w:val="6"/>
              <w:spacing w:before="225" w:line="229" w:lineRule="auto"/>
              <w:ind w:left="1213"/>
            </w:pPr>
            <w:r>
              <w:rPr>
                <w:spacing w:val="6"/>
              </w:rPr>
              <w:t>防渗、防漏措施</w:t>
            </w:r>
          </w:p>
        </w:tc>
        <w:tc>
          <w:tcPr>
            <w:tcW w:w="1684" w:type="dxa"/>
            <w:vAlign w:val="top"/>
          </w:tcPr>
          <w:p w14:paraId="3C3ED2A0">
            <w:pPr>
              <w:spacing w:before="194" w:line="274" w:lineRule="exact"/>
              <w:ind w:left="7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3F431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883" w:type="dxa"/>
            <w:vAlign w:val="top"/>
          </w:tcPr>
          <w:p w14:paraId="5F69F848">
            <w:pPr>
              <w:pStyle w:val="6"/>
              <w:spacing w:before="63" w:line="229" w:lineRule="auto"/>
              <w:ind w:left="319"/>
            </w:pPr>
            <w:r>
              <w:rPr>
                <w:spacing w:val="8"/>
              </w:rPr>
              <w:t>风险防治措施</w:t>
            </w:r>
          </w:p>
        </w:tc>
        <w:tc>
          <w:tcPr>
            <w:tcW w:w="1529" w:type="dxa"/>
            <w:vAlign w:val="top"/>
          </w:tcPr>
          <w:p w14:paraId="4E32C81B">
            <w:pPr>
              <w:pStyle w:val="6"/>
              <w:spacing w:before="63" w:line="229" w:lineRule="auto"/>
              <w:ind w:left="460"/>
            </w:pPr>
            <w:r>
              <w:rPr>
                <w:spacing w:val="4"/>
              </w:rPr>
              <w:t>营运期</w:t>
            </w:r>
          </w:p>
        </w:tc>
        <w:tc>
          <w:tcPr>
            <w:tcW w:w="3854" w:type="dxa"/>
            <w:vAlign w:val="top"/>
          </w:tcPr>
          <w:p w14:paraId="6BB470AA">
            <w:pPr>
              <w:pStyle w:val="6"/>
              <w:spacing w:before="63" w:line="231" w:lineRule="auto"/>
              <w:ind w:left="1619"/>
            </w:pPr>
            <w:r>
              <w:rPr>
                <w:spacing w:val="6"/>
              </w:rPr>
              <w:t>应急池</w:t>
            </w:r>
          </w:p>
        </w:tc>
        <w:tc>
          <w:tcPr>
            <w:tcW w:w="1684" w:type="dxa"/>
            <w:vAlign w:val="top"/>
          </w:tcPr>
          <w:p w14:paraId="69D8F07C">
            <w:pPr>
              <w:spacing w:before="32" w:line="274" w:lineRule="exact"/>
              <w:ind w:left="75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6DEB6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883" w:type="dxa"/>
            <w:vAlign w:val="top"/>
          </w:tcPr>
          <w:p w14:paraId="7D6C0709">
            <w:pPr>
              <w:pStyle w:val="6"/>
              <w:spacing w:before="63" w:line="269" w:lineRule="auto"/>
              <w:ind w:left="842" w:right="204" w:hanging="629"/>
            </w:pPr>
            <w:r>
              <w:rPr>
                <w:spacing w:val="8"/>
              </w:rPr>
              <w:t>有害生物防治措</w:t>
            </w:r>
            <w:r>
              <w:rPr>
                <w:spacing w:val="2"/>
              </w:rPr>
              <w:t xml:space="preserve"> </w:t>
            </w:r>
            <w:r>
              <w:rPr>
                <w:spacing w:val="1"/>
              </w:rPr>
              <w:t>施</w:t>
            </w:r>
          </w:p>
        </w:tc>
        <w:tc>
          <w:tcPr>
            <w:tcW w:w="1529" w:type="dxa"/>
            <w:vAlign w:val="top"/>
          </w:tcPr>
          <w:p w14:paraId="013B8800">
            <w:pPr>
              <w:pStyle w:val="6"/>
              <w:spacing w:before="224" w:line="229" w:lineRule="auto"/>
              <w:ind w:left="460"/>
            </w:pPr>
            <w:r>
              <w:rPr>
                <w:spacing w:val="4"/>
              </w:rPr>
              <w:t>营运期</w:t>
            </w:r>
          </w:p>
        </w:tc>
        <w:tc>
          <w:tcPr>
            <w:tcW w:w="3854" w:type="dxa"/>
            <w:vAlign w:val="top"/>
          </w:tcPr>
          <w:p w14:paraId="735DCB5E">
            <w:pPr>
              <w:pStyle w:val="6"/>
              <w:spacing w:before="224" w:line="228" w:lineRule="auto"/>
              <w:ind w:left="1097"/>
            </w:pPr>
            <w:r>
              <w:rPr>
                <w:spacing w:val="8"/>
              </w:rPr>
              <w:t>灭蝇、灭蚊、灭鼠</w:t>
            </w:r>
          </w:p>
        </w:tc>
        <w:tc>
          <w:tcPr>
            <w:tcW w:w="1684" w:type="dxa"/>
            <w:vAlign w:val="top"/>
          </w:tcPr>
          <w:p w14:paraId="6E338E2C">
            <w:pPr>
              <w:spacing w:before="193" w:line="274" w:lineRule="exact"/>
              <w:ind w:left="81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496B7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412" w:type="dxa"/>
            <w:gridSpan w:val="2"/>
            <w:vAlign w:val="top"/>
          </w:tcPr>
          <w:p w14:paraId="7D04449C">
            <w:pPr>
              <w:pStyle w:val="6"/>
              <w:spacing w:before="62" w:line="229" w:lineRule="auto"/>
              <w:ind w:left="1397"/>
            </w:pPr>
            <w:r>
              <w:rPr>
                <w:spacing w:val="7"/>
              </w:rPr>
              <w:t>施工期</w:t>
            </w:r>
          </w:p>
        </w:tc>
        <w:tc>
          <w:tcPr>
            <w:tcW w:w="3854" w:type="dxa"/>
            <w:vAlign w:val="top"/>
          </w:tcPr>
          <w:p w14:paraId="69DE3D7D">
            <w:pPr>
              <w:pStyle w:val="6"/>
              <w:spacing w:before="62" w:line="230" w:lineRule="auto"/>
              <w:ind w:left="1723"/>
            </w:pPr>
            <w:r>
              <w:rPr>
                <w:spacing w:val="4"/>
              </w:rPr>
              <w:t>合计</w:t>
            </w:r>
          </w:p>
        </w:tc>
        <w:tc>
          <w:tcPr>
            <w:tcW w:w="1684" w:type="dxa"/>
            <w:vAlign w:val="top"/>
          </w:tcPr>
          <w:p w14:paraId="3ECFE900">
            <w:pPr>
              <w:spacing w:before="31" w:line="274" w:lineRule="exact"/>
              <w:ind w:left="7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r>
      <w:tr w14:paraId="2179F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412" w:type="dxa"/>
            <w:gridSpan w:val="2"/>
            <w:vAlign w:val="top"/>
          </w:tcPr>
          <w:p w14:paraId="05AC0C0C">
            <w:pPr>
              <w:pStyle w:val="6"/>
              <w:spacing w:before="62" w:line="229" w:lineRule="auto"/>
              <w:ind w:left="1404"/>
            </w:pPr>
            <w:r>
              <w:rPr>
                <w:spacing w:val="4"/>
              </w:rPr>
              <w:t>营运期</w:t>
            </w:r>
          </w:p>
        </w:tc>
        <w:tc>
          <w:tcPr>
            <w:tcW w:w="3854" w:type="dxa"/>
            <w:vAlign w:val="top"/>
          </w:tcPr>
          <w:p w14:paraId="56F682C4">
            <w:pPr>
              <w:pStyle w:val="6"/>
              <w:spacing w:before="62" w:line="230" w:lineRule="auto"/>
              <w:ind w:left="1723"/>
            </w:pPr>
            <w:r>
              <w:rPr>
                <w:spacing w:val="4"/>
              </w:rPr>
              <w:t>合计</w:t>
            </w:r>
          </w:p>
        </w:tc>
        <w:tc>
          <w:tcPr>
            <w:tcW w:w="1684" w:type="dxa"/>
            <w:vAlign w:val="top"/>
          </w:tcPr>
          <w:p w14:paraId="479A6695">
            <w:pPr>
              <w:spacing w:before="31" w:line="274" w:lineRule="exact"/>
              <w:ind w:left="6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312</w:t>
            </w:r>
          </w:p>
        </w:tc>
      </w:tr>
      <w:tr w14:paraId="64D36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266" w:type="dxa"/>
            <w:gridSpan w:val="3"/>
            <w:vAlign w:val="top"/>
          </w:tcPr>
          <w:p w14:paraId="256E7639">
            <w:pPr>
              <w:pStyle w:val="6"/>
              <w:spacing w:before="62" w:line="230" w:lineRule="auto"/>
              <w:ind w:left="3433"/>
            </w:pPr>
            <w:r>
              <w:rPr>
                <w:spacing w:val="3"/>
              </w:rPr>
              <w:t>总计</w:t>
            </w:r>
          </w:p>
        </w:tc>
        <w:tc>
          <w:tcPr>
            <w:tcW w:w="1684" w:type="dxa"/>
            <w:vAlign w:val="top"/>
          </w:tcPr>
          <w:p w14:paraId="4BD6F0BF">
            <w:pPr>
              <w:spacing w:before="31" w:line="274" w:lineRule="exact"/>
              <w:ind w:left="6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320</w:t>
            </w:r>
          </w:p>
        </w:tc>
      </w:tr>
    </w:tbl>
    <w:p w14:paraId="308AD170">
      <w:pPr>
        <w:pStyle w:val="2"/>
        <w:spacing w:line="267" w:lineRule="auto"/>
      </w:pPr>
    </w:p>
    <w:p w14:paraId="3177273A">
      <w:pPr>
        <w:pStyle w:val="2"/>
        <w:spacing w:line="267" w:lineRule="auto"/>
      </w:pPr>
    </w:p>
    <w:p w14:paraId="7C7D0DB7">
      <w:pPr>
        <w:spacing w:before="78" w:line="376" w:lineRule="auto"/>
        <w:ind w:left="122" w:right="202" w:firstLine="480"/>
        <w:jc w:val="both"/>
        <w:rPr>
          <w:rFonts w:ascii="宋体" w:hAnsi="宋体" w:eastAsia="宋体" w:cs="宋体"/>
          <w:sz w:val="24"/>
          <w:szCs w:val="24"/>
        </w:rPr>
      </w:pPr>
      <w:r>
        <w:rPr>
          <w:rFonts w:ascii="宋体" w:hAnsi="宋体" w:eastAsia="宋体" w:cs="宋体"/>
          <w:sz w:val="24"/>
          <w:szCs w:val="24"/>
        </w:rPr>
        <w:t>环境经济损益分析的主要任务是衡量建设项目需要投</w:t>
      </w:r>
      <w:r>
        <w:rPr>
          <w:rFonts w:ascii="宋体" w:hAnsi="宋体" w:eastAsia="宋体" w:cs="宋体"/>
          <w:spacing w:val="-1"/>
          <w:sz w:val="24"/>
          <w:szCs w:val="24"/>
        </w:rPr>
        <w:t>入的环保投资所能收到的</w:t>
      </w:r>
      <w:r>
        <w:rPr>
          <w:rFonts w:ascii="宋体" w:hAnsi="宋体" w:eastAsia="宋体" w:cs="宋体"/>
          <w:sz w:val="24"/>
          <w:szCs w:val="24"/>
        </w:rPr>
        <w:t xml:space="preserve"> 环保效果，以及建设项目对外界产生的环境影响、经济影</w:t>
      </w:r>
      <w:r>
        <w:rPr>
          <w:rFonts w:ascii="宋体" w:hAnsi="宋体" w:eastAsia="宋体" w:cs="宋体"/>
          <w:spacing w:val="-1"/>
          <w:sz w:val="24"/>
          <w:szCs w:val="24"/>
        </w:rPr>
        <w:t>响和社会影响，本评价对</w:t>
      </w:r>
      <w:r>
        <w:rPr>
          <w:rFonts w:ascii="宋体" w:hAnsi="宋体" w:eastAsia="宋体" w:cs="宋体"/>
          <w:sz w:val="24"/>
          <w:szCs w:val="24"/>
        </w:rPr>
        <w:t xml:space="preserve"> 拟建项目采用费用—效益方法进行分析。由项目投产后带</w:t>
      </w:r>
      <w:r>
        <w:rPr>
          <w:rFonts w:ascii="宋体" w:hAnsi="宋体" w:eastAsia="宋体" w:cs="宋体"/>
          <w:spacing w:val="-1"/>
          <w:sz w:val="24"/>
          <w:szCs w:val="24"/>
        </w:rPr>
        <w:t>来的经济收益可用货币形</w:t>
      </w:r>
      <w:r>
        <w:rPr>
          <w:rFonts w:ascii="宋体" w:hAnsi="宋体" w:eastAsia="宋体" w:cs="宋体"/>
          <w:sz w:val="24"/>
          <w:szCs w:val="24"/>
        </w:rPr>
        <w:t xml:space="preserve"> 式计算出来，而污染影响带来的损失则难以用货币直接估</w:t>
      </w:r>
      <w:r>
        <w:rPr>
          <w:rFonts w:ascii="宋体" w:hAnsi="宋体" w:eastAsia="宋体" w:cs="宋体"/>
          <w:spacing w:val="-1"/>
          <w:sz w:val="24"/>
          <w:szCs w:val="24"/>
        </w:rPr>
        <w:t>算，只能用间接反应污染</w:t>
      </w:r>
      <w:r>
        <w:rPr>
          <w:rFonts w:ascii="宋体" w:hAnsi="宋体" w:eastAsia="宋体" w:cs="宋体"/>
          <w:sz w:val="24"/>
          <w:szCs w:val="24"/>
        </w:rPr>
        <w:t xml:space="preserve"> 损失的货币支出表示。对目前尚难以定量的内</w:t>
      </w:r>
      <w:r>
        <w:rPr>
          <w:rFonts w:ascii="宋体" w:hAnsi="宋体" w:eastAsia="宋体" w:cs="宋体"/>
          <w:spacing w:val="-1"/>
          <w:sz w:val="24"/>
          <w:szCs w:val="24"/>
        </w:rPr>
        <w:t>容，则予以定性的描述。</w:t>
      </w:r>
    </w:p>
    <w:p w14:paraId="5314EDDB">
      <w:pPr>
        <w:spacing w:before="3" w:line="376" w:lineRule="auto"/>
        <w:ind w:left="122" w:right="240" w:firstLine="480"/>
        <w:jc w:val="both"/>
        <w:rPr>
          <w:rFonts w:ascii="宋体" w:hAnsi="宋体" w:eastAsia="宋体" w:cs="宋体"/>
          <w:sz w:val="24"/>
          <w:szCs w:val="24"/>
        </w:rPr>
      </w:pPr>
      <w:r>
        <w:rPr>
          <w:rFonts w:ascii="宋体" w:hAnsi="宋体" w:eastAsia="宋体" w:cs="宋体"/>
          <w:spacing w:val="-2"/>
          <w:sz w:val="24"/>
          <w:szCs w:val="24"/>
        </w:rPr>
        <w:t>根据拟建项目的环境保护对策分析所确定的环境保护项目的内容和相关投资，</w:t>
      </w:r>
      <w:r>
        <w:rPr>
          <w:rFonts w:ascii="宋体" w:hAnsi="宋体" w:eastAsia="宋体" w:cs="宋体"/>
          <w:spacing w:val="18"/>
          <w:sz w:val="24"/>
          <w:szCs w:val="24"/>
        </w:rPr>
        <w:t xml:space="preserve"> </w:t>
      </w:r>
      <w:r>
        <w:rPr>
          <w:rFonts w:ascii="宋体" w:hAnsi="宋体" w:eastAsia="宋体" w:cs="宋体"/>
          <w:spacing w:val="-1"/>
          <w:sz w:val="24"/>
          <w:szCs w:val="24"/>
        </w:rPr>
        <w:t>计算环境保护投资占建设项目投资的比例，核算项</w:t>
      </w:r>
      <w:r>
        <w:rPr>
          <w:rFonts w:ascii="宋体" w:hAnsi="宋体" w:eastAsia="宋体" w:cs="宋体"/>
          <w:spacing w:val="-2"/>
          <w:sz w:val="24"/>
          <w:szCs w:val="24"/>
        </w:rPr>
        <w:t>目污染治理的成本及合理收益。</w:t>
      </w:r>
      <w:r>
        <w:rPr>
          <w:rFonts w:ascii="宋体" w:hAnsi="宋体" w:eastAsia="宋体" w:cs="宋体"/>
          <w:sz w:val="24"/>
          <w:szCs w:val="24"/>
        </w:rPr>
        <w:t xml:space="preserve"> 主要内容包括社会经济损益分析和项目污染治</w:t>
      </w:r>
      <w:r>
        <w:rPr>
          <w:rFonts w:ascii="宋体" w:hAnsi="宋体" w:eastAsia="宋体" w:cs="宋体"/>
          <w:spacing w:val="-1"/>
          <w:sz w:val="24"/>
          <w:szCs w:val="24"/>
        </w:rPr>
        <w:t>理与环保投资损益分析。</w:t>
      </w:r>
    </w:p>
    <w:p w14:paraId="6230D18D">
      <w:pPr>
        <w:spacing w:before="294" w:line="219" w:lineRule="auto"/>
        <w:ind w:left="121"/>
        <w:outlineLvl w:val="2"/>
        <w:rPr>
          <w:rFonts w:ascii="宋体" w:hAnsi="宋体" w:eastAsia="宋体" w:cs="宋体"/>
          <w:sz w:val="24"/>
          <w:szCs w:val="24"/>
        </w:rPr>
      </w:pPr>
      <w:r>
        <w:rPr>
          <w:rFonts w:ascii="Times New Roman" w:hAnsi="Times New Roman" w:eastAsia="Times New Roman" w:cs="Times New Roman"/>
          <w:b/>
          <w:bCs/>
          <w:spacing w:val="-2"/>
          <w:sz w:val="24"/>
          <w:szCs w:val="24"/>
        </w:rPr>
        <w:t>7.1.3</w:t>
      </w:r>
      <w:r>
        <w:rPr>
          <w:rFonts w:ascii="宋体" w:hAnsi="宋体" w:eastAsia="宋体" w:cs="宋体"/>
          <w:b/>
          <w:bCs/>
          <w:spacing w:val="-2"/>
          <w:sz w:val="24"/>
          <w:szCs w:val="24"/>
        </w:rPr>
        <w:t>社会效益分析</w:t>
      </w:r>
    </w:p>
    <w:p w14:paraId="44C5BBFE">
      <w:pPr>
        <w:pStyle w:val="2"/>
        <w:spacing w:line="279" w:lineRule="auto"/>
      </w:pPr>
    </w:p>
    <w:p w14:paraId="03C83144">
      <w:pPr>
        <w:spacing w:before="78" w:line="377" w:lineRule="auto"/>
        <w:ind w:left="122" w:right="49" w:firstLine="484"/>
        <w:jc w:val="both"/>
        <w:rPr>
          <w:rFonts w:ascii="宋体" w:hAnsi="宋体" w:eastAsia="宋体" w:cs="宋体"/>
          <w:sz w:val="24"/>
          <w:szCs w:val="24"/>
        </w:rPr>
      </w:pPr>
      <w:r>
        <w:rPr>
          <w:rFonts w:ascii="宋体" w:hAnsi="宋体" w:eastAsia="宋体" w:cs="宋体"/>
          <w:spacing w:val="2"/>
          <w:sz w:val="24"/>
          <w:szCs w:val="24"/>
        </w:rPr>
        <w:t>该项目建成后，对促进汕尾市海丰县的农业经济发展会起到积极作用，一是可</w:t>
      </w:r>
      <w:r>
        <w:rPr>
          <w:rFonts w:ascii="宋体" w:hAnsi="宋体" w:eastAsia="宋体" w:cs="宋体"/>
          <w:spacing w:val="6"/>
          <w:sz w:val="24"/>
          <w:szCs w:val="24"/>
        </w:rPr>
        <w:t xml:space="preserve"> </w:t>
      </w:r>
      <w:r>
        <w:rPr>
          <w:rFonts w:ascii="宋体" w:hAnsi="宋体" w:eastAsia="宋体" w:cs="宋体"/>
          <w:spacing w:val="2"/>
          <w:sz w:val="24"/>
          <w:szCs w:val="24"/>
        </w:rPr>
        <w:t>以为汕尾市以及珠三角地区提供有肉猪、有机肥料等，提高海丰县的社会品牌知名</w:t>
      </w:r>
      <w:r>
        <w:rPr>
          <w:rFonts w:ascii="宋体" w:hAnsi="宋体" w:eastAsia="宋体" w:cs="宋体"/>
          <w:spacing w:val="7"/>
          <w:sz w:val="24"/>
          <w:szCs w:val="24"/>
        </w:rPr>
        <w:t xml:space="preserve"> </w:t>
      </w:r>
      <w:r>
        <w:rPr>
          <w:rFonts w:ascii="宋体" w:hAnsi="宋体" w:eastAsia="宋体" w:cs="宋体"/>
          <w:spacing w:val="-3"/>
          <w:sz w:val="24"/>
          <w:szCs w:val="24"/>
        </w:rPr>
        <w:t>度；二是可促进海丰县农业休闲增收，带动海丰县农业经济再上一个新台阶；此外，</w:t>
      </w:r>
      <w:r>
        <w:rPr>
          <w:rFonts w:ascii="宋体" w:hAnsi="宋体" w:eastAsia="宋体" w:cs="宋体"/>
          <w:spacing w:val="13"/>
          <w:sz w:val="24"/>
          <w:szCs w:val="24"/>
        </w:rPr>
        <w:t xml:space="preserve"> </w:t>
      </w:r>
      <w:r>
        <w:rPr>
          <w:rFonts w:ascii="宋体" w:hAnsi="宋体" w:eastAsia="宋体" w:cs="宋体"/>
          <w:spacing w:val="2"/>
          <w:sz w:val="24"/>
          <w:szCs w:val="24"/>
        </w:rPr>
        <w:t>还可以提供一定的就业岗位，促进农户增收。本项目对繁荣当地经济起到了一定的</w:t>
      </w:r>
      <w:r>
        <w:rPr>
          <w:rFonts w:ascii="宋体" w:hAnsi="宋体" w:eastAsia="宋体" w:cs="宋体"/>
          <w:spacing w:val="7"/>
          <w:sz w:val="24"/>
          <w:szCs w:val="24"/>
        </w:rPr>
        <w:t xml:space="preserve"> </w:t>
      </w:r>
      <w:r>
        <w:rPr>
          <w:rFonts w:ascii="宋体" w:hAnsi="宋体" w:eastAsia="宋体" w:cs="宋体"/>
          <w:spacing w:val="-1"/>
          <w:sz w:val="24"/>
          <w:szCs w:val="24"/>
        </w:rPr>
        <w:t>促进作用，体现了良好的社会效益。</w:t>
      </w:r>
    </w:p>
    <w:p w14:paraId="3252DCB3">
      <w:pPr>
        <w:spacing w:before="294" w:line="221" w:lineRule="auto"/>
        <w:ind w:left="121"/>
        <w:outlineLvl w:val="2"/>
        <w:rPr>
          <w:rFonts w:ascii="宋体" w:hAnsi="宋体" w:eastAsia="宋体" w:cs="宋体"/>
          <w:sz w:val="24"/>
          <w:szCs w:val="24"/>
        </w:rPr>
      </w:pPr>
      <w:r>
        <w:rPr>
          <w:rFonts w:ascii="Times New Roman" w:hAnsi="Times New Roman" w:eastAsia="Times New Roman" w:cs="Times New Roman"/>
          <w:b/>
          <w:bCs/>
          <w:spacing w:val="-2"/>
          <w:sz w:val="24"/>
          <w:szCs w:val="24"/>
        </w:rPr>
        <w:t>7.1.4</w:t>
      </w:r>
      <w:r>
        <w:rPr>
          <w:rFonts w:ascii="宋体" w:hAnsi="宋体" w:eastAsia="宋体" w:cs="宋体"/>
          <w:b/>
          <w:bCs/>
          <w:spacing w:val="-2"/>
          <w:sz w:val="24"/>
          <w:szCs w:val="24"/>
        </w:rPr>
        <w:t>经济效益</w:t>
      </w:r>
    </w:p>
    <w:p w14:paraId="32435805">
      <w:pPr>
        <w:pStyle w:val="2"/>
        <w:spacing w:line="278" w:lineRule="auto"/>
      </w:pPr>
    </w:p>
    <w:p w14:paraId="52915096">
      <w:pPr>
        <w:spacing w:before="78" w:line="220" w:lineRule="auto"/>
        <w:ind w:left="690"/>
        <w:rPr>
          <w:rFonts w:ascii="宋体" w:hAnsi="宋体" w:eastAsia="宋体" w:cs="宋体"/>
          <w:sz w:val="24"/>
          <w:szCs w:val="24"/>
        </w:rPr>
      </w:pPr>
      <w:r>
        <w:rPr>
          <w:rFonts w:ascii="宋体" w:hAnsi="宋体" w:eastAsia="宋体" w:cs="宋体"/>
          <w:sz w:val="24"/>
          <w:szCs w:val="24"/>
        </w:rPr>
        <w:t>项目总体规模较大，建设期较长。一般而言，建成的项</w:t>
      </w:r>
      <w:r>
        <w:rPr>
          <w:rFonts w:ascii="宋体" w:hAnsi="宋体" w:eastAsia="宋体" w:cs="宋体"/>
          <w:spacing w:val="-1"/>
          <w:sz w:val="24"/>
          <w:szCs w:val="24"/>
        </w:rPr>
        <w:t>目从开始经营一年后即</w:t>
      </w:r>
    </w:p>
    <w:p w14:paraId="16E5573E">
      <w:pPr>
        <w:spacing w:line="220" w:lineRule="auto"/>
        <w:rPr>
          <w:rFonts w:ascii="宋体" w:hAnsi="宋体" w:eastAsia="宋体" w:cs="宋体"/>
          <w:sz w:val="24"/>
          <w:szCs w:val="24"/>
        </w:rPr>
        <w:sectPr>
          <w:footerReference r:id="rId164" w:type="default"/>
          <w:pgSz w:w="11906" w:h="16839"/>
          <w:pgMar w:top="400" w:right="1475" w:bottom="1485" w:left="1475" w:header="0" w:footer="1249" w:gutter="0"/>
          <w:cols w:space="720" w:num="1"/>
        </w:sectPr>
      </w:pPr>
    </w:p>
    <w:p w14:paraId="6924BD17">
      <w:pPr>
        <w:pStyle w:val="2"/>
        <w:spacing w:line="264" w:lineRule="auto"/>
      </w:pPr>
    </w:p>
    <w:p w14:paraId="6D2A841B">
      <w:pPr>
        <w:pStyle w:val="2"/>
        <w:spacing w:line="264" w:lineRule="auto"/>
      </w:pPr>
    </w:p>
    <w:p w14:paraId="7EA509C3">
      <w:pPr>
        <w:pStyle w:val="2"/>
        <w:spacing w:line="264" w:lineRule="auto"/>
      </w:pPr>
    </w:p>
    <w:p w14:paraId="07FF441D">
      <w:pPr>
        <w:pStyle w:val="2"/>
        <w:spacing w:line="265" w:lineRule="auto"/>
      </w:pPr>
    </w:p>
    <w:p w14:paraId="3A13E80C">
      <w:pPr>
        <w:spacing w:before="78" w:line="362" w:lineRule="auto"/>
        <w:ind w:left="2" w:right="81" w:firstLine="1"/>
        <w:rPr>
          <w:rFonts w:ascii="宋体" w:hAnsi="宋体" w:eastAsia="宋体" w:cs="宋体"/>
          <w:sz w:val="24"/>
          <w:szCs w:val="24"/>
        </w:rPr>
      </w:pPr>
      <w:r>
        <w:rPr>
          <w:rFonts w:ascii="宋体" w:hAnsi="宋体" w:eastAsia="宋体" w:cs="宋体"/>
          <w:spacing w:val="2"/>
          <w:sz w:val="24"/>
          <w:szCs w:val="24"/>
        </w:rPr>
        <w:t>步入稳定营运期，期间收入相对较稳定。根据经验值，一般长期经营项目，随着经</w:t>
      </w:r>
      <w:r>
        <w:rPr>
          <w:rFonts w:ascii="宋体" w:hAnsi="宋体" w:eastAsia="宋体" w:cs="宋体"/>
          <w:spacing w:val="3"/>
          <w:sz w:val="24"/>
          <w:szCs w:val="24"/>
        </w:rPr>
        <w:t xml:space="preserve"> </w:t>
      </w:r>
      <w:r>
        <w:rPr>
          <w:rFonts w:ascii="宋体" w:hAnsi="宋体" w:eastAsia="宋体" w:cs="宋体"/>
          <w:sz w:val="24"/>
          <w:szCs w:val="24"/>
        </w:rPr>
        <w:t>济发展，市场情势好转，</w:t>
      </w:r>
      <w:r>
        <w:rPr>
          <w:rFonts w:ascii="Times New Roman" w:hAnsi="Times New Roman" w:eastAsia="Times New Roman" w:cs="Times New Roman"/>
          <w:sz w:val="24"/>
          <w:szCs w:val="24"/>
        </w:rPr>
        <w:t xml:space="preserve">CPI  </w:t>
      </w:r>
      <w:r>
        <w:rPr>
          <w:rFonts w:ascii="宋体" w:hAnsi="宋体" w:eastAsia="宋体" w:cs="宋体"/>
          <w:sz w:val="24"/>
          <w:szCs w:val="24"/>
        </w:rPr>
        <w:t>指数增长</w:t>
      </w:r>
      <w:r>
        <w:rPr>
          <w:rFonts w:ascii="宋体" w:hAnsi="宋体" w:eastAsia="宋体" w:cs="宋体"/>
          <w:spacing w:val="-1"/>
          <w:sz w:val="24"/>
          <w:szCs w:val="24"/>
        </w:rPr>
        <w:t>，均存在着一定的上升空间。</w:t>
      </w:r>
    </w:p>
    <w:p w14:paraId="447C8CD9">
      <w:pPr>
        <w:spacing w:line="360" w:lineRule="exact"/>
        <w:ind w:left="211"/>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）养殖收入主要为生猪的销售收入。</w:t>
      </w:r>
    </w:p>
    <w:p w14:paraId="1967E74B">
      <w:pPr>
        <w:spacing w:before="129" w:line="359" w:lineRule="exact"/>
        <w:ind w:left="211"/>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2</w:t>
      </w:r>
      <w:r>
        <w:rPr>
          <w:rFonts w:ascii="宋体" w:hAnsi="宋体" w:eastAsia="宋体" w:cs="宋体"/>
          <w:spacing w:val="-1"/>
          <w:position w:val="2"/>
          <w:sz w:val="24"/>
          <w:szCs w:val="24"/>
        </w:rPr>
        <w:t>）生产类收入主要为有机肥半成品的销售收入；</w:t>
      </w:r>
    </w:p>
    <w:p w14:paraId="4E6A27F3">
      <w:pPr>
        <w:spacing w:before="167" w:line="377" w:lineRule="auto"/>
        <w:ind w:left="3" w:right="81" w:firstLine="564"/>
        <w:rPr>
          <w:rFonts w:ascii="宋体" w:hAnsi="宋体" w:eastAsia="宋体" w:cs="宋体"/>
          <w:sz w:val="24"/>
          <w:szCs w:val="24"/>
        </w:rPr>
      </w:pPr>
      <w:r>
        <w:rPr>
          <w:rFonts w:ascii="宋体" w:hAnsi="宋体" w:eastAsia="宋体" w:cs="宋体"/>
          <w:sz w:val="24"/>
          <w:szCs w:val="24"/>
        </w:rPr>
        <w:t>建设项目生产在取得直接经济效益的同时，还会带来一系</w:t>
      </w:r>
      <w:r>
        <w:rPr>
          <w:rFonts w:ascii="宋体" w:hAnsi="宋体" w:eastAsia="宋体" w:cs="宋体"/>
          <w:spacing w:val="-1"/>
          <w:sz w:val="24"/>
          <w:szCs w:val="24"/>
        </w:rPr>
        <w:t>列的间接经济效益：</w:t>
      </w:r>
      <w:r>
        <w:rPr>
          <w:rFonts w:ascii="宋体" w:hAnsi="宋体" w:eastAsia="宋体" w:cs="宋体"/>
          <w:sz w:val="24"/>
          <w:szCs w:val="24"/>
        </w:rPr>
        <w:t xml:space="preserve"> </w:t>
      </w:r>
      <w:r>
        <w:rPr>
          <w:rFonts w:ascii="宋体" w:hAnsi="宋体" w:eastAsia="宋体" w:cs="宋体"/>
          <w:spacing w:val="2"/>
          <w:sz w:val="24"/>
          <w:szCs w:val="24"/>
        </w:rPr>
        <w:t>首先在项目运行期间，会提供一些长期稳定的就业机会。二是本项目水、电、饲料</w:t>
      </w:r>
      <w:r>
        <w:rPr>
          <w:rFonts w:ascii="宋体" w:hAnsi="宋体" w:eastAsia="宋体" w:cs="宋体"/>
          <w:spacing w:val="4"/>
          <w:sz w:val="24"/>
          <w:szCs w:val="24"/>
        </w:rPr>
        <w:t xml:space="preserve"> </w:t>
      </w:r>
      <w:r>
        <w:rPr>
          <w:rFonts w:ascii="宋体" w:hAnsi="宋体" w:eastAsia="宋体" w:cs="宋体"/>
          <w:spacing w:val="2"/>
          <w:sz w:val="24"/>
          <w:szCs w:val="24"/>
        </w:rPr>
        <w:t>等的消耗为当地带来间接经济效益。三是本项目各类机械设备及配套设备的购买使</w:t>
      </w:r>
      <w:r>
        <w:rPr>
          <w:rFonts w:ascii="宋体" w:hAnsi="宋体" w:eastAsia="宋体" w:cs="宋体"/>
          <w:spacing w:val="4"/>
          <w:sz w:val="24"/>
          <w:szCs w:val="24"/>
        </w:rPr>
        <w:t xml:space="preserve"> </w:t>
      </w:r>
      <w:r>
        <w:rPr>
          <w:rFonts w:ascii="宋体" w:hAnsi="宋体" w:eastAsia="宋体" w:cs="宋体"/>
          <w:sz w:val="24"/>
          <w:szCs w:val="24"/>
        </w:rPr>
        <w:t>用，扩大市场需求，也会带来间接经济效益。因此，</w:t>
      </w:r>
      <w:r>
        <w:rPr>
          <w:rFonts w:ascii="宋体" w:hAnsi="宋体" w:eastAsia="宋体" w:cs="宋体"/>
          <w:spacing w:val="-1"/>
          <w:sz w:val="24"/>
          <w:szCs w:val="24"/>
        </w:rPr>
        <w:t>本项目具有良好的经济效益。</w:t>
      </w:r>
    </w:p>
    <w:p w14:paraId="2D3CCEE8">
      <w:pPr>
        <w:spacing w:before="291" w:line="221"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7.1.5</w:t>
      </w:r>
      <w:r>
        <w:rPr>
          <w:rFonts w:ascii="宋体" w:hAnsi="宋体" w:eastAsia="宋体" w:cs="宋体"/>
          <w:b/>
          <w:bCs/>
          <w:spacing w:val="-2"/>
          <w:sz w:val="24"/>
          <w:szCs w:val="24"/>
        </w:rPr>
        <w:t>环境效益分析</w:t>
      </w:r>
    </w:p>
    <w:p w14:paraId="59F2335D">
      <w:pPr>
        <w:pStyle w:val="2"/>
        <w:spacing w:line="278" w:lineRule="auto"/>
      </w:pPr>
    </w:p>
    <w:p w14:paraId="208D17D7">
      <w:pPr>
        <w:spacing w:before="78" w:line="367" w:lineRule="auto"/>
        <w:ind w:left="1" w:right="81" w:firstLine="483"/>
        <w:jc w:val="both"/>
        <w:rPr>
          <w:rFonts w:ascii="宋体" w:hAnsi="宋体" w:eastAsia="宋体" w:cs="宋体"/>
          <w:sz w:val="24"/>
          <w:szCs w:val="24"/>
        </w:rPr>
      </w:pPr>
      <w:r>
        <w:rPr>
          <w:rFonts w:ascii="宋体" w:hAnsi="宋体" w:eastAsia="宋体" w:cs="宋体"/>
          <w:spacing w:val="2"/>
          <w:sz w:val="24"/>
          <w:szCs w:val="24"/>
        </w:rPr>
        <w:t>项目的运营期将不可避免地对附近的环境空气、声环境等造成一定的影响。但</w:t>
      </w:r>
      <w:r>
        <w:rPr>
          <w:rFonts w:ascii="宋体" w:hAnsi="宋体" w:eastAsia="宋体" w:cs="宋体"/>
          <w:spacing w:val="6"/>
          <w:sz w:val="24"/>
          <w:szCs w:val="24"/>
        </w:rPr>
        <w:t xml:space="preserve"> </w:t>
      </w:r>
      <w:r>
        <w:rPr>
          <w:rFonts w:ascii="宋体" w:hAnsi="宋体" w:eastAsia="宋体" w:cs="宋体"/>
          <w:spacing w:val="1"/>
          <w:sz w:val="24"/>
          <w:szCs w:val="24"/>
        </w:rPr>
        <w:t>关于建设项目的环境经济损益分析，</w:t>
      </w:r>
      <w:r>
        <w:rPr>
          <w:rFonts w:ascii="宋体" w:hAnsi="宋体" w:eastAsia="宋体" w:cs="宋体"/>
          <w:spacing w:val="-64"/>
          <w:sz w:val="24"/>
          <w:szCs w:val="24"/>
        </w:rPr>
        <w:t xml:space="preserve"> </w:t>
      </w:r>
      <w:r>
        <w:rPr>
          <w:rFonts w:ascii="宋体" w:hAnsi="宋体" w:eastAsia="宋体" w:cs="宋体"/>
          <w:spacing w:val="1"/>
          <w:sz w:val="24"/>
          <w:szCs w:val="24"/>
        </w:rPr>
        <w:t>目前国内尚无</w:t>
      </w:r>
      <w:r>
        <w:rPr>
          <w:rFonts w:ascii="宋体" w:hAnsi="宋体" w:eastAsia="宋体" w:cs="宋体"/>
          <w:sz w:val="24"/>
          <w:szCs w:val="24"/>
        </w:rPr>
        <w:t xml:space="preserve">统一标准。因此，在本环境经济 </w:t>
      </w:r>
      <w:r>
        <w:rPr>
          <w:rFonts w:ascii="宋体" w:hAnsi="宋体" w:eastAsia="宋体" w:cs="宋体"/>
          <w:spacing w:val="-1"/>
          <w:sz w:val="24"/>
          <w:szCs w:val="24"/>
        </w:rPr>
        <w:t>损益分析中，只进行简单的类比分析。</w:t>
      </w:r>
    </w:p>
    <w:p w14:paraId="1D110D3F">
      <w:pPr>
        <w:spacing w:line="361"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）粪污环境损益分析</w:t>
      </w:r>
    </w:p>
    <w:p w14:paraId="33D5929C">
      <w:pPr>
        <w:spacing w:before="165" w:line="362" w:lineRule="auto"/>
        <w:ind w:left="6" w:right="81" w:firstLine="476"/>
        <w:rPr>
          <w:rFonts w:ascii="宋体" w:hAnsi="宋体" w:eastAsia="宋体" w:cs="宋体"/>
          <w:sz w:val="24"/>
          <w:szCs w:val="24"/>
        </w:rPr>
      </w:pPr>
      <w:r>
        <w:rPr>
          <w:rFonts w:ascii="宋体" w:hAnsi="宋体" w:eastAsia="宋体" w:cs="宋体"/>
          <w:spacing w:val="2"/>
          <w:sz w:val="24"/>
          <w:szCs w:val="24"/>
        </w:rPr>
        <w:t>本项目营运期产生的猪只粪便、尿液、猪舍冲洗水一起收集后，经异位发酵床</w:t>
      </w:r>
      <w:r>
        <w:rPr>
          <w:rFonts w:ascii="宋体" w:hAnsi="宋体" w:eastAsia="宋体" w:cs="宋体"/>
          <w:spacing w:val="9"/>
          <w:sz w:val="24"/>
          <w:szCs w:val="24"/>
        </w:rPr>
        <w:t xml:space="preserve"> </w:t>
      </w:r>
      <w:r>
        <w:rPr>
          <w:rFonts w:ascii="宋体" w:hAnsi="宋体" w:eastAsia="宋体" w:cs="宋体"/>
          <w:spacing w:val="-2"/>
          <w:sz w:val="24"/>
          <w:szCs w:val="24"/>
        </w:rPr>
        <w:t>处理后成有机肥半成品外售。</w:t>
      </w:r>
    </w:p>
    <w:p w14:paraId="5EF71362">
      <w:pPr>
        <w:spacing w:line="361"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）大气环境损益分析</w:t>
      </w:r>
    </w:p>
    <w:p w14:paraId="4582061C">
      <w:pPr>
        <w:spacing w:before="163" w:line="367" w:lineRule="auto"/>
        <w:ind w:left="1" w:right="81" w:firstLine="480"/>
        <w:rPr>
          <w:rFonts w:ascii="宋体" w:hAnsi="宋体" w:eastAsia="宋体" w:cs="宋体"/>
          <w:sz w:val="24"/>
          <w:szCs w:val="24"/>
        </w:rPr>
      </w:pPr>
      <w:r>
        <w:rPr>
          <w:rFonts w:ascii="宋体" w:hAnsi="宋体" w:eastAsia="宋体" w:cs="宋体"/>
          <w:spacing w:val="2"/>
          <w:sz w:val="24"/>
          <w:szCs w:val="24"/>
        </w:rPr>
        <w:t>本项目对大气环境的影响较小，备用发电机尾气可直接通过排气筒引至高空排</w:t>
      </w:r>
      <w:r>
        <w:rPr>
          <w:rFonts w:ascii="宋体" w:hAnsi="宋体" w:eastAsia="宋体" w:cs="宋体"/>
          <w:spacing w:val="9"/>
          <w:sz w:val="24"/>
          <w:szCs w:val="24"/>
        </w:rPr>
        <w:t xml:space="preserve"> </w:t>
      </w:r>
      <w:r>
        <w:rPr>
          <w:rFonts w:ascii="宋体" w:hAnsi="宋体" w:eastAsia="宋体" w:cs="宋体"/>
          <w:spacing w:val="2"/>
          <w:sz w:val="24"/>
          <w:szCs w:val="24"/>
        </w:rPr>
        <w:t>放。通过加强猪舍的通风换气、改善饲养管理工艺、喷洒除臭剂等措施可改善猪舍</w:t>
      </w:r>
      <w:r>
        <w:rPr>
          <w:rFonts w:ascii="宋体" w:hAnsi="宋体" w:eastAsia="宋体" w:cs="宋体"/>
          <w:spacing w:val="6"/>
          <w:sz w:val="24"/>
          <w:szCs w:val="24"/>
        </w:rPr>
        <w:t xml:space="preserve"> </w:t>
      </w:r>
      <w:r>
        <w:rPr>
          <w:rFonts w:ascii="宋体" w:hAnsi="宋体" w:eastAsia="宋体" w:cs="宋体"/>
          <w:spacing w:val="-1"/>
          <w:sz w:val="24"/>
          <w:szCs w:val="24"/>
        </w:rPr>
        <w:t>的空气质量。通过场区内合理绿化，可有效净化场内空气。</w:t>
      </w:r>
    </w:p>
    <w:p w14:paraId="59CDBE9E">
      <w:pPr>
        <w:spacing w:line="362" w:lineRule="exact"/>
        <w:ind w:left="492"/>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）声环境损益分析</w:t>
      </w:r>
    </w:p>
    <w:p w14:paraId="4E4DE87B">
      <w:pPr>
        <w:spacing w:before="162" w:line="378" w:lineRule="auto"/>
        <w:ind w:left="3" w:firstLine="479"/>
        <w:rPr>
          <w:rFonts w:ascii="宋体" w:hAnsi="宋体" w:eastAsia="宋体" w:cs="宋体"/>
          <w:sz w:val="24"/>
          <w:szCs w:val="24"/>
        </w:rPr>
      </w:pPr>
      <w:r>
        <w:rPr>
          <w:rFonts w:ascii="宋体" w:hAnsi="宋体" w:eastAsia="宋体" w:cs="宋体"/>
          <w:spacing w:val="-2"/>
          <w:sz w:val="24"/>
          <w:szCs w:val="24"/>
        </w:rPr>
        <w:t>本项目噪声主要来源于排气扇、水泵、风机、发电机</w:t>
      </w:r>
      <w:r>
        <w:rPr>
          <w:rFonts w:ascii="宋体" w:hAnsi="宋体" w:eastAsia="宋体" w:cs="宋体"/>
          <w:spacing w:val="-3"/>
          <w:sz w:val="24"/>
          <w:szCs w:val="24"/>
        </w:rPr>
        <w:t>等机械噪声和猪舍猪叫声。</w:t>
      </w:r>
      <w:r>
        <w:rPr>
          <w:rFonts w:ascii="宋体" w:hAnsi="宋体" w:eastAsia="宋体" w:cs="宋体"/>
          <w:sz w:val="24"/>
          <w:szCs w:val="24"/>
        </w:rPr>
        <w:t xml:space="preserve"> </w:t>
      </w:r>
      <w:r>
        <w:rPr>
          <w:rFonts w:ascii="宋体" w:hAnsi="宋体" w:eastAsia="宋体" w:cs="宋体"/>
          <w:spacing w:val="-2"/>
          <w:sz w:val="24"/>
          <w:szCs w:val="24"/>
        </w:rPr>
        <w:t>经预测分析得知，建设单位对噪声源进行合理布局，并对高噪声</w:t>
      </w:r>
      <w:r>
        <w:rPr>
          <w:rFonts w:ascii="宋体" w:hAnsi="宋体" w:eastAsia="宋体" w:cs="宋体"/>
          <w:spacing w:val="-3"/>
          <w:sz w:val="24"/>
          <w:szCs w:val="24"/>
        </w:rPr>
        <w:t>源进行必要的治理，</w:t>
      </w:r>
      <w:r>
        <w:rPr>
          <w:rFonts w:ascii="宋体" w:hAnsi="宋体" w:eastAsia="宋体" w:cs="宋体"/>
          <w:sz w:val="24"/>
          <w:szCs w:val="24"/>
        </w:rPr>
        <w:t xml:space="preserve"> </w:t>
      </w:r>
      <w:r>
        <w:rPr>
          <w:rFonts w:ascii="宋体" w:hAnsi="宋体" w:eastAsia="宋体" w:cs="宋体"/>
          <w:spacing w:val="2"/>
          <w:sz w:val="24"/>
          <w:szCs w:val="24"/>
        </w:rPr>
        <w:t>噪声可达标排放。因此，在措施得力的情况下，本项目的生产噪声对周围声环境影</w:t>
      </w:r>
      <w:r>
        <w:rPr>
          <w:rFonts w:ascii="宋体" w:hAnsi="宋体" w:eastAsia="宋体" w:cs="宋体"/>
          <w:spacing w:val="4"/>
          <w:sz w:val="24"/>
          <w:szCs w:val="24"/>
        </w:rPr>
        <w:t xml:space="preserve"> </w:t>
      </w:r>
      <w:r>
        <w:rPr>
          <w:rFonts w:ascii="宋体" w:hAnsi="宋体" w:eastAsia="宋体" w:cs="宋体"/>
          <w:spacing w:val="-3"/>
          <w:sz w:val="24"/>
          <w:szCs w:val="24"/>
        </w:rPr>
        <w:t>响不大。</w:t>
      </w:r>
    </w:p>
    <w:p w14:paraId="129A1D34">
      <w:pPr>
        <w:spacing w:before="291" w:line="221"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7.1.6</w:t>
      </w:r>
      <w:r>
        <w:rPr>
          <w:rFonts w:ascii="宋体" w:hAnsi="宋体" w:eastAsia="宋体" w:cs="宋体"/>
          <w:b/>
          <w:bCs/>
          <w:spacing w:val="-2"/>
          <w:sz w:val="24"/>
          <w:szCs w:val="24"/>
        </w:rPr>
        <w:t>环境建设投资分析</w:t>
      </w:r>
    </w:p>
    <w:p w14:paraId="3793AAC6">
      <w:pPr>
        <w:pStyle w:val="2"/>
        <w:spacing w:line="241" w:lineRule="auto"/>
      </w:pPr>
    </w:p>
    <w:p w14:paraId="1602C996">
      <w:pPr>
        <w:spacing w:before="79" w:line="358" w:lineRule="exact"/>
        <w:ind w:left="483"/>
        <w:rPr>
          <w:rFonts w:ascii="宋体" w:hAnsi="宋体" w:eastAsia="宋体" w:cs="宋体"/>
          <w:sz w:val="24"/>
          <w:szCs w:val="24"/>
        </w:rPr>
      </w:pPr>
      <w:r>
        <w:rPr>
          <w:rFonts w:ascii="宋体" w:hAnsi="宋体" w:eastAsia="宋体" w:cs="宋体"/>
          <w:spacing w:val="-1"/>
          <w:position w:val="2"/>
          <w:sz w:val="24"/>
          <w:szCs w:val="24"/>
        </w:rPr>
        <w:t>经估算，环保投资费用约</w:t>
      </w:r>
      <w:r>
        <w:rPr>
          <w:rFonts w:ascii="宋体" w:hAnsi="宋体" w:eastAsia="宋体" w:cs="宋体"/>
          <w:spacing w:val="-35"/>
          <w:position w:val="2"/>
          <w:sz w:val="24"/>
          <w:szCs w:val="24"/>
        </w:rPr>
        <w:t xml:space="preserve"> </w:t>
      </w:r>
      <w:r>
        <w:rPr>
          <w:rFonts w:ascii="Times New Roman" w:hAnsi="Times New Roman" w:eastAsia="Times New Roman" w:cs="Times New Roman"/>
          <w:spacing w:val="-1"/>
          <w:position w:val="2"/>
          <w:sz w:val="24"/>
          <w:szCs w:val="24"/>
        </w:rPr>
        <w:t>320</w:t>
      </w:r>
      <w:r>
        <w:rPr>
          <w:rFonts w:ascii="Times New Roman" w:hAnsi="Times New Roman" w:eastAsia="Times New Roman" w:cs="Times New Roman"/>
          <w:spacing w:val="15"/>
          <w:position w:val="2"/>
          <w:sz w:val="24"/>
          <w:szCs w:val="24"/>
        </w:rPr>
        <w:t xml:space="preserve"> </w:t>
      </w:r>
      <w:r>
        <w:rPr>
          <w:rFonts w:ascii="宋体" w:hAnsi="宋体" w:eastAsia="宋体" w:cs="宋体"/>
          <w:spacing w:val="-1"/>
          <w:position w:val="2"/>
          <w:sz w:val="24"/>
          <w:szCs w:val="24"/>
        </w:rPr>
        <w:t>万元，占项目总投资</w:t>
      </w:r>
      <w:r>
        <w:rPr>
          <w:rFonts w:ascii="宋体" w:hAnsi="宋体" w:eastAsia="宋体" w:cs="宋体"/>
          <w:spacing w:val="-32"/>
          <w:position w:val="2"/>
          <w:sz w:val="24"/>
          <w:szCs w:val="24"/>
        </w:rPr>
        <w:t xml:space="preserve"> </w:t>
      </w:r>
      <w:r>
        <w:rPr>
          <w:rFonts w:ascii="Times New Roman" w:hAnsi="Times New Roman" w:eastAsia="Times New Roman" w:cs="Times New Roman"/>
          <w:spacing w:val="-1"/>
          <w:position w:val="2"/>
          <w:sz w:val="24"/>
          <w:szCs w:val="24"/>
        </w:rPr>
        <w:t>1300</w:t>
      </w:r>
      <w:r>
        <w:rPr>
          <w:rFonts w:ascii="Times New Roman" w:hAnsi="Times New Roman" w:eastAsia="Times New Roman" w:cs="Times New Roman"/>
          <w:spacing w:val="15"/>
          <w:w w:val="101"/>
          <w:position w:val="2"/>
          <w:sz w:val="24"/>
          <w:szCs w:val="24"/>
        </w:rPr>
        <w:t xml:space="preserve"> </w:t>
      </w:r>
      <w:r>
        <w:rPr>
          <w:rFonts w:ascii="宋体" w:hAnsi="宋体" w:eastAsia="宋体" w:cs="宋体"/>
          <w:spacing w:val="-1"/>
          <w:position w:val="2"/>
          <w:sz w:val="24"/>
          <w:szCs w:val="24"/>
        </w:rPr>
        <w:t>万元的</w:t>
      </w:r>
      <w:r>
        <w:rPr>
          <w:rFonts w:ascii="Times New Roman" w:hAnsi="Times New Roman" w:eastAsia="Times New Roman" w:cs="Times New Roman"/>
          <w:spacing w:val="-1"/>
          <w:position w:val="2"/>
          <w:sz w:val="24"/>
          <w:szCs w:val="24"/>
        </w:rPr>
        <w:t>24.6%</w:t>
      </w:r>
      <w:r>
        <w:rPr>
          <w:rFonts w:ascii="宋体" w:hAnsi="宋体" w:eastAsia="宋体" w:cs="宋体"/>
          <w:spacing w:val="-1"/>
          <w:position w:val="2"/>
          <w:sz w:val="24"/>
          <w:szCs w:val="24"/>
        </w:rPr>
        <w:t>。</w:t>
      </w:r>
    </w:p>
    <w:p w14:paraId="3B75E41D">
      <w:pPr>
        <w:spacing w:line="358" w:lineRule="exact"/>
        <w:rPr>
          <w:rFonts w:ascii="宋体" w:hAnsi="宋体" w:eastAsia="宋体" w:cs="宋体"/>
          <w:sz w:val="24"/>
          <w:szCs w:val="24"/>
        </w:rPr>
        <w:sectPr>
          <w:footerReference r:id="rId165" w:type="default"/>
          <w:pgSz w:w="11906" w:h="16839"/>
          <w:pgMar w:top="400" w:right="1507" w:bottom="1485" w:left="1596" w:header="0" w:footer="1249" w:gutter="0"/>
          <w:cols w:space="720" w:num="1"/>
        </w:sectPr>
      </w:pPr>
    </w:p>
    <w:p w14:paraId="77500F28">
      <w:pPr>
        <w:pStyle w:val="2"/>
        <w:spacing w:line="273" w:lineRule="auto"/>
      </w:pPr>
    </w:p>
    <w:p w14:paraId="588BA707">
      <w:pPr>
        <w:pStyle w:val="2"/>
        <w:spacing w:line="274" w:lineRule="auto"/>
      </w:pPr>
    </w:p>
    <w:p w14:paraId="41452992">
      <w:pPr>
        <w:pStyle w:val="2"/>
        <w:spacing w:line="274" w:lineRule="auto"/>
      </w:pPr>
    </w:p>
    <w:p w14:paraId="384E6969">
      <w:pPr>
        <w:pStyle w:val="2"/>
        <w:spacing w:line="274" w:lineRule="auto"/>
      </w:pPr>
    </w:p>
    <w:p w14:paraId="3C0C1084">
      <w:pPr>
        <w:spacing w:before="78" w:line="221"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7.1.7</w:t>
      </w:r>
      <w:r>
        <w:rPr>
          <w:rFonts w:ascii="宋体" w:hAnsi="宋体" w:eastAsia="宋体" w:cs="宋体"/>
          <w:b/>
          <w:bCs/>
          <w:spacing w:val="-2"/>
          <w:sz w:val="24"/>
          <w:szCs w:val="24"/>
        </w:rPr>
        <w:t>损益分析结论</w:t>
      </w:r>
    </w:p>
    <w:p w14:paraId="3D7AA54B">
      <w:pPr>
        <w:pStyle w:val="2"/>
        <w:spacing w:line="277" w:lineRule="auto"/>
      </w:pPr>
    </w:p>
    <w:p w14:paraId="3A8F8492">
      <w:pPr>
        <w:spacing w:before="78" w:line="377" w:lineRule="auto"/>
        <w:ind w:left="2" w:firstLine="481"/>
        <w:jc w:val="both"/>
        <w:rPr>
          <w:rFonts w:ascii="宋体" w:hAnsi="宋体" w:eastAsia="宋体" w:cs="宋体"/>
          <w:sz w:val="24"/>
          <w:szCs w:val="24"/>
        </w:rPr>
      </w:pPr>
      <w:r>
        <w:rPr>
          <w:rFonts w:ascii="宋体" w:hAnsi="宋体" w:eastAsia="宋体" w:cs="宋体"/>
          <w:spacing w:val="2"/>
          <w:sz w:val="24"/>
          <w:szCs w:val="24"/>
        </w:rPr>
        <w:t>综上所述，本项目的运营将会产生较大的正面社会效益和经济效益，项目投产</w:t>
      </w:r>
      <w:r>
        <w:rPr>
          <w:rFonts w:ascii="宋体" w:hAnsi="宋体" w:eastAsia="宋体" w:cs="宋体"/>
          <w:spacing w:val="7"/>
          <w:sz w:val="24"/>
          <w:szCs w:val="24"/>
        </w:rPr>
        <w:t xml:space="preserve"> </w:t>
      </w:r>
      <w:r>
        <w:rPr>
          <w:rFonts w:ascii="宋体" w:hAnsi="宋体" w:eastAsia="宋体" w:cs="宋体"/>
          <w:spacing w:val="2"/>
          <w:sz w:val="24"/>
          <w:szCs w:val="24"/>
        </w:rPr>
        <w:t>后虽然对周围的大气、水环境等造成一定的影响，但建设单位只要从各方面着手，</w:t>
      </w:r>
      <w:r>
        <w:rPr>
          <w:rFonts w:ascii="宋体" w:hAnsi="宋体" w:eastAsia="宋体" w:cs="宋体"/>
          <w:spacing w:val="5"/>
          <w:sz w:val="24"/>
          <w:szCs w:val="24"/>
        </w:rPr>
        <w:t xml:space="preserve"> </w:t>
      </w:r>
      <w:r>
        <w:rPr>
          <w:rFonts w:ascii="宋体" w:hAnsi="宋体" w:eastAsia="宋体" w:cs="宋体"/>
          <w:spacing w:val="2"/>
          <w:sz w:val="24"/>
          <w:szCs w:val="24"/>
        </w:rPr>
        <w:t>从源头控制污染物，作好污染防治措施，削减污染物排放量，在达标排放情况下，</w:t>
      </w:r>
      <w:r>
        <w:rPr>
          <w:rFonts w:ascii="宋体" w:hAnsi="宋体" w:eastAsia="宋体" w:cs="宋体"/>
          <w:spacing w:val="5"/>
          <w:sz w:val="24"/>
          <w:szCs w:val="24"/>
        </w:rPr>
        <w:t xml:space="preserve"> </w:t>
      </w:r>
      <w:r>
        <w:rPr>
          <w:rFonts w:ascii="宋体" w:hAnsi="宋体" w:eastAsia="宋体" w:cs="宋体"/>
          <w:sz w:val="24"/>
          <w:szCs w:val="24"/>
        </w:rPr>
        <w:t>本项目对周围环境的影响很小。总的来说，本项目从环</w:t>
      </w:r>
      <w:r>
        <w:rPr>
          <w:rFonts w:ascii="宋体" w:hAnsi="宋体" w:eastAsia="宋体" w:cs="宋体"/>
          <w:spacing w:val="-1"/>
          <w:sz w:val="24"/>
          <w:szCs w:val="24"/>
        </w:rPr>
        <w:t>境经济效益来说是可行的。</w:t>
      </w:r>
    </w:p>
    <w:p w14:paraId="742AEEC9">
      <w:pPr>
        <w:spacing w:before="298" w:line="227" w:lineRule="auto"/>
        <w:ind w:left="2"/>
        <w:outlineLvl w:val="1"/>
        <w:rPr>
          <w:rFonts w:ascii="宋体" w:hAnsi="宋体" w:eastAsia="宋体" w:cs="宋体"/>
          <w:sz w:val="31"/>
          <w:szCs w:val="31"/>
        </w:rPr>
      </w:pPr>
      <w:bookmarkStart w:id="46" w:name="bookmark41"/>
      <w:bookmarkEnd w:id="46"/>
      <w:r>
        <w:rPr>
          <w:rFonts w:ascii="Times New Roman" w:hAnsi="Times New Roman" w:eastAsia="Times New Roman" w:cs="Times New Roman"/>
          <w:b/>
          <w:bCs/>
          <w:spacing w:val="2"/>
          <w:sz w:val="31"/>
          <w:szCs w:val="31"/>
        </w:rPr>
        <w:t>7.2</w:t>
      </w:r>
      <w:r>
        <w:rPr>
          <w:rFonts w:ascii="宋体" w:hAnsi="宋体" w:eastAsia="宋体" w:cs="宋体"/>
          <w:b/>
          <w:bCs/>
          <w:spacing w:val="2"/>
          <w:sz w:val="31"/>
          <w:szCs w:val="31"/>
        </w:rPr>
        <w:t>小结</w:t>
      </w:r>
    </w:p>
    <w:p w14:paraId="53097EF3">
      <w:pPr>
        <w:pStyle w:val="2"/>
        <w:spacing w:line="407" w:lineRule="auto"/>
      </w:pPr>
    </w:p>
    <w:p w14:paraId="41B83EC4">
      <w:pPr>
        <w:spacing w:before="78" w:line="378" w:lineRule="auto"/>
        <w:ind w:firstLine="484"/>
        <w:jc w:val="both"/>
        <w:rPr>
          <w:rFonts w:ascii="宋体" w:hAnsi="宋体" w:eastAsia="宋体" w:cs="宋体"/>
          <w:sz w:val="24"/>
          <w:szCs w:val="24"/>
        </w:rPr>
      </w:pPr>
      <w:r>
        <w:rPr>
          <w:rFonts w:ascii="宋体" w:hAnsi="宋体" w:eastAsia="宋体" w:cs="宋体"/>
          <w:spacing w:val="2"/>
          <w:sz w:val="24"/>
          <w:szCs w:val="24"/>
        </w:rPr>
        <w:t>项目的环境经济分析表明：评价认为本项目的环保投资较为合理，项目实施将</w:t>
      </w:r>
      <w:r>
        <w:rPr>
          <w:rFonts w:ascii="宋体" w:hAnsi="宋体" w:eastAsia="宋体" w:cs="宋体"/>
          <w:spacing w:val="6"/>
          <w:sz w:val="24"/>
          <w:szCs w:val="24"/>
        </w:rPr>
        <w:t xml:space="preserve"> </w:t>
      </w:r>
      <w:r>
        <w:rPr>
          <w:rFonts w:ascii="宋体" w:hAnsi="宋体" w:eastAsia="宋体" w:cs="宋体"/>
          <w:spacing w:val="2"/>
          <w:sz w:val="24"/>
          <w:szCs w:val="24"/>
        </w:rPr>
        <w:t>会有力地带动周边农村种植业、养殖业的发展，促进当地农业产业结构调整，能符</w:t>
      </w:r>
      <w:r>
        <w:rPr>
          <w:rFonts w:ascii="宋体" w:hAnsi="宋体" w:eastAsia="宋体" w:cs="宋体"/>
          <w:spacing w:val="7"/>
          <w:sz w:val="24"/>
          <w:szCs w:val="24"/>
        </w:rPr>
        <w:t xml:space="preserve"> </w:t>
      </w:r>
      <w:r>
        <w:rPr>
          <w:rFonts w:ascii="宋体" w:hAnsi="宋体" w:eastAsia="宋体" w:cs="宋体"/>
          <w:sz w:val="24"/>
          <w:szCs w:val="24"/>
        </w:rPr>
        <w:t>合经济效益与环保效益的要求，满足实现经济与环境协调</w:t>
      </w:r>
      <w:r>
        <w:rPr>
          <w:rFonts w:ascii="宋体" w:hAnsi="宋体" w:eastAsia="宋体" w:cs="宋体"/>
          <w:spacing w:val="-1"/>
          <w:sz w:val="24"/>
          <w:szCs w:val="24"/>
        </w:rPr>
        <w:t>、可持续发展的要求。</w:t>
      </w:r>
    </w:p>
    <w:p w14:paraId="7F4A33B7">
      <w:pPr>
        <w:spacing w:line="378" w:lineRule="auto"/>
        <w:rPr>
          <w:rFonts w:ascii="宋体" w:hAnsi="宋体" w:eastAsia="宋体" w:cs="宋体"/>
          <w:sz w:val="24"/>
          <w:szCs w:val="24"/>
        </w:rPr>
        <w:sectPr>
          <w:footerReference r:id="rId166" w:type="default"/>
          <w:pgSz w:w="11906" w:h="16839"/>
          <w:pgMar w:top="400" w:right="1588" w:bottom="1485" w:left="1596" w:header="0" w:footer="1249" w:gutter="0"/>
          <w:cols w:space="720" w:num="1"/>
        </w:sectPr>
      </w:pPr>
    </w:p>
    <w:p w14:paraId="17BF2760">
      <w:pPr>
        <w:pStyle w:val="2"/>
        <w:spacing w:line="250" w:lineRule="auto"/>
      </w:pPr>
    </w:p>
    <w:p w14:paraId="0E271913">
      <w:pPr>
        <w:pStyle w:val="2"/>
        <w:spacing w:line="250" w:lineRule="auto"/>
      </w:pPr>
    </w:p>
    <w:p w14:paraId="76AC9D3E">
      <w:pPr>
        <w:pStyle w:val="2"/>
        <w:spacing w:line="250" w:lineRule="auto"/>
      </w:pPr>
    </w:p>
    <w:p w14:paraId="02E835EF">
      <w:pPr>
        <w:pStyle w:val="2"/>
        <w:spacing w:line="250" w:lineRule="auto"/>
      </w:pPr>
    </w:p>
    <w:p w14:paraId="3BF6F8D7">
      <w:pPr>
        <w:spacing w:before="140" w:line="637" w:lineRule="exact"/>
        <w:ind w:left="2281"/>
        <w:outlineLvl w:val="0"/>
        <w:rPr>
          <w:rFonts w:ascii="黑体" w:hAnsi="黑体" w:eastAsia="黑体" w:cs="黑体"/>
          <w:sz w:val="43"/>
          <w:szCs w:val="43"/>
        </w:rPr>
      </w:pPr>
      <w:bookmarkStart w:id="47" w:name="bookmark42"/>
      <w:bookmarkEnd w:id="47"/>
      <w:r>
        <w:rPr>
          <w:rFonts w:ascii="Calibri" w:hAnsi="Calibri" w:eastAsia="Calibri" w:cs="Calibri"/>
          <w:spacing w:val="7"/>
          <w:position w:val="4"/>
          <w:sz w:val="43"/>
          <w:szCs w:val="43"/>
        </w:rPr>
        <w:t>8</w:t>
      </w:r>
      <w:r>
        <w:rPr>
          <w:rFonts w:ascii="黑体" w:hAnsi="黑体" w:eastAsia="黑体" w:cs="黑体"/>
          <w:spacing w:val="7"/>
          <w:position w:val="4"/>
          <w:sz w:val="43"/>
          <w:szCs w:val="43"/>
        </w:rPr>
        <w:t>环境管理与监测计划</w:t>
      </w:r>
    </w:p>
    <w:p w14:paraId="60D04143">
      <w:pPr>
        <w:pStyle w:val="2"/>
        <w:spacing w:line="394" w:lineRule="auto"/>
      </w:pPr>
    </w:p>
    <w:p w14:paraId="5531FFDA">
      <w:pPr>
        <w:spacing w:before="78" w:line="376" w:lineRule="auto"/>
        <w:ind w:left="24" w:right="81" w:firstLine="456"/>
        <w:jc w:val="both"/>
        <w:rPr>
          <w:rFonts w:ascii="宋体" w:hAnsi="宋体" w:eastAsia="宋体" w:cs="宋体"/>
          <w:sz w:val="24"/>
          <w:szCs w:val="24"/>
        </w:rPr>
      </w:pPr>
      <w:r>
        <w:rPr>
          <w:rFonts w:ascii="宋体" w:hAnsi="宋体" w:eastAsia="宋体" w:cs="宋体"/>
          <w:spacing w:val="2"/>
          <w:sz w:val="24"/>
          <w:szCs w:val="24"/>
        </w:rPr>
        <w:t>环境管理和监测计划是以防止工程建设对环境造成污染为主要目的，按建设项</w:t>
      </w:r>
      <w:r>
        <w:rPr>
          <w:rFonts w:ascii="宋体" w:hAnsi="宋体" w:eastAsia="宋体" w:cs="宋体"/>
          <w:spacing w:val="10"/>
          <w:sz w:val="24"/>
          <w:szCs w:val="24"/>
        </w:rPr>
        <w:t xml:space="preserve"> </w:t>
      </w:r>
      <w:r>
        <w:rPr>
          <w:rFonts w:ascii="宋体" w:hAnsi="宋体" w:eastAsia="宋体" w:cs="宋体"/>
          <w:spacing w:val="1"/>
          <w:sz w:val="24"/>
          <w:szCs w:val="24"/>
        </w:rPr>
        <w:t>目建设阶段、生产运营和服务期满后（可根据项目情况选择）等不同阶段，针对不</w:t>
      </w:r>
      <w:r>
        <w:rPr>
          <w:rFonts w:ascii="宋体" w:hAnsi="宋体" w:eastAsia="宋体" w:cs="宋体"/>
          <w:spacing w:val="18"/>
          <w:sz w:val="24"/>
          <w:szCs w:val="24"/>
        </w:rPr>
        <w:t xml:space="preserve"> </w:t>
      </w:r>
      <w:r>
        <w:rPr>
          <w:rFonts w:ascii="宋体" w:hAnsi="宋体" w:eastAsia="宋体" w:cs="宋体"/>
          <w:spacing w:val="-1"/>
          <w:sz w:val="24"/>
          <w:szCs w:val="24"/>
        </w:rPr>
        <w:t>同工况、不同环境影响和环境风险特征，提出具体环境</w:t>
      </w:r>
      <w:r>
        <w:rPr>
          <w:rFonts w:ascii="宋体" w:hAnsi="宋体" w:eastAsia="宋体" w:cs="宋体"/>
          <w:spacing w:val="-2"/>
          <w:sz w:val="24"/>
          <w:szCs w:val="24"/>
        </w:rPr>
        <w:t>管理要求。</w:t>
      </w:r>
    </w:p>
    <w:p w14:paraId="588D33D1">
      <w:pPr>
        <w:spacing w:before="7" w:line="376" w:lineRule="auto"/>
        <w:ind w:right="81" w:firstLine="480"/>
        <w:rPr>
          <w:rFonts w:ascii="宋体" w:hAnsi="宋体" w:eastAsia="宋体" w:cs="宋体"/>
          <w:sz w:val="24"/>
          <w:szCs w:val="24"/>
        </w:rPr>
      </w:pPr>
      <w:r>
        <w:rPr>
          <w:rFonts w:ascii="宋体" w:hAnsi="宋体" w:eastAsia="宋体" w:cs="宋体"/>
          <w:spacing w:val="2"/>
          <w:sz w:val="24"/>
          <w:szCs w:val="24"/>
        </w:rPr>
        <w:t>环境管理应给出污染物排放清单，明确污染物排放的管理要求。包括工程组成</w:t>
      </w:r>
      <w:r>
        <w:rPr>
          <w:rFonts w:ascii="宋体" w:hAnsi="宋体" w:eastAsia="宋体" w:cs="宋体"/>
          <w:spacing w:val="10"/>
          <w:sz w:val="24"/>
          <w:szCs w:val="24"/>
        </w:rPr>
        <w:t xml:space="preserve"> </w:t>
      </w:r>
      <w:r>
        <w:rPr>
          <w:rFonts w:ascii="宋体" w:hAnsi="宋体" w:eastAsia="宋体" w:cs="宋体"/>
          <w:spacing w:val="2"/>
          <w:sz w:val="24"/>
          <w:szCs w:val="24"/>
        </w:rPr>
        <w:t>及原辅材料组分要求，建设项目拟采取的环境保护措施及主要运行参数，排放的污</w:t>
      </w:r>
      <w:r>
        <w:rPr>
          <w:rFonts w:ascii="宋体" w:hAnsi="宋体" w:eastAsia="宋体" w:cs="宋体"/>
          <w:spacing w:val="7"/>
          <w:sz w:val="24"/>
          <w:szCs w:val="24"/>
        </w:rPr>
        <w:t xml:space="preserve"> </w:t>
      </w:r>
      <w:r>
        <w:rPr>
          <w:rFonts w:ascii="宋体" w:hAnsi="宋体" w:eastAsia="宋体" w:cs="宋体"/>
          <w:spacing w:val="2"/>
          <w:sz w:val="24"/>
          <w:szCs w:val="24"/>
        </w:rPr>
        <w:t>染物种类、排放浓度和总量指标，污染物排放的分时段要求，排污口信息、执行的</w:t>
      </w:r>
      <w:r>
        <w:rPr>
          <w:rFonts w:ascii="宋体" w:hAnsi="宋体" w:eastAsia="宋体" w:cs="宋体"/>
          <w:spacing w:val="7"/>
          <w:sz w:val="24"/>
          <w:szCs w:val="24"/>
        </w:rPr>
        <w:t xml:space="preserve"> </w:t>
      </w:r>
      <w:r>
        <w:rPr>
          <w:rFonts w:ascii="宋体" w:hAnsi="宋体" w:eastAsia="宋体" w:cs="宋体"/>
          <w:spacing w:val="2"/>
          <w:sz w:val="24"/>
          <w:szCs w:val="24"/>
        </w:rPr>
        <w:t>环境标准，环境风险防范措施以及环境监测等，并提出应向社会公开的信息内容。</w:t>
      </w:r>
      <w:r>
        <w:rPr>
          <w:rFonts w:ascii="宋体" w:hAnsi="宋体" w:eastAsia="宋体" w:cs="宋体"/>
          <w:spacing w:val="7"/>
          <w:sz w:val="24"/>
          <w:szCs w:val="24"/>
        </w:rPr>
        <w:t xml:space="preserve"> </w:t>
      </w:r>
      <w:r>
        <w:rPr>
          <w:rFonts w:ascii="宋体" w:hAnsi="宋体" w:eastAsia="宋体" w:cs="宋体"/>
          <w:spacing w:val="2"/>
          <w:sz w:val="24"/>
          <w:szCs w:val="24"/>
        </w:rPr>
        <w:t>提出建立日常的环境管理制度、组织机构和环境管理台账相关要求，明确各项环境</w:t>
      </w:r>
      <w:r>
        <w:rPr>
          <w:rFonts w:ascii="宋体" w:hAnsi="宋体" w:eastAsia="宋体" w:cs="宋体"/>
          <w:spacing w:val="7"/>
          <w:sz w:val="24"/>
          <w:szCs w:val="24"/>
        </w:rPr>
        <w:t xml:space="preserve"> </w:t>
      </w:r>
      <w:r>
        <w:rPr>
          <w:rFonts w:ascii="宋体" w:hAnsi="宋体" w:eastAsia="宋体" w:cs="宋体"/>
          <w:spacing w:val="-1"/>
          <w:sz w:val="24"/>
          <w:szCs w:val="24"/>
        </w:rPr>
        <w:t>保护设施和措施的建设、运行及维护费用的保障计划。</w:t>
      </w:r>
    </w:p>
    <w:p w14:paraId="15173EFF">
      <w:pPr>
        <w:spacing w:before="297" w:line="225" w:lineRule="auto"/>
        <w:ind w:left="2"/>
        <w:outlineLvl w:val="1"/>
        <w:rPr>
          <w:rFonts w:ascii="宋体" w:hAnsi="宋体" w:eastAsia="宋体" w:cs="宋体"/>
          <w:sz w:val="31"/>
          <w:szCs w:val="31"/>
        </w:rPr>
      </w:pPr>
      <w:bookmarkStart w:id="48" w:name="bookmark43"/>
      <w:bookmarkEnd w:id="48"/>
      <w:r>
        <w:rPr>
          <w:rFonts w:ascii="Times New Roman" w:hAnsi="Times New Roman" w:eastAsia="Times New Roman" w:cs="Times New Roman"/>
          <w:b/>
          <w:bCs/>
          <w:spacing w:val="4"/>
          <w:sz w:val="31"/>
          <w:szCs w:val="31"/>
        </w:rPr>
        <w:t>8.1</w:t>
      </w:r>
      <w:r>
        <w:rPr>
          <w:rFonts w:ascii="宋体" w:hAnsi="宋体" w:eastAsia="宋体" w:cs="宋体"/>
          <w:b/>
          <w:bCs/>
          <w:spacing w:val="4"/>
          <w:sz w:val="31"/>
          <w:szCs w:val="31"/>
        </w:rPr>
        <w:t>环境管理</w:t>
      </w:r>
    </w:p>
    <w:p w14:paraId="12102473">
      <w:pPr>
        <w:pStyle w:val="2"/>
        <w:spacing w:line="448" w:lineRule="auto"/>
      </w:pPr>
    </w:p>
    <w:p w14:paraId="7D17AE61">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8.1.1</w:t>
      </w:r>
      <w:r>
        <w:rPr>
          <w:rFonts w:ascii="宋体" w:hAnsi="宋体" w:eastAsia="宋体" w:cs="宋体"/>
          <w:b/>
          <w:bCs/>
          <w:spacing w:val="-2"/>
          <w:sz w:val="24"/>
          <w:szCs w:val="24"/>
        </w:rPr>
        <w:t>环境管理的基本任务</w:t>
      </w:r>
    </w:p>
    <w:p w14:paraId="47555A7C">
      <w:pPr>
        <w:pStyle w:val="2"/>
        <w:spacing w:line="279" w:lineRule="auto"/>
      </w:pPr>
    </w:p>
    <w:p w14:paraId="630780A7">
      <w:pPr>
        <w:spacing w:before="79" w:line="376" w:lineRule="auto"/>
        <w:ind w:left="1" w:right="81" w:firstLine="478"/>
        <w:rPr>
          <w:rFonts w:ascii="宋体" w:hAnsi="宋体" w:eastAsia="宋体" w:cs="宋体"/>
          <w:sz w:val="24"/>
          <w:szCs w:val="24"/>
        </w:rPr>
      </w:pPr>
      <w:r>
        <w:rPr>
          <w:rFonts w:ascii="宋体" w:hAnsi="宋体" w:eastAsia="宋体" w:cs="宋体"/>
          <w:spacing w:val="2"/>
          <w:sz w:val="24"/>
          <w:szCs w:val="24"/>
        </w:rPr>
        <w:t>对于项目来说，环境管理的基本任务是：控制污染物排放量，避免污染物对环</w:t>
      </w:r>
      <w:r>
        <w:rPr>
          <w:rFonts w:ascii="宋体" w:hAnsi="宋体" w:eastAsia="宋体" w:cs="宋体"/>
          <w:spacing w:val="11"/>
          <w:sz w:val="24"/>
          <w:szCs w:val="24"/>
        </w:rPr>
        <w:t xml:space="preserve"> </w:t>
      </w:r>
      <w:r>
        <w:rPr>
          <w:rFonts w:ascii="宋体" w:hAnsi="宋体" w:eastAsia="宋体" w:cs="宋体"/>
          <w:spacing w:val="-2"/>
          <w:sz w:val="24"/>
          <w:szCs w:val="24"/>
        </w:rPr>
        <w:t>境质量的损害。</w:t>
      </w:r>
    </w:p>
    <w:p w14:paraId="37171173">
      <w:pPr>
        <w:spacing w:before="4" w:line="375" w:lineRule="auto"/>
        <w:ind w:left="1" w:right="121" w:firstLine="481"/>
        <w:jc w:val="both"/>
        <w:rPr>
          <w:rFonts w:ascii="宋体" w:hAnsi="宋体" w:eastAsia="宋体" w:cs="宋体"/>
          <w:sz w:val="24"/>
          <w:szCs w:val="24"/>
        </w:rPr>
      </w:pPr>
      <w:r>
        <w:rPr>
          <w:rFonts w:ascii="宋体" w:hAnsi="宋体" w:eastAsia="宋体" w:cs="宋体"/>
          <w:spacing w:val="1"/>
          <w:sz w:val="24"/>
          <w:szCs w:val="24"/>
        </w:rPr>
        <w:t xml:space="preserve">为了控制污染物的排放，就需要加强计划、生产、技术、质量、设备、劳动、 财务等方面的管理，把环境管理渗透到整个企业管理中，将环境管理融合在一起， </w:t>
      </w:r>
      <w:r>
        <w:rPr>
          <w:rFonts w:ascii="宋体" w:hAnsi="宋体" w:eastAsia="宋体" w:cs="宋体"/>
          <w:spacing w:val="-1"/>
          <w:sz w:val="24"/>
          <w:szCs w:val="24"/>
        </w:rPr>
        <w:t>以减少从生产过程中各环节排出的污染物。</w:t>
      </w:r>
    </w:p>
    <w:p w14:paraId="08A04E13">
      <w:pPr>
        <w:spacing w:before="3" w:line="377" w:lineRule="auto"/>
        <w:ind w:left="1" w:right="81" w:firstLine="482"/>
        <w:jc w:val="both"/>
        <w:rPr>
          <w:rFonts w:ascii="宋体" w:hAnsi="宋体" w:eastAsia="宋体" w:cs="宋体"/>
          <w:sz w:val="24"/>
          <w:szCs w:val="24"/>
        </w:rPr>
      </w:pPr>
      <w:r>
        <w:rPr>
          <w:rFonts w:ascii="宋体" w:hAnsi="宋体" w:eastAsia="宋体" w:cs="宋体"/>
          <w:spacing w:val="2"/>
          <w:sz w:val="24"/>
          <w:szCs w:val="24"/>
        </w:rPr>
        <w:t>项目应该将环境管理作为工业企业管理的重要组成部分，建立环境污染管理系</w:t>
      </w:r>
      <w:r>
        <w:rPr>
          <w:rFonts w:ascii="宋体" w:hAnsi="宋体" w:eastAsia="宋体" w:cs="宋体"/>
          <w:spacing w:val="6"/>
          <w:sz w:val="24"/>
          <w:szCs w:val="24"/>
        </w:rPr>
        <w:t xml:space="preserve"> </w:t>
      </w:r>
      <w:r>
        <w:rPr>
          <w:rFonts w:ascii="宋体" w:hAnsi="宋体" w:eastAsia="宋体" w:cs="宋体"/>
          <w:spacing w:val="2"/>
          <w:sz w:val="24"/>
          <w:szCs w:val="24"/>
        </w:rPr>
        <w:t>统、制度、环境规划、协调发展生产保护环境的关系，使生产管理系统、制度、环</w:t>
      </w:r>
      <w:r>
        <w:rPr>
          <w:rFonts w:ascii="宋体" w:hAnsi="宋体" w:eastAsia="宋体" w:cs="宋体"/>
          <w:spacing w:val="5"/>
          <w:sz w:val="24"/>
          <w:szCs w:val="24"/>
        </w:rPr>
        <w:t xml:space="preserve"> </w:t>
      </w:r>
      <w:r>
        <w:rPr>
          <w:rFonts w:ascii="宋体" w:hAnsi="宋体" w:eastAsia="宋体" w:cs="宋体"/>
          <w:spacing w:val="2"/>
          <w:sz w:val="24"/>
          <w:szCs w:val="24"/>
        </w:rPr>
        <w:t>境污染规划协调生产与保护环境的关系，使生产目标与环境目标统一起来，经济效</w:t>
      </w:r>
      <w:r>
        <w:rPr>
          <w:rFonts w:ascii="宋体" w:hAnsi="宋体" w:eastAsia="宋体" w:cs="宋体"/>
          <w:spacing w:val="5"/>
          <w:sz w:val="24"/>
          <w:szCs w:val="24"/>
        </w:rPr>
        <w:t xml:space="preserve"> </w:t>
      </w:r>
      <w:r>
        <w:rPr>
          <w:rFonts w:ascii="宋体" w:hAnsi="宋体" w:eastAsia="宋体" w:cs="宋体"/>
          <w:spacing w:val="-1"/>
          <w:sz w:val="24"/>
          <w:szCs w:val="24"/>
        </w:rPr>
        <w:t>益与环境效益统一起来。</w:t>
      </w:r>
    </w:p>
    <w:p w14:paraId="7CEAC3E3">
      <w:pPr>
        <w:spacing w:before="290"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8.1.2</w:t>
      </w:r>
      <w:r>
        <w:rPr>
          <w:rFonts w:ascii="宋体" w:hAnsi="宋体" w:eastAsia="宋体" w:cs="宋体"/>
          <w:b/>
          <w:bCs/>
          <w:spacing w:val="-2"/>
          <w:sz w:val="24"/>
          <w:szCs w:val="24"/>
        </w:rPr>
        <w:t>环境管理机构</w:t>
      </w:r>
    </w:p>
    <w:p w14:paraId="008EE3A7">
      <w:pPr>
        <w:pStyle w:val="2"/>
        <w:spacing w:line="282" w:lineRule="auto"/>
      </w:pPr>
    </w:p>
    <w:p w14:paraId="404E607C">
      <w:pPr>
        <w:spacing w:before="79" w:line="377" w:lineRule="auto"/>
        <w:ind w:left="19" w:firstLine="461"/>
        <w:rPr>
          <w:rFonts w:ascii="宋体" w:hAnsi="宋体" w:eastAsia="宋体" w:cs="宋体"/>
          <w:sz w:val="24"/>
          <w:szCs w:val="24"/>
        </w:rPr>
      </w:pPr>
      <w:r>
        <w:rPr>
          <w:rFonts w:ascii="宋体" w:hAnsi="宋体" w:eastAsia="宋体" w:cs="宋体"/>
          <w:spacing w:val="-2"/>
          <w:sz w:val="24"/>
          <w:szCs w:val="24"/>
        </w:rPr>
        <w:t>环境污染问题是由自然、社会、经济和技术等多种因素</w:t>
      </w:r>
      <w:r>
        <w:rPr>
          <w:rFonts w:ascii="宋体" w:hAnsi="宋体" w:eastAsia="宋体" w:cs="宋体"/>
          <w:spacing w:val="-3"/>
          <w:sz w:val="24"/>
          <w:szCs w:val="24"/>
        </w:rPr>
        <w:t>引起的，情况十分复杂。</w:t>
      </w:r>
      <w:r>
        <w:rPr>
          <w:rFonts w:ascii="宋体" w:hAnsi="宋体" w:eastAsia="宋体" w:cs="宋体"/>
          <w:sz w:val="24"/>
          <w:szCs w:val="24"/>
        </w:rPr>
        <w:t xml:space="preserve"> </w:t>
      </w:r>
      <w:r>
        <w:rPr>
          <w:rFonts w:ascii="宋体" w:hAnsi="宋体" w:eastAsia="宋体" w:cs="宋体"/>
          <w:spacing w:val="-3"/>
          <w:sz w:val="24"/>
          <w:szCs w:val="24"/>
        </w:rPr>
        <w:t>因此必须对损害和破坏环境的活动施加影响，以达到控制、保护和改善环境的目的。</w:t>
      </w:r>
    </w:p>
    <w:p w14:paraId="47724A19">
      <w:pPr>
        <w:spacing w:line="377" w:lineRule="auto"/>
        <w:rPr>
          <w:rFonts w:ascii="宋体" w:hAnsi="宋体" w:eastAsia="宋体" w:cs="宋体"/>
          <w:sz w:val="24"/>
          <w:szCs w:val="24"/>
        </w:rPr>
        <w:sectPr>
          <w:footerReference r:id="rId167" w:type="default"/>
          <w:pgSz w:w="11906" w:h="16839"/>
          <w:pgMar w:top="400" w:right="1507" w:bottom="1485" w:left="1597" w:header="0" w:footer="1249" w:gutter="0"/>
          <w:cols w:space="720" w:num="1"/>
        </w:sectPr>
      </w:pPr>
    </w:p>
    <w:p w14:paraId="3AC492FF">
      <w:pPr>
        <w:pStyle w:val="2"/>
        <w:spacing w:line="264" w:lineRule="auto"/>
      </w:pPr>
    </w:p>
    <w:p w14:paraId="0719772C">
      <w:pPr>
        <w:pStyle w:val="2"/>
        <w:spacing w:line="264" w:lineRule="auto"/>
      </w:pPr>
    </w:p>
    <w:p w14:paraId="5FA70A4E">
      <w:pPr>
        <w:pStyle w:val="2"/>
        <w:spacing w:line="264" w:lineRule="auto"/>
      </w:pPr>
    </w:p>
    <w:p w14:paraId="22C51ECB">
      <w:pPr>
        <w:pStyle w:val="2"/>
        <w:spacing w:line="264" w:lineRule="auto"/>
      </w:pPr>
    </w:p>
    <w:p w14:paraId="5457BD08">
      <w:pPr>
        <w:spacing w:before="78" w:line="377" w:lineRule="auto"/>
        <w:ind w:right="2"/>
        <w:rPr>
          <w:rFonts w:ascii="宋体" w:hAnsi="宋体" w:eastAsia="宋体" w:cs="宋体"/>
          <w:sz w:val="24"/>
          <w:szCs w:val="24"/>
        </w:rPr>
      </w:pPr>
      <w:r>
        <w:rPr>
          <w:rFonts w:ascii="宋体" w:hAnsi="宋体" w:eastAsia="宋体" w:cs="宋体"/>
          <w:spacing w:val="1"/>
          <w:sz w:val="24"/>
          <w:szCs w:val="24"/>
        </w:rPr>
        <w:t>要达到这个目的，则需要在环境容量允许的前提下，本着“</w:t>
      </w:r>
      <w:r>
        <w:rPr>
          <w:rFonts w:ascii="宋体" w:hAnsi="宋体" w:eastAsia="宋体" w:cs="宋体"/>
          <w:spacing w:val="-79"/>
          <w:sz w:val="24"/>
          <w:szCs w:val="24"/>
        </w:rPr>
        <w:t xml:space="preserve"> </w:t>
      </w:r>
      <w:r>
        <w:rPr>
          <w:rFonts w:ascii="宋体" w:hAnsi="宋体" w:eastAsia="宋体" w:cs="宋体"/>
          <w:spacing w:val="1"/>
          <w:sz w:val="24"/>
          <w:szCs w:val="24"/>
        </w:rPr>
        <w:t>以防为主、综合治理、</w:t>
      </w:r>
      <w:r>
        <w:rPr>
          <w:rFonts w:ascii="宋体" w:hAnsi="宋体" w:eastAsia="宋体" w:cs="宋体"/>
          <w:sz w:val="24"/>
          <w:szCs w:val="24"/>
        </w:rPr>
        <w:t xml:space="preserve"> </w:t>
      </w:r>
      <w:r>
        <w:rPr>
          <w:rFonts w:ascii="宋体" w:hAnsi="宋体" w:eastAsia="宋体" w:cs="宋体"/>
          <w:spacing w:val="1"/>
          <w:sz w:val="24"/>
          <w:szCs w:val="24"/>
        </w:rPr>
        <w:t>以管促治、管治结合</w:t>
      </w:r>
      <w:r>
        <w:rPr>
          <w:rFonts w:ascii="宋体" w:hAnsi="宋体" w:eastAsia="宋体" w:cs="宋体"/>
          <w:spacing w:val="-78"/>
          <w:sz w:val="24"/>
          <w:szCs w:val="24"/>
        </w:rPr>
        <w:t xml:space="preserve"> </w:t>
      </w:r>
      <w:r>
        <w:rPr>
          <w:rFonts w:ascii="宋体" w:hAnsi="宋体" w:eastAsia="宋体" w:cs="宋体"/>
          <w:spacing w:val="1"/>
          <w:sz w:val="24"/>
          <w:szCs w:val="24"/>
        </w:rPr>
        <w:t>”的原则，以环境科学的理论为基础，用技术的、经济的、教</w:t>
      </w:r>
      <w:r>
        <w:rPr>
          <w:rFonts w:ascii="宋体" w:hAnsi="宋体" w:eastAsia="宋体" w:cs="宋体"/>
          <w:sz w:val="24"/>
          <w:szCs w:val="24"/>
        </w:rPr>
        <w:t xml:space="preserve"> </w:t>
      </w:r>
      <w:r>
        <w:rPr>
          <w:rFonts w:ascii="宋体" w:hAnsi="宋体" w:eastAsia="宋体" w:cs="宋体"/>
          <w:spacing w:val="2"/>
          <w:sz w:val="24"/>
          <w:szCs w:val="24"/>
        </w:rPr>
        <w:t>育的和行政的手段，对项目经营活动进行科学管理，协调社会经济发展和保护环境</w:t>
      </w:r>
      <w:r>
        <w:rPr>
          <w:rFonts w:ascii="宋体" w:hAnsi="宋体" w:eastAsia="宋体" w:cs="宋体"/>
          <w:spacing w:val="6"/>
          <w:sz w:val="24"/>
          <w:szCs w:val="24"/>
        </w:rPr>
        <w:t xml:space="preserve"> </w:t>
      </w:r>
      <w:r>
        <w:rPr>
          <w:rFonts w:ascii="宋体" w:hAnsi="宋体" w:eastAsia="宋体" w:cs="宋体"/>
          <w:spacing w:val="2"/>
          <w:sz w:val="24"/>
          <w:szCs w:val="24"/>
        </w:rPr>
        <w:t>的关系，使人们具有一个良好的生活、工作环境，从而达到经济效益、社会效益和</w:t>
      </w:r>
      <w:r>
        <w:rPr>
          <w:rFonts w:ascii="宋体" w:hAnsi="宋体" w:eastAsia="宋体" w:cs="宋体"/>
          <w:spacing w:val="6"/>
          <w:sz w:val="24"/>
          <w:szCs w:val="24"/>
        </w:rPr>
        <w:t xml:space="preserve"> </w:t>
      </w:r>
      <w:r>
        <w:rPr>
          <w:rFonts w:ascii="宋体" w:hAnsi="宋体" w:eastAsia="宋体" w:cs="宋体"/>
          <w:spacing w:val="2"/>
          <w:sz w:val="24"/>
          <w:szCs w:val="24"/>
        </w:rPr>
        <w:t>环境效益的三统一。项目建成后，建设单位配备专(兼)职环保人员数名，负责环境</w:t>
      </w:r>
      <w:r>
        <w:rPr>
          <w:rFonts w:ascii="宋体" w:hAnsi="宋体" w:eastAsia="宋体" w:cs="宋体"/>
          <w:spacing w:val="1"/>
          <w:sz w:val="24"/>
          <w:szCs w:val="24"/>
        </w:rPr>
        <w:t xml:space="preserve"> </w:t>
      </w:r>
      <w:r>
        <w:rPr>
          <w:rFonts w:ascii="宋体" w:hAnsi="宋体" w:eastAsia="宋体" w:cs="宋体"/>
          <w:spacing w:val="2"/>
          <w:sz w:val="24"/>
          <w:szCs w:val="24"/>
        </w:rPr>
        <w:t>监督管理工作，管理机构附属于生产部或工程部。负责对公司的环境保护进行全面</w:t>
      </w:r>
      <w:r>
        <w:rPr>
          <w:rFonts w:ascii="宋体" w:hAnsi="宋体" w:eastAsia="宋体" w:cs="宋体"/>
          <w:spacing w:val="6"/>
          <w:sz w:val="24"/>
          <w:szCs w:val="24"/>
        </w:rPr>
        <w:t xml:space="preserve"> </w:t>
      </w:r>
      <w:r>
        <w:rPr>
          <w:rFonts w:ascii="宋体" w:hAnsi="宋体" w:eastAsia="宋体" w:cs="宋体"/>
          <w:spacing w:val="-1"/>
          <w:sz w:val="24"/>
          <w:szCs w:val="24"/>
        </w:rPr>
        <w:t>管理，特别是对各污染源的控制与环保设施进行监督检查。</w:t>
      </w:r>
    </w:p>
    <w:p w14:paraId="62AD629C">
      <w:pPr>
        <w:spacing w:before="293"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8.1.3</w:t>
      </w:r>
      <w:r>
        <w:rPr>
          <w:rFonts w:ascii="宋体" w:hAnsi="宋体" w:eastAsia="宋体" w:cs="宋体"/>
          <w:b/>
          <w:bCs/>
          <w:spacing w:val="-2"/>
          <w:sz w:val="24"/>
          <w:szCs w:val="24"/>
        </w:rPr>
        <w:t>环境保护管理机构的职责</w:t>
      </w:r>
    </w:p>
    <w:p w14:paraId="400E7F69">
      <w:pPr>
        <w:pStyle w:val="2"/>
        <w:spacing w:line="243" w:lineRule="auto"/>
      </w:pPr>
    </w:p>
    <w:p w14:paraId="0928B962">
      <w:pPr>
        <w:spacing w:before="78" w:line="312" w:lineRule="auto"/>
        <w:ind w:left="3" w:right="2" w:firstLine="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）环境管理部门除负责公司内有关环保工作外，还应接受环境保护行政主管</w:t>
      </w:r>
      <w:r>
        <w:rPr>
          <w:rFonts w:ascii="宋体" w:hAnsi="宋体" w:eastAsia="宋体" w:cs="宋体"/>
          <w:spacing w:val="16"/>
          <w:sz w:val="24"/>
          <w:szCs w:val="24"/>
        </w:rPr>
        <w:t xml:space="preserve"> </w:t>
      </w:r>
      <w:r>
        <w:rPr>
          <w:rFonts w:ascii="宋体" w:hAnsi="宋体" w:eastAsia="宋体" w:cs="宋体"/>
          <w:spacing w:val="-2"/>
          <w:sz w:val="24"/>
          <w:szCs w:val="24"/>
        </w:rPr>
        <w:t>部门的领导检查与监督；</w:t>
      </w:r>
    </w:p>
    <w:p w14:paraId="503EFF91">
      <w:pPr>
        <w:spacing w:before="168" w:line="360"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）贯彻执行各项环保法规和各项标准；</w:t>
      </w:r>
    </w:p>
    <w:p w14:paraId="73952D34">
      <w:pPr>
        <w:spacing w:before="126" w:line="360" w:lineRule="exact"/>
        <w:ind w:left="492"/>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3</w:t>
      </w:r>
      <w:r>
        <w:rPr>
          <w:rFonts w:ascii="宋体" w:hAnsi="宋体" w:eastAsia="宋体" w:cs="宋体"/>
          <w:spacing w:val="-1"/>
          <w:position w:val="2"/>
          <w:sz w:val="24"/>
          <w:szCs w:val="24"/>
        </w:rPr>
        <w:t>）组织制定和修改企业的环境污染保护管理体制规章制度，并监督执行；</w:t>
      </w:r>
    </w:p>
    <w:p w14:paraId="06A3C0E2">
      <w:pPr>
        <w:spacing w:before="130" w:line="360"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4</w:t>
      </w:r>
      <w:r>
        <w:rPr>
          <w:rFonts w:ascii="宋体" w:hAnsi="宋体" w:eastAsia="宋体" w:cs="宋体"/>
          <w:spacing w:val="-2"/>
          <w:position w:val="2"/>
          <w:sz w:val="24"/>
          <w:szCs w:val="24"/>
        </w:rPr>
        <w:t>）制定并组织实施环境保护规划和标准；</w:t>
      </w:r>
    </w:p>
    <w:p w14:paraId="4608D62A">
      <w:pPr>
        <w:spacing w:before="164" w:line="220"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）检查企业环境保护规划和计划；</w:t>
      </w:r>
    </w:p>
    <w:p w14:paraId="4533A2E3">
      <w:pPr>
        <w:spacing w:before="168" w:line="361" w:lineRule="exact"/>
        <w:ind w:left="492"/>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6</w:t>
      </w:r>
      <w:r>
        <w:rPr>
          <w:rFonts w:ascii="宋体" w:hAnsi="宋体" w:eastAsia="宋体" w:cs="宋体"/>
          <w:spacing w:val="-1"/>
          <w:position w:val="2"/>
          <w:sz w:val="24"/>
          <w:szCs w:val="24"/>
        </w:rPr>
        <w:t>）建立资料库，管理污染源监测数据及资料的收集与存档；</w:t>
      </w:r>
    </w:p>
    <w:p w14:paraId="747B812F">
      <w:pPr>
        <w:spacing w:before="164" w:line="298" w:lineRule="auto"/>
        <w:ind w:right="2"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）加强对污染防治设施的监督管理，安排专人负责设施的具体运作，确保设</w:t>
      </w:r>
      <w:r>
        <w:rPr>
          <w:rFonts w:ascii="宋体" w:hAnsi="宋体" w:eastAsia="宋体" w:cs="宋体"/>
          <w:spacing w:val="16"/>
          <w:sz w:val="24"/>
          <w:szCs w:val="24"/>
        </w:rPr>
        <w:t xml:space="preserve"> </w:t>
      </w:r>
      <w:r>
        <w:rPr>
          <w:rFonts w:ascii="宋体" w:hAnsi="宋体" w:eastAsia="宋体" w:cs="宋体"/>
          <w:spacing w:val="-1"/>
          <w:sz w:val="24"/>
          <w:szCs w:val="24"/>
        </w:rPr>
        <w:t>施正常运行，保证污染物达标排放；</w:t>
      </w:r>
    </w:p>
    <w:p w14:paraId="4F44AC58">
      <w:pPr>
        <w:spacing w:before="167" w:line="312" w:lineRule="auto"/>
        <w:ind w:left="3" w:right="2" w:firstLine="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）防范风险事故发生，协助环境保护行政主管部门、企业内的应急反应中心</w:t>
      </w:r>
      <w:r>
        <w:rPr>
          <w:rFonts w:ascii="宋体" w:hAnsi="宋体" w:eastAsia="宋体" w:cs="宋体"/>
          <w:spacing w:val="16"/>
          <w:sz w:val="24"/>
          <w:szCs w:val="24"/>
        </w:rPr>
        <w:t xml:space="preserve"> </w:t>
      </w:r>
      <w:r>
        <w:rPr>
          <w:rFonts w:ascii="宋体" w:hAnsi="宋体" w:eastAsia="宋体" w:cs="宋体"/>
          <w:spacing w:val="-1"/>
          <w:sz w:val="24"/>
          <w:szCs w:val="24"/>
        </w:rPr>
        <w:t>或生产安全部门处理各种事故；</w:t>
      </w:r>
    </w:p>
    <w:p w14:paraId="06B463B9">
      <w:pPr>
        <w:spacing w:before="164" w:line="312" w:lineRule="auto"/>
        <w:ind w:right="2" w:firstLine="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9</w:t>
      </w:r>
      <w:r>
        <w:rPr>
          <w:rFonts w:ascii="宋体" w:hAnsi="宋体" w:eastAsia="宋体" w:cs="宋体"/>
          <w:spacing w:val="-2"/>
          <w:sz w:val="24"/>
          <w:szCs w:val="24"/>
        </w:rPr>
        <w:t>）开展环保知识教育，组织开展本企业的环保技术培训，提高员工的素质水</w:t>
      </w:r>
      <w:r>
        <w:rPr>
          <w:rFonts w:ascii="宋体" w:hAnsi="宋体" w:eastAsia="宋体" w:cs="宋体"/>
          <w:spacing w:val="16"/>
          <w:sz w:val="24"/>
          <w:szCs w:val="24"/>
        </w:rPr>
        <w:t xml:space="preserve"> </w:t>
      </w:r>
      <w:r>
        <w:rPr>
          <w:rFonts w:ascii="宋体" w:hAnsi="宋体" w:eastAsia="宋体" w:cs="宋体"/>
          <w:spacing w:val="-1"/>
          <w:sz w:val="24"/>
          <w:szCs w:val="24"/>
        </w:rPr>
        <w:t>平；领导和组织本企业的环境监测工作。</w:t>
      </w:r>
    </w:p>
    <w:p w14:paraId="51ABD079">
      <w:pPr>
        <w:pStyle w:val="2"/>
        <w:spacing w:line="421" w:lineRule="auto"/>
      </w:pPr>
    </w:p>
    <w:p w14:paraId="4C9C3E78">
      <w:pPr>
        <w:spacing w:before="79"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8.1.4</w:t>
      </w:r>
      <w:r>
        <w:rPr>
          <w:rFonts w:ascii="宋体" w:hAnsi="宋体" w:eastAsia="宋体" w:cs="宋体"/>
          <w:b/>
          <w:bCs/>
          <w:spacing w:val="-2"/>
          <w:sz w:val="24"/>
          <w:szCs w:val="24"/>
        </w:rPr>
        <w:t>环境管理制度的建立</w:t>
      </w:r>
    </w:p>
    <w:p w14:paraId="23BD8061">
      <w:pPr>
        <w:pStyle w:val="2"/>
        <w:spacing w:line="244" w:lineRule="auto"/>
      </w:pPr>
    </w:p>
    <w:p w14:paraId="7DD5356E">
      <w:pPr>
        <w:spacing w:before="79" w:line="358" w:lineRule="exact"/>
        <w:ind w:left="492"/>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）报告制度</w:t>
      </w:r>
    </w:p>
    <w:p w14:paraId="26D3DCA7">
      <w:pPr>
        <w:spacing w:before="130" w:line="380" w:lineRule="auto"/>
        <w:ind w:left="1" w:firstLine="479"/>
        <w:rPr>
          <w:rFonts w:ascii="宋体" w:hAnsi="宋体" w:eastAsia="宋体" w:cs="宋体"/>
          <w:sz w:val="24"/>
          <w:szCs w:val="24"/>
        </w:rPr>
      </w:pPr>
      <w:r>
        <w:rPr>
          <w:rFonts w:ascii="宋体" w:hAnsi="宋体" w:eastAsia="宋体" w:cs="宋体"/>
          <w:spacing w:val="-1"/>
          <w:sz w:val="24"/>
          <w:szCs w:val="24"/>
        </w:rPr>
        <w:t xml:space="preserve">根据《建设项目环境保护管理条例》（国务院令第 </w:t>
      </w:r>
      <w:r>
        <w:rPr>
          <w:rFonts w:ascii="Times New Roman" w:hAnsi="Times New Roman" w:eastAsia="Times New Roman" w:cs="Times New Roman"/>
          <w:spacing w:val="-1"/>
          <w:sz w:val="24"/>
          <w:szCs w:val="24"/>
        </w:rPr>
        <w:t xml:space="preserve">682  </w:t>
      </w:r>
      <w:r>
        <w:rPr>
          <w:rFonts w:ascii="宋体" w:hAnsi="宋体" w:eastAsia="宋体" w:cs="宋体"/>
          <w:spacing w:val="-1"/>
          <w:sz w:val="24"/>
          <w:szCs w:val="24"/>
        </w:rPr>
        <w:t>号）第十七条和第</w:t>
      </w:r>
      <w:r>
        <w:rPr>
          <w:rFonts w:ascii="宋体" w:hAnsi="宋体" w:eastAsia="宋体" w:cs="宋体"/>
          <w:spacing w:val="-2"/>
          <w:sz w:val="24"/>
          <w:szCs w:val="24"/>
        </w:rPr>
        <w:t>十九</w:t>
      </w:r>
      <w:r>
        <w:rPr>
          <w:rFonts w:ascii="宋体" w:hAnsi="宋体" w:eastAsia="宋体" w:cs="宋体"/>
          <w:sz w:val="24"/>
          <w:szCs w:val="24"/>
        </w:rPr>
        <w:t xml:space="preserve"> </w:t>
      </w:r>
      <w:r>
        <w:rPr>
          <w:rFonts w:ascii="宋体" w:hAnsi="宋体" w:eastAsia="宋体" w:cs="宋体"/>
          <w:spacing w:val="2"/>
          <w:sz w:val="24"/>
          <w:szCs w:val="24"/>
        </w:rPr>
        <w:t>条规定，建设项目竣工后，建设单位应当按照国务院环境保护行政主管部门规定的</w:t>
      </w:r>
      <w:r>
        <w:rPr>
          <w:rFonts w:ascii="宋体" w:hAnsi="宋体" w:eastAsia="宋体" w:cs="宋体"/>
          <w:spacing w:val="5"/>
          <w:sz w:val="24"/>
          <w:szCs w:val="24"/>
        </w:rPr>
        <w:t xml:space="preserve"> </w:t>
      </w:r>
      <w:r>
        <w:rPr>
          <w:rFonts w:ascii="宋体" w:hAnsi="宋体" w:eastAsia="宋体" w:cs="宋体"/>
          <w:spacing w:val="2"/>
          <w:sz w:val="24"/>
          <w:szCs w:val="24"/>
        </w:rPr>
        <w:t>标准和程序，对配套建设的环境保护设施进行验收，编制验收报告。建设单位在环</w:t>
      </w:r>
    </w:p>
    <w:p w14:paraId="39DD2BF1">
      <w:pPr>
        <w:spacing w:line="380" w:lineRule="auto"/>
        <w:rPr>
          <w:rFonts w:ascii="宋体" w:hAnsi="宋体" w:eastAsia="宋体" w:cs="宋体"/>
          <w:sz w:val="24"/>
          <w:szCs w:val="24"/>
        </w:rPr>
        <w:sectPr>
          <w:footerReference r:id="rId168" w:type="default"/>
          <w:pgSz w:w="11906" w:h="16839"/>
          <w:pgMar w:top="400" w:right="1585" w:bottom="1485" w:left="1597" w:header="0" w:footer="1249" w:gutter="0"/>
          <w:cols w:space="720" w:num="1"/>
        </w:sectPr>
      </w:pPr>
    </w:p>
    <w:p w14:paraId="3813B3CF">
      <w:pPr>
        <w:pStyle w:val="2"/>
        <w:spacing w:line="264" w:lineRule="auto"/>
      </w:pPr>
    </w:p>
    <w:p w14:paraId="0EAA5340">
      <w:pPr>
        <w:pStyle w:val="2"/>
        <w:spacing w:line="264" w:lineRule="auto"/>
      </w:pPr>
    </w:p>
    <w:p w14:paraId="64E38A02">
      <w:pPr>
        <w:pStyle w:val="2"/>
        <w:spacing w:line="264" w:lineRule="auto"/>
      </w:pPr>
    </w:p>
    <w:p w14:paraId="13B4B807">
      <w:pPr>
        <w:pStyle w:val="2"/>
        <w:spacing w:line="264" w:lineRule="auto"/>
      </w:pPr>
    </w:p>
    <w:p w14:paraId="4BC9AE8D">
      <w:pPr>
        <w:spacing w:before="78" w:line="377" w:lineRule="auto"/>
        <w:ind w:left="1"/>
        <w:jc w:val="both"/>
        <w:rPr>
          <w:rFonts w:ascii="宋体" w:hAnsi="宋体" w:eastAsia="宋体" w:cs="宋体"/>
          <w:sz w:val="24"/>
          <w:szCs w:val="24"/>
        </w:rPr>
      </w:pPr>
      <w:r>
        <w:rPr>
          <w:rFonts w:ascii="宋体" w:hAnsi="宋体" w:eastAsia="宋体" w:cs="宋体"/>
          <w:spacing w:val="2"/>
          <w:sz w:val="24"/>
          <w:szCs w:val="24"/>
        </w:rPr>
        <w:t>境保护设施验收过程中，应当如实查验、监测、记载建设项目环境保护设施的建设</w:t>
      </w:r>
      <w:r>
        <w:rPr>
          <w:rFonts w:ascii="宋体" w:hAnsi="宋体" w:eastAsia="宋体" w:cs="宋体"/>
          <w:spacing w:val="5"/>
          <w:sz w:val="24"/>
          <w:szCs w:val="24"/>
        </w:rPr>
        <w:t xml:space="preserve"> </w:t>
      </w:r>
      <w:r>
        <w:rPr>
          <w:rFonts w:ascii="宋体" w:hAnsi="宋体" w:eastAsia="宋体" w:cs="宋体"/>
          <w:spacing w:val="2"/>
          <w:sz w:val="24"/>
          <w:szCs w:val="24"/>
        </w:rPr>
        <w:t>和调试情况，不得弄虚作假。除按照国家规定需要保密的情形外，建设单位应当依</w:t>
      </w:r>
      <w:r>
        <w:rPr>
          <w:rFonts w:ascii="宋体" w:hAnsi="宋体" w:eastAsia="宋体" w:cs="宋体"/>
          <w:spacing w:val="5"/>
          <w:sz w:val="24"/>
          <w:szCs w:val="24"/>
        </w:rPr>
        <w:t xml:space="preserve"> </w:t>
      </w:r>
      <w:r>
        <w:rPr>
          <w:rFonts w:ascii="宋体" w:hAnsi="宋体" w:eastAsia="宋体" w:cs="宋体"/>
          <w:spacing w:val="-1"/>
          <w:sz w:val="24"/>
          <w:szCs w:val="24"/>
        </w:rPr>
        <w:t>法向社会公开验收报告。</w:t>
      </w:r>
    </w:p>
    <w:p w14:paraId="2396B51D">
      <w:pPr>
        <w:spacing w:before="1" w:line="375" w:lineRule="auto"/>
        <w:ind w:left="3" w:firstLine="480"/>
        <w:rPr>
          <w:rFonts w:ascii="宋体" w:hAnsi="宋体" w:eastAsia="宋体" w:cs="宋体"/>
          <w:sz w:val="24"/>
          <w:szCs w:val="24"/>
        </w:rPr>
      </w:pPr>
      <w:r>
        <w:rPr>
          <w:rFonts w:ascii="宋体" w:hAnsi="宋体" w:eastAsia="宋体" w:cs="宋体"/>
          <w:spacing w:val="2"/>
          <w:sz w:val="24"/>
          <w:szCs w:val="24"/>
        </w:rPr>
        <w:t>项目建成后应严格执行环境污染月报制度。即每月向当地环保部门报告污染治</w:t>
      </w:r>
      <w:r>
        <w:rPr>
          <w:rFonts w:ascii="宋体" w:hAnsi="宋体" w:eastAsia="宋体" w:cs="宋体"/>
          <w:spacing w:val="6"/>
          <w:sz w:val="24"/>
          <w:szCs w:val="24"/>
        </w:rPr>
        <w:t xml:space="preserve"> </w:t>
      </w:r>
      <w:r>
        <w:rPr>
          <w:rFonts w:ascii="宋体" w:hAnsi="宋体" w:eastAsia="宋体" w:cs="宋体"/>
          <w:spacing w:val="-1"/>
          <w:sz w:val="24"/>
          <w:szCs w:val="24"/>
        </w:rPr>
        <w:t>理设施运行情况、污染物排放情况以及污染事故、污染纠纷等情况。</w:t>
      </w:r>
    </w:p>
    <w:p w14:paraId="18D2623D">
      <w:pPr>
        <w:spacing w:line="362" w:lineRule="auto"/>
        <w:ind w:firstLine="483"/>
        <w:rPr>
          <w:rFonts w:ascii="宋体" w:hAnsi="宋体" w:eastAsia="宋体" w:cs="宋体"/>
          <w:sz w:val="24"/>
          <w:szCs w:val="24"/>
        </w:rPr>
      </w:pPr>
      <w:r>
        <w:rPr>
          <w:rFonts w:ascii="宋体" w:hAnsi="宋体" w:eastAsia="宋体" w:cs="宋体"/>
          <w:spacing w:val="2"/>
          <w:sz w:val="24"/>
          <w:szCs w:val="24"/>
        </w:rPr>
        <w:t>企业排污发生重大变化、污染治理设施改变或生产运行计划改变等都必须向当</w:t>
      </w:r>
      <w:r>
        <w:rPr>
          <w:rFonts w:ascii="宋体" w:hAnsi="宋体" w:eastAsia="宋体" w:cs="宋体"/>
          <w:spacing w:val="6"/>
          <w:sz w:val="24"/>
          <w:szCs w:val="24"/>
        </w:rPr>
        <w:t xml:space="preserve"> </w:t>
      </w:r>
      <w:r>
        <w:rPr>
          <w:rFonts w:ascii="宋体" w:hAnsi="宋体" w:eastAsia="宋体" w:cs="宋体"/>
          <w:spacing w:val="-1"/>
          <w:sz w:val="24"/>
          <w:szCs w:val="24"/>
        </w:rPr>
        <w:t>地环保部门申报，经审批同意后方可实施。</w:t>
      </w:r>
    </w:p>
    <w:p w14:paraId="4A307F8D">
      <w:pPr>
        <w:spacing w:line="360"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2</w:t>
      </w:r>
      <w:r>
        <w:rPr>
          <w:rFonts w:ascii="宋体" w:hAnsi="宋体" w:eastAsia="宋体" w:cs="宋体"/>
          <w:spacing w:val="-2"/>
          <w:position w:val="2"/>
          <w:sz w:val="24"/>
          <w:szCs w:val="24"/>
        </w:rPr>
        <w:t>）污染处理设施的管理制度</w:t>
      </w:r>
    </w:p>
    <w:p w14:paraId="0ED48B79">
      <w:pPr>
        <w:spacing w:before="164" w:line="362" w:lineRule="auto"/>
        <w:ind w:firstLine="479"/>
        <w:rPr>
          <w:rFonts w:ascii="宋体" w:hAnsi="宋体" w:eastAsia="宋体" w:cs="宋体"/>
          <w:sz w:val="24"/>
          <w:szCs w:val="24"/>
        </w:rPr>
      </w:pPr>
      <w:r>
        <w:rPr>
          <w:rFonts w:ascii="宋体" w:hAnsi="宋体" w:eastAsia="宋体" w:cs="宋体"/>
          <w:spacing w:val="2"/>
          <w:sz w:val="24"/>
          <w:szCs w:val="24"/>
        </w:rPr>
        <w:t>对污染治理设施和管理必须与生产经营活动一起纳入企业的日常管理中，要建</w:t>
      </w:r>
      <w:r>
        <w:rPr>
          <w:rFonts w:ascii="宋体" w:hAnsi="宋体" w:eastAsia="宋体" w:cs="宋体"/>
          <w:spacing w:val="11"/>
          <w:sz w:val="24"/>
          <w:szCs w:val="24"/>
        </w:rPr>
        <w:t xml:space="preserve"> </w:t>
      </w:r>
      <w:r>
        <w:rPr>
          <w:rFonts w:ascii="宋体" w:hAnsi="宋体" w:eastAsia="宋体" w:cs="宋体"/>
          <w:spacing w:val="-1"/>
          <w:sz w:val="24"/>
          <w:szCs w:val="24"/>
        </w:rPr>
        <w:t>立岗位责任制，制定操作规程，建立管理台帐。</w:t>
      </w:r>
    </w:p>
    <w:p w14:paraId="59E871F1">
      <w:pPr>
        <w:spacing w:line="361" w:lineRule="exact"/>
        <w:ind w:left="492"/>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）奖惩制度</w:t>
      </w:r>
    </w:p>
    <w:p w14:paraId="7BBFFFC0">
      <w:pPr>
        <w:spacing w:before="166" w:line="378" w:lineRule="auto"/>
        <w:ind w:left="2" w:firstLine="481"/>
        <w:rPr>
          <w:rFonts w:ascii="宋体" w:hAnsi="宋体" w:eastAsia="宋体" w:cs="宋体"/>
          <w:sz w:val="24"/>
          <w:szCs w:val="24"/>
        </w:rPr>
      </w:pPr>
      <w:r>
        <w:rPr>
          <w:rFonts w:ascii="宋体" w:hAnsi="宋体" w:eastAsia="宋体" w:cs="宋体"/>
          <w:spacing w:val="2"/>
          <w:sz w:val="24"/>
          <w:szCs w:val="24"/>
        </w:rPr>
        <w:t>企业应设置环境保护奖惩制度，对爱护环保设施，节能降耗、改善环境者给予</w:t>
      </w:r>
      <w:r>
        <w:rPr>
          <w:rFonts w:ascii="宋体" w:hAnsi="宋体" w:eastAsia="宋体" w:cs="宋体"/>
          <w:spacing w:val="6"/>
          <w:sz w:val="24"/>
          <w:szCs w:val="24"/>
        </w:rPr>
        <w:t xml:space="preserve"> </w:t>
      </w:r>
      <w:r>
        <w:rPr>
          <w:rFonts w:ascii="宋体" w:hAnsi="宋体" w:eastAsia="宋体" w:cs="宋体"/>
          <w:spacing w:val="2"/>
          <w:sz w:val="24"/>
          <w:szCs w:val="24"/>
        </w:rPr>
        <w:t>奖励；对不按环保要求管理，造成环保设施损坏、环境污染和资源、能源浪费者予</w:t>
      </w:r>
      <w:r>
        <w:rPr>
          <w:rFonts w:ascii="宋体" w:hAnsi="宋体" w:eastAsia="宋体" w:cs="宋体"/>
          <w:spacing w:val="4"/>
          <w:sz w:val="24"/>
          <w:szCs w:val="24"/>
        </w:rPr>
        <w:t xml:space="preserve"> </w:t>
      </w:r>
      <w:r>
        <w:rPr>
          <w:rFonts w:ascii="宋体" w:hAnsi="宋体" w:eastAsia="宋体" w:cs="宋体"/>
          <w:spacing w:val="-3"/>
          <w:sz w:val="24"/>
          <w:szCs w:val="24"/>
        </w:rPr>
        <w:t>以重罚。</w:t>
      </w:r>
    </w:p>
    <w:p w14:paraId="610BD959">
      <w:pPr>
        <w:spacing w:before="294" w:line="226" w:lineRule="auto"/>
        <w:ind w:left="2"/>
        <w:outlineLvl w:val="1"/>
        <w:rPr>
          <w:rFonts w:ascii="宋体" w:hAnsi="宋体" w:eastAsia="宋体" w:cs="宋体"/>
          <w:sz w:val="31"/>
          <w:szCs w:val="31"/>
        </w:rPr>
      </w:pPr>
      <w:bookmarkStart w:id="49" w:name="bookmark44"/>
      <w:bookmarkEnd w:id="49"/>
      <w:r>
        <w:rPr>
          <w:rFonts w:ascii="Times New Roman" w:hAnsi="Times New Roman" w:eastAsia="Times New Roman" w:cs="Times New Roman"/>
          <w:b/>
          <w:bCs/>
          <w:spacing w:val="4"/>
          <w:sz w:val="31"/>
          <w:szCs w:val="31"/>
        </w:rPr>
        <w:t>8.2</w:t>
      </w:r>
      <w:r>
        <w:rPr>
          <w:rFonts w:ascii="宋体" w:hAnsi="宋体" w:eastAsia="宋体" w:cs="宋体"/>
          <w:b/>
          <w:bCs/>
          <w:spacing w:val="4"/>
          <w:sz w:val="31"/>
          <w:szCs w:val="31"/>
        </w:rPr>
        <w:t>环境监测</w:t>
      </w:r>
    </w:p>
    <w:p w14:paraId="4126CE39">
      <w:pPr>
        <w:pStyle w:val="2"/>
        <w:spacing w:line="447" w:lineRule="auto"/>
      </w:pPr>
    </w:p>
    <w:p w14:paraId="0E83BE8C">
      <w:pPr>
        <w:spacing w:before="79"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8.2.1</w:t>
      </w:r>
      <w:r>
        <w:rPr>
          <w:rFonts w:ascii="宋体" w:hAnsi="宋体" w:eastAsia="宋体" w:cs="宋体"/>
          <w:b/>
          <w:bCs/>
          <w:spacing w:val="-2"/>
          <w:sz w:val="24"/>
          <w:szCs w:val="24"/>
        </w:rPr>
        <w:t>监测机构的建立</w:t>
      </w:r>
    </w:p>
    <w:p w14:paraId="5786555F">
      <w:pPr>
        <w:pStyle w:val="2"/>
        <w:spacing w:line="280" w:lineRule="auto"/>
      </w:pPr>
    </w:p>
    <w:p w14:paraId="5544F3B1">
      <w:pPr>
        <w:spacing w:before="78" w:line="377" w:lineRule="auto"/>
        <w:ind w:left="6" w:firstLine="477"/>
        <w:rPr>
          <w:rFonts w:ascii="宋体" w:hAnsi="宋体" w:eastAsia="宋体" w:cs="宋体"/>
          <w:sz w:val="24"/>
          <w:szCs w:val="24"/>
        </w:rPr>
      </w:pPr>
      <w:r>
        <w:rPr>
          <w:rFonts w:ascii="宋体" w:hAnsi="宋体" w:eastAsia="宋体" w:cs="宋体"/>
          <w:spacing w:val="2"/>
          <w:sz w:val="24"/>
          <w:szCs w:val="24"/>
        </w:rPr>
        <w:t>建立企业环保监测机构，配备专业环保技术人员，配置必备的仪器设备，具有</w:t>
      </w:r>
      <w:r>
        <w:rPr>
          <w:rFonts w:ascii="宋体" w:hAnsi="宋体" w:eastAsia="宋体" w:cs="宋体"/>
          <w:spacing w:val="7"/>
          <w:sz w:val="24"/>
          <w:szCs w:val="24"/>
        </w:rPr>
        <w:t xml:space="preserve"> </w:t>
      </w:r>
      <w:r>
        <w:rPr>
          <w:rFonts w:ascii="宋体" w:hAnsi="宋体" w:eastAsia="宋体" w:cs="宋体"/>
          <w:spacing w:val="-2"/>
          <w:sz w:val="24"/>
          <w:szCs w:val="24"/>
        </w:rPr>
        <w:t>定期自行监测的能力。</w:t>
      </w:r>
    </w:p>
    <w:p w14:paraId="0F9DB9C5">
      <w:pPr>
        <w:spacing w:before="295" w:line="221"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8.2.2</w:t>
      </w:r>
      <w:r>
        <w:rPr>
          <w:rFonts w:ascii="宋体" w:hAnsi="宋体" w:eastAsia="宋体" w:cs="宋体"/>
          <w:b/>
          <w:bCs/>
          <w:spacing w:val="-2"/>
          <w:sz w:val="24"/>
          <w:szCs w:val="24"/>
        </w:rPr>
        <w:t>环境监测制度</w:t>
      </w:r>
    </w:p>
    <w:p w14:paraId="6312EA6C">
      <w:pPr>
        <w:pStyle w:val="2"/>
        <w:spacing w:line="281" w:lineRule="auto"/>
      </w:pPr>
    </w:p>
    <w:p w14:paraId="107680FF">
      <w:pPr>
        <w:spacing w:before="78" w:line="219" w:lineRule="auto"/>
        <w:ind w:left="480"/>
        <w:rPr>
          <w:rFonts w:ascii="宋体" w:hAnsi="宋体" w:eastAsia="宋体" w:cs="宋体"/>
          <w:sz w:val="24"/>
          <w:szCs w:val="24"/>
        </w:rPr>
      </w:pPr>
      <w:r>
        <w:rPr>
          <w:rFonts w:ascii="宋体" w:hAnsi="宋体" w:eastAsia="宋体" w:cs="宋体"/>
          <w:sz w:val="24"/>
          <w:szCs w:val="24"/>
        </w:rPr>
        <w:t>环境监测的目的在于了解和掌握污染状况，</w:t>
      </w:r>
      <w:r>
        <w:rPr>
          <w:rFonts w:ascii="宋体" w:hAnsi="宋体" w:eastAsia="宋体" w:cs="宋体"/>
          <w:spacing w:val="-1"/>
          <w:sz w:val="24"/>
          <w:szCs w:val="24"/>
        </w:rPr>
        <w:t>一般包括以下几个方面：</w:t>
      </w:r>
    </w:p>
    <w:p w14:paraId="7DDDBA7A">
      <w:pPr>
        <w:spacing w:before="167" w:line="312" w:lineRule="auto"/>
        <w:ind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）定期监测污染物排放浓度和排放量是否符合国家、省、市和行业规定的排</w:t>
      </w:r>
      <w:r>
        <w:rPr>
          <w:rFonts w:ascii="宋体" w:hAnsi="宋体" w:eastAsia="宋体" w:cs="宋体"/>
          <w:spacing w:val="16"/>
          <w:sz w:val="24"/>
          <w:szCs w:val="24"/>
        </w:rPr>
        <w:t xml:space="preserve"> </w:t>
      </w:r>
      <w:r>
        <w:rPr>
          <w:rFonts w:ascii="宋体" w:hAnsi="宋体" w:eastAsia="宋体" w:cs="宋体"/>
          <w:spacing w:val="-1"/>
          <w:sz w:val="24"/>
          <w:szCs w:val="24"/>
        </w:rPr>
        <w:t>放标准，确保污染物排放总量控制在允许的环境容量内；</w:t>
      </w:r>
    </w:p>
    <w:p w14:paraId="676FD08D">
      <w:pPr>
        <w:spacing w:before="167" w:line="312" w:lineRule="auto"/>
        <w:ind w:left="2" w:firstLine="48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）分析所排污染物的变化规律和环境影响程度，为控制污染提供依据，加强</w:t>
      </w:r>
      <w:r>
        <w:rPr>
          <w:rFonts w:ascii="宋体" w:hAnsi="宋体" w:eastAsia="宋体" w:cs="宋体"/>
          <w:spacing w:val="16"/>
          <w:sz w:val="24"/>
          <w:szCs w:val="24"/>
        </w:rPr>
        <w:t xml:space="preserve"> </w:t>
      </w:r>
      <w:r>
        <w:rPr>
          <w:rFonts w:ascii="宋体" w:hAnsi="宋体" w:eastAsia="宋体" w:cs="宋体"/>
          <w:spacing w:val="-1"/>
          <w:sz w:val="24"/>
          <w:szCs w:val="24"/>
        </w:rPr>
        <w:t>污染物处理装置的日常维护使用，提高科学管理水平；</w:t>
      </w:r>
    </w:p>
    <w:p w14:paraId="3050FB21">
      <w:pPr>
        <w:spacing w:before="167" w:line="358" w:lineRule="exact"/>
        <w:ind w:left="492"/>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3</w:t>
      </w:r>
      <w:r>
        <w:rPr>
          <w:rFonts w:ascii="宋体" w:hAnsi="宋体" w:eastAsia="宋体" w:cs="宋体"/>
          <w:spacing w:val="-1"/>
          <w:position w:val="2"/>
          <w:sz w:val="24"/>
          <w:szCs w:val="24"/>
        </w:rPr>
        <w:t>）协助环境保护行政主管部门对风险事故的监测、分析和报告。</w:t>
      </w:r>
    </w:p>
    <w:p w14:paraId="1CB00DA5">
      <w:pPr>
        <w:spacing w:line="358" w:lineRule="exact"/>
        <w:rPr>
          <w:rFonts w:ascii="宋体" w:hAnsi="宋体" w:eastAsia="宋体" w:cs="宋体"/>
          <w:sz w:val="24"/>
          <w:szCs w:val="24"/>
        </w:rPr>
        <w:sectPr>
          <w:footerReference r:id="rId169" w:type="default"/>
          <w:pgSz w:w="11906" w:h="16839"/>
          <w:pgMar w:top="400" w:right="1588" w:bottom="1485" w:left="1597" w:header="0" w:footer="1249" w:gutter="0"/>
          <w:cols w:space="720" w:num="1"/>
        </w:sectPr>
      </w:pPr>
    </w:p>
    <w:p w14:paraId="0C00B8B0">
      <w:pPr>
        <w:pStyle w:val="2"/>
        <w:spacing w:line="274" w:lineRule="auto"/>
      </w:pPr>
    </w:p>
    <w:p w14:paraId="5F511A9D">
      <w:pPr>
        <w:pStyle w:val="2"/>
        <w:spacing w:line="274" w:lineRule="auto"/>
      </w:pPr>
    </w:p>
    <w:p w14:paraId="3069507D">
      <w:pPr>
        <w:pStyle w:val="2"/>
        <w:spacing w:line="274" w:lineRule="auto"/>
      </w:pPr>
    </w:p>
    <w:p w14:paraId="3D191821">
      <w:pPr>
        <w:pStyle w:val="2"/>
        <w:spacing w:line="274" w:lineRule="auto"/>
      </w:pPr>
    </w:p>
    <w:p w14:paraId="727CFFC7">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8.2.3</w:t>
      </w:r>
      <w:r>
        <w:rPr>
          <w:rFonts w:ascii="宋体" w:hAnsi="宋体" w:eastAsia="宋体" w:cs="宋体"/>
          <w:b/>
          <w:bCs/>
          <w:spacing w:val="-2"/>
          <w:sz w:val="24"/>
          <w:szCs w:val="24"/>
        </w:rPr>
        <w:t>环境监测机构</w:t>
      </w:r>
    </w:p>
    <w:p w14:paraId="3E716D02">
      <w:pPr>
        <w:pStyle w:val="2"/>
        <w:spacing w:line="279" w:lineRule="auto"/>
      </w:pPr>
    </w:p>
    <w:p w14:paraId="3B3F9A84">
      <w:pPr>
        <w:spacing w:before="78" w:line="379" w:lineRule="auto"/>
        <w:ind w:right="2" w:firstLine="482"/>
        <w:rPr>
          <w:rFonts w:ascii="宋体" w:hAnsi="宋体" w:eastAsia="宋体" w:cs="宋体"/>
          <w:sz w:val="24"/>
          <w:szCs w:val="24"/>
        </w:rPr>
      </w:pPr>
      <w:r>
        <w:rPr>
          <w:rFonts w:ascii="宋体" w:hAnsi="宋体" w:eastAsia="宋体" w:cs="宋体"/>
          <w:spacing w:val="2"/>
          <w:sz w:val="24"/>
          <w:szCs w:val="24"/>
        </w:rPr>
        <w:t>为了及时了解和掌握建设项目营运期主要污染源污染物的排放状况，建设单位</w:t>
      </w:r>
      <w:r>
        <w:rPr>
          <w:rFonts w:ascii="宋体" w:hAnsi="宋体" w:eastAsia="宋体" w:cs="宋体"/>
          <w:spacing w:val="7"/>
          <w:sz w:val="24"/>
          <w:szCs w:val="24"/>
        </w:rPr>
        <w:t xml:space="preserve"> </w:t>
      </w:r>
      <w:r>
        <w:rPr>
          <w:rFonts w:ascii="宋体" w:hAnsi="宋体" w:eastAsia="宋体" w:cs="宋体"/>
          <w:sz w:val="24"/>
          <w:szCs w:val="24"/>
        </w:rPr>
        <w:t>应定期委托有资质的环境监测部门对主要污染源的污</w:t>
      </w:r>
      <w:r>
        <w:rPr>
          <w:rFonts w:ascii="宋体" w:hAnsi="宋体" w:eastAsia="宋体" w:cs="宋体"/>
          <w:spacing w:val="-1"/>
          <w:sz w:val="24"/>
          <w:szCs w:val="24"/>
        </w:rPr>
        <w:t>染物排放情况进行监测。</w:t>
      </w:r>
    </w:p>
    <w:p w14:paraId="59DBC087">
      <w:pPr>
        <w:spacing w:before="296" w:line="227" w:lineRule="auto"/>
        <w:ind w:left="2"/>
        <w:outlineLvl w:val="1"/>
        <w:rPr>
          <w:rFonts w:ascii="宋体" w:hAnsi="宋体" w:eastAsia="宋体" w:cs="宋体"/>
          <w:sz w:val="31"/>
          <w:szCs w:val="31"/>
        </w:rPr>
      </w:pPr>
      <w:bookmarkStart w:id="50" w:name="bookmark45"/>
      <w:bookmarkEnd w:id="50"/>
      <w:r>
        <w:rPr>
          <w:rFonts w:ascii="Times New Roman" w:hAnsi="Times New Roman" w:eastAsia="Times New Roman" w:cs="Times New Roman"/>
          <w:b/>
          <w:bCs/>
          <w:spacing w:val="4"/>
          <w:sz w:val="31"/>
          <w:szCs w:val="31"/>
        </w:rPr>
        <w:t>8.3</w:t>
      </w:r>
      <w:r>
        <w:rPr>
          <w:rFonts w:ascii="宋体" w:hAnsi="宋体" w:eastAsia="宋体" w:cs="宋体"/>
          <w:b/>
          <w:bCs/>
          <w:spacing w:val="4"/>
          <w:sz w:val="31"/>
          <w:szCs w:val="31"/>
        </w:rPr>
        <w:t>监测计划</w:t>
      </w:r>
    </w:p>
    <w:p w14:paraId="5E345E7B">
      <w:pPr>
        <w:pStyle w:val="2"/>
        <w:spacing w:line="408" w:lineRule="auto"/>
      </w:pPr>
    </w:p>
    <w:p w14:paraId="1C98B4FD">
      <w:pPr>
        <w:spacing w:before="78" w:line="219" w:lineRule="auto"/>
        <w:ind w:left="480"/>
        <w:rPr>
          <w:rFonts w:ascii="宋体" w:hAnsi="宋体" w:eastAsia="宋体" w:cs="宋体"/>
          <w:sz w:val="24"/>
          <w:szCs w:val="24"/>
        </w:rPr>
      </w:pPr>
      <w:r>
        <w:rPr>
          <w:rFonts w:ascii="宋体" w:hAnsi="宋体" w:eastAsia="宋体" w:cs="宋体"/>
          <w:sz w:val="24"/>
          <w:szCs w:val="24"/>
        </w:rPr>
        <w:t>环境监测的目的在于了解和掌握污染状况，</w:t>
      </w:r>
      <w:r>
        <w:rPr>
          <w:rFonts w:ascii="宋体" w:hAnsi="宋体" w:eastAsia="宋体" w:cs="宋体"/>
          <w:spacing w:val="-1"/>
          <w:sz w:val="24"/>
          <w:szCs w:val="24"/>
        </w:rPr>
        <w:t>一般包括以下几个方面：</w:t>
      </w:r>
    </w:p>
    <w:p w14:paraId="7F60DF85">
      <w:pPr>
        <w:spacing w:before="166" w:line="312" w:lineRule="auto"/>
        <w:ind w:left="1" w:right="2" w:firstLine="497"/>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、定期监测污染物排放浓度和排放量是否符合国家、省、市和行业规定的排放</w:t>
      </w:r>
      <w:r>
        <w:rPr>
          <w:rFonts w:ascii="宋体" w:hAnsi="宋体" w:eastAsia="宋体" w:cs="宋体"/>
          <w:sz w:val="24"/>
          <w:szCs w:val="24"/>
        </w:rPr>
        <w:t xml:space="preserve"> </w:t>
      </w:r>
      <w:r>
        <w:rPr>
          <w:rFonts w:ascii="宋体" w:hAnsi="宋体" w:eastAsia="宋体" w:cs="宋体"/>
          <w:spacing w:val="-1"/>
          <w:sz w:val="24"/>
          <w:szCs w:val="24"/>
        </w:rPr>
        <w:t>标准，确保污染物排放总量控制在允许的环境容量内；</w:t>
      </w:r>
    </w:p>
    <w:p w14:paraId="74AA8575">
      <w:pPr>
        <w:spacing w:before="167" w:line="312" w:lineRule="auto"/>
        <w:ind w:left="4" w:right="2" w:firstLine="471"/>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、分析所排污染物的变化规律和环境影响程度，为控制污染提供依据，加强污</w:t>
      </w:r>
      <w:r>
        <w:rPr>
          <w:rFonts w:ascii="宋体" w:hAnsi="宋体" w:eastAsia="宋体" w:cs="宋体"/>
          <w:sz w:val="24"/>
          <w:szCs w:val="24"/>
        </w:rPr>
        <w:t xml:space="preserve"> </w:t>
      </w:r>
      <w:r>
        <w:rPr>
          <w:rFonts w:ascii="宋体" w:hAnsi="宋体" w:eastAsia="宋体" w:cs="宋体"/>
          <w:spacing w:val="-1"/>
          <w:sz w:val="24"/>
          <w:szCs w:val="24"/>
        </w:rPr>
        <w:t>染物处理装置的日常维护使用，提高科学管理水平；</w:t>
      </w:r>
    </w:p>
    <w:p w14:paraId="517476E4">
      <w:pPr>
        <w:spacing w:before="165" w:line="334" w:lineRule="auto"/>
        <w:ind w:right="2" w:firstLine="480"/>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、协助环境保护行政主管部门对风险事故的监测、分析和报告。为了及时了解</w:t>
      </w:r>
      <w:r>
        <w:rPr>
          <w:rFonts w:ascii="宋体" w:hAnsi="宋体" w:eastAsia="宋体" w:cs="宋体"/>
          <w:sz w:val="24"/>
          <w:szCs w:val="24"/>
        </w:rPr>
        <w:t xml:space="preserve"> </w:t>
      </w:r>
      <w:r>
        <w:rPr>
          <w:rFonts w:ascii="宋体" w:hAnsi="宋体" w:eastAsia="宋体" w:cs="宋体"/>
          <w:spacing w:val="2"/>
          <w:sz w:val="24"/>
          <w:szCs w:val="24"/>
        </w:rPr>
        <w:t>和掌握建设项目营运期主要污染源污染物的排放状况，建设单位定期委托有资质的</w:t>
      </w:r>
      <w:r>
        <w:rPr>
          <w:rFonts w:ascii="宋体" w:hAnsi="宋体" w:eastAsia="宋体" w:cs="宋体"/>
          <w:spacing w:val="6"/>
          <w:sz w:val="24"/>
          <w:szCs w:val="24"/>
        </w:rPr>
        <w:t xml:space="preserve"> </w:t>
      </w:r>
      <w:r>
        <w:rPr>
          <w:rFonts w:ascii="宋体" w:hAnsi="宋体" w:eastAsia="宋体" w:cs="宋体"/>
          <w:spacing w:val="-1"/>
          <w:sz w:val="24"/>
          <w:szCs w:val="24"/>
        </w:rPr>
        <w:t>环境监测单位对主要污染源的污染物排放情况进行监测。</w:t>
      </w:r>
    </w:p>
    <w:p w14:paraId="3DA06CD6">
      <w:pPr>
        <w:pStyle w:val="2"/>
        <w:spacing w:line="419" w:lineRule="auto"/>
      </w:pPr>
    </w:p>
    <w:p w14:paraId="51BF1680">
      <w:pPr>
        <w:spacing w:before="79"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8.3.1</w:t>
      </w:r>
      <w:r>
        <w:rPr>
          <w:rFonts w:ascii="宋体" w:hAnsi="宋体" w:eastAsia="宋体" w:cs="宋体"/>
          <w:b/>
          <w:bCs/>
          <w:spacing w:val="-2"/>
          <w:sz w:val="24"/>
          <w:szCs w:val="24"/>
        </w:rPr>
        <w:t>施工期环境管理计划</w:t>
      </w:r>
    </w:p>
    <w:p w14:paraId="3DF45A7D">
      <w:pPr>
        <w:pStyle w:val="2"/>
        <w:spacing w:line="243" w:lineRule="auto"/>
      </w:pPr>
    </w:p>
    <w:p w14:paraId="77392665">
      <w:pPr>
        <w:spacing w:before="79" w:line="313" w:lineRule="auto"/>
        <w:ind w:left="3" w:right="2" w:firstLine="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）环境管理机构对施工期环境保护工作全面负责，履行施工期各阶段环境管</w:t>
      </w:r>
      <w:r>
        <w:rPr>
          <w:rFonts w:ascii="宋体" w:hAnsi="宋体" w:eastAsia="宋体" w:cs="宋体"/>
          <w:spacing w:val="16"/>
          <w:sz w:val="24"/>
          <w:szCs w:val="24"/>
        </w:rPr>
        <w:t xml:space="preserve"> </w:t>
      </w:r>
      <w:r>
        <w:rPr>
          <w:rFonts w:ascii="宋体" w:hAnsi="宋体" w:eastAsia="宋体" w:cs="宋体"/>
          <w:spacing w:val="-4"/>
          <w:sz w:val="24"/>
          <w:szCs w:val="24"/>
        </w:rPr>
        <w:t>理职责。</w:t>
      </w:r>
    </w:p>
    <w:p w14:paraId="16D217FF">
      <w:pPr>
        <w:spacing w:before="164" w:line="312" w:lineRule="auto"/>
        <w:ind w:right="10"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）对施工队伍实行职责管理，要求施工队伍按要求文明施工，并做好监督、</w:t>
      </w:r>
      <w:r>
        <w:rPr>
          <w:rFonts w:ascii="宋体" w:hAnsi="宋体" w:eastAsia="宋体" w:cs="宋体"/>
          <w:spacing w:val="8"/>
          <w:sz w:val="24"/>
          <w:szCs w:val="24"/>
        </w:rPr>
        <w:t xml:space="preserve"> </w:t>
      </w:r>
      <w:r>
        <w:rPr>
          <w:rFonts w:ascii="宋体" w:hAnsi="宋体" w:eastAsia="宋体" w:cs="宋体"/>
          <w:spacing w:val="-2"/>
          <w:sz w:val="24"/>
          <w:szCs w:val="24"/>
        </w:rPr>
        <w:t>检查和教育工作。</w:t>
      </w:r>
    </w:p>
    <w:p w14:paraId="16DDB656">
      <w:pPr>
        <w:spacing w:before="167" w:line="312" w:lineRule="auto"/>
        <w:ind w:left="1" w:right="2"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）按照环保主管部门的要求和本报告书中有关环境保护对策措施对施工程序</w:t>
      </w:r>
      <w:r>
        <w:rPr>
          <w:rFonts w:ascii="宋体" w:hAnsi="宋体" w:eastAsia="宋体" w:cs="宋体"/>
          <w:spacing w:val="16"/>
          <w:sz w:val="24"/>
          <w:szCs w:val="24"/>
        </w:rPr>
        <w:t xml:space="preserve"> </w:t>
      </w:r>
      <w:r>
        <w:rPr>
          <w:rFonts w:ascii="宋体" w:hAnsi="宋体" w:eastAsia="宋体" w:cs="宋体"/>
          <w:spacing w:val="-1"/>
          <w:sz w:val="24"/>
          <w:szCs w:val="24"/>
        </w:rPr>
        <w:t>和场地布置实施统一安排。</w:t>
      </w:r>
    </w:p>
    <w:p w14:paraId="1D18F816">
      <w:pPr>
        <w:spacing w:before="166" w:line="312" w:lineRule="auto"/>
        <w:ind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）土建工程需要土石方的挖掘与运输、</w:t>
      </w:r>
      <w:r>
        <w:rPr>
          <w:rFonts w:ascii="宋体" w:hAnsi="宋体" w:eastAsia="宋体" w:cs="宋体"/>
          <w:spacing w:val="-2"/>
          <w:sz w:val="24"/>
          <w:szCs w:val="24"/>
        </w:rPr>
        <w:t>管道挖沟、施工建材机械等占地，对</w:t>
      </w:r>
      <w:r>
        <w:rPr>
          <w:rFonts w:ascii="宋体" w:hAnsi="宋体" w:eastAsia="宋体" w:cs="宋体"/>
          <w:sz w:val="24"/>
          <w:szCs w:val="24"/>
        </w:rPr>
        <w:t xml:space="preserve"> </w:t>
      </w:r>
      <w:r>
        <w:rPr>
          <w:rFonts w:ascii="宋体" w:hAnsi="宋体" w:eastAsia="宋体" w:cs="宋体"/>
          <w:spacing w:val="-1"/>
          <w:sz w:val="24"/>
          <w:szCs w:val="24"/>
        </w:rPr>
        <w:t>产生的扬尘应及时洒水，及时清除弃土，避免二次扬尘。</w:t>
      </w:r>
    </w:p>
    <w:p w14:paraId="6EAF225E">
      <w:pPr>
        <w:spacing w:before="203" w:line="300" w:lineRule="auto"/>
        <w:ind w:left="20" w:right="2" w:firstLine="47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）合理布置施工场内的机械和设备，把噪声较大的机械设备布置到远离居民</w:t>
      </w:r>
      <w:r>
        <w:rPr>
          <w:rFonts w:ascii="宋体" w:hAnsi="宋体" w:eastAsia="宋体" w:cs="宋体"/>
          <w:spacing w:val="16"/>
          <w:sz w:val="24"/>
          <w:szCs w:val="24"/>
        </w:rPr>
        <w:t xml:space="preserve"> </w:t>
      </w:r>
      <w:r>
        <w:rPr>
          <w:rFonts w:ascii="宋体" w:hAnsi="宋体" w:eastAsia="宋体" w:cs="宋体"/>
          <w:spacing w:val="-8"/>
          <w:sz w:val="24"/>
          <w:szCs w:val="24"/>
        </w:rPr>
        <w:t>的地点。</w:t>
      </w:r>
    </w:p>
    <w:p w14:paraId="342DB983">
      <w:pPr>
        <w:spacing w:before="162" w:line="360" w:lineRule="exact"/>
        <w:ind w:left="484"/>
        <w:rPr>
          <w:rFonts w:ascii="宋体" w:hAnsi="宋体" w:eastAsia="宋体" w:cs="宋体"/>
          <w:sz w:val="24"/>
          <w:szCs w:val="24"/>
        </w:rPr>
      </w:pPr>
      <w:r>
        <w:rPr>
          <w:rFonts w:ascii="宋体" w:hAnsi="宋体" w:eastAsia="宋体" w:cs="宋体"/>
          <w:spacing w:val="-1"/>
          <w:position w:val="2"/>
          <w:sz w:val="24"/>
          <w:szCs w:val="24"/>
        </w:rPr>
        <w:t>项目施工期环境保护管理及监理的主要内容见表</w:t>
      </w:r>
      <w:r>
        <w:rPr>
          <w:rFonts w:ascii="宋体" w:hAnsi="宋体" w:eastAsia="宋体" w:cs="宋体"/>
          <w:spacing w:val="-45"/>
          <w:position w:val="2"/>
          <w:sz w:val="24"/>
          <w:szCs w:val="24"/>
        </w:rPr>
        <w:t xml:space="preserve"> </w:t>
      </w:r>
      <w:r>
        <w:rPr>
          <w:rFonts w:ascii="Times New Roman" w:hAnsi="Times New Roman" w:eastAsia="Times New Roman" w:cs="Times New Roman"/>
          <w:spacing w:val="-1"/>
          <w:position w:val="2"/>
          <w:sz w:val="24"/>
          <w:szCs w:val="24"/>
        </w:rPr>
        <w:t>8.3</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w:t>
      </w:r>
    </w:p>
    <w:p w14:paraId="308E1542">
      <w:pPr>
        <w:spacing w:line="360" w:lineRule="exact"/>
        <w:rPr>
          <w:rFonts w:ascii="宋体" w:hAnsi="宋体" w:eastAsia="宋体" w:cs="宋体"/>
          <w:sz w:val="24"/>
          <w:szCs w:val="24"/>
        </w:rPr>
        <w:sectPr>
          <w:footerReference r:id="rId170" w:type="default"/>
          <w:pgSz w:w="11906" w:h="16839"/>
          <w:pgMar w:top="400" w:right="1585" w:bottom="1485" w:left="1597" w:header="0" w:footer="1249" w:gutter="0"/>
          <w:cols w:space="720" w:num="1"/>
        </w:sectPr>
      </w:pPr>
    </w:p>
    <w:p w14:paraId="5F79CBA7">
      <w:pPr>
        <w:pStyle w:val="2"/>
        <w:spacing w:line="271" w:lineRule="auto"/>
      </w:pPr>
    </w:p>
    <w:p w14:paraId="536584C3">
      <w:pPr>
        <w:pStyle w:val="2"/>
        <w:spacing w:line="271" w:lineRule="auto"/>
      </w:pPr>
    </w:p>
    <w:p w14:paraId="040D4938">
      <w:pPr>
        <w:pStyle w:val="2"/>
        <w:spacing w:line="271" w:lineRule="auto"/>
      </w:pPr>
    </w:p>
    <w:p w14:paraId="09A5DD59">
      <w:pPr>
        <w:pStyle w:val="2"/>
        <w:spacing w:line="272" w:lineRule="auto"/>
      </w:pPr>
    </w:p>
    <w:p w14:paraId="54A014B7">
      <w:pPr>
        <w:spacing w:before="65" w:line="228" w:lineRule="auto"/>
        <w:ind w:left="2823"/>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b/>
          <w:bCs/>
          <w:spacing w:val="6"/>
          <w:sz w:val="20"/>
          <w:szCs w:val="20"/>
        </w:rPr>
        <w:t xml:space="preserve">8.3-1  </w:t>
      </w:r>
      <w:r>
        <w:rPr>
          <w:rFonts w:ascii="宋体" w:hAnsi="宋体" w:eastAsia="宋体" w:cs="宋体"/>
          <w:b/>
          <w:bCs/>
          <w:spacing w:val="6"/>
          <w:sz w:val="20"/>
          <w:szCs w:val="20"/>
        </w:rPr>
        <w:t>施工期环境管理及监理主要内容</w:t>
      </w:r>
    </w:p>
    <w:p w14:paraId="4B88B1BF">
      <w:pPr>
        <w:spacing w:line="102" w:lineRule="exact"/>
      </w:pPr>
    </w:p>
    <w:tbl>
      <w:tblPr>
        <w:tblStyle w:val="5"/>
        <w:tblW w:w="90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4346"/>
        <w:gridCol w:w="1619"/>
        <w:gridCol w:w="1936"/>
      </w:tblGrid>
      <w:tr w14:paraId="2AA37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1104" w:type="dxa"/>
            <w:vAlign w:val="top"/>
          </w:tcPr>
          <w:p w14:paraId="0E16C490">
            <w:pPr>
              <w:pStyle w:val="6"/>
              <w:spacing w:before="40" w:line="224" w:lineRule="auto"/>
              <w:ind w:left="151"/>
            </w:pPr>
            <w:r>
              <w:rPr>
                <w:b/>
                <w:bCs/>
                <w:spacing w:val="3"/>
              </w:rPr>
              <w:t>防治对象</w:t>
            </w:r>
          </w:p>
        </w:tc>
        <w:tc>
          <w:tcPr>
            <w:tcW w:w="4346" w:type="dxa"/>
            <w:vAlign w:val="top"/>
          </w:tcPr>
          <w:p w14:paraId="51DF2A0F">
            <w:pPr>
              <w:pStyle w:val="6"/>
              <w:spacing w:before="40" w:line="224" w:lineRule="auto"/>
              <w:ind w:left="2011"/>
            </w:pPr>
            <w:r>
              <w:rPr>
                <w:b/>
                <w:bCs/>
                <w:spacing w:val="3"/>
              </w:rPr>
              <w:t>防治措施</w:t>
            </w:r>
          </w:p>
        </w:tc>
        <w:tc>
          <w:tcPr>
            <w:tcW w:w="1619" w:type="dxa"/>
            <w:vAlign w:val="top"/>
          </w:tcPr>
          <w:p w14:paraId="7ADFBC06">
            <w:pPr>
              <w:pStyle w:val="6"/>
              <w:spacing w:before="40" w:line="224" w:lineRule="auto"/>
              <w:ind w:left="637"/>
            </w:pPr>
            <w:r>
              <w:rPr>
                <w:b/>
                <w:bCs/>
                <w:spacing w:val="6"/>
              </w:rPr>
              <w:t>环境管理</w:t>
            </w:r>
          </w:p>
        </w:tc>
        <w:tc>
          <w:tcPr>
            <w:tcW w:w="1936" w:type="dxa"/>
            <w:vAlign w:val="top"/>
          </w:tcPr>
          <w:p w14:paraId="3F49F398">
            <w:pPr>
              <w:pStyle w:val="6"/>
              <w:spacing w:before="40" w:line="224" w:lineRule="auto"/>
              <w:ind w:left="794"/>
            </w:pPr>
            <w:r>
              <w:rPr>
                <w:b/>
                <w:bCs/>
                <w:spacing w:val="6"/>
              </w:rPr>
              <w:t>环境监理</w:t>
            </w:r>
          </w:p>
        </w:tc>
      </w:tr>
      <w:tr w14:paraId="78FB9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04" w:type="dxa"/>
            <w:vMerge w:val="restart"/>
            <w:tcBorders>
              <w:bottom w:val="nil"/>
            </w:tcBorders>
            <w:vAlign w:val="top"/>
          </w:tcPr>
          <w:p w14:paraId="2FA591E5">
            <w:pPr>
              <w:spacing w:line="272" w:lineRule="auto"/>
              <w:rPr>
                <w:rFonts w:ascii="Arial"/>
                <w:sz w:val="21"/>
              </w:rPr>
            </w:pPr>
          </w:p>
          <w:p w14:paraId="35E59742">
            <w:pPr>
              <w:spacing w:line="273" w:lineRule="auto"/>
              <w:rPr>
                <w:rFonts w:ascii="Arial"/>
                <w:sz w:val="21"/>
              </w:rPr>
            </w:pPr>
          </w:p>
          <w:p w14:paraId="00221329">
            <w:pPr>
              <w:spacing w:line="273" w:lineRule="auto"/>
              <w:rPr>
                <w:rFonts w:ascii="Arial"/>
                <w:sz w:val="21"/>
              </w:rPr>
            </w:pPr>
          </w:p>
          <w:p w14:paraId="0DD16432">
            <w:pPr>
              <w:spacing w:line="273" w:lineRule="auto"/>
              <w:rPr>
                <w:rFonts w:ascii="Arial"/>
                <w:sz w:val="21"/>
              </w:rPr>
            </w:pPr>
          </w:p>
          <w:p w14:paraId="775AA299">
            <w:pPr>
              <w:pStyle w:val="6"/>
              <w:spacing w:before="65" w:line="231" w:lineRule="auto"/>
              <w:ind w:left="137"/>
            </w:pPr>
            <w:r>
              <w:rPr>
                <w:spacing w:val="7"/>
              </w:rPr>
              <w:t>施工扬尘</w:t>
            </w:r>
          </w:p>
        </w:tc>
        <w:tc>
          <w:tcPr>
            <w:tcW w:w="4346" w:type="dxa"/>
            <w:vAlign w:val="top"/>
          </w:tcPr>
          <w:p w14:paraId="7D250F15">
            <w:pPr>
              <w:pStyle w:val="6"/>
              <w:spacing w:before="32" w:line="228" w:lineRule="auto"/>
              <w:ind w:left="183"/>
            </w:pPr>
            <w:r>
              <w:rPr>
                <w:spacing w:val="9"/>
              </w:rPr>
              <w:t>运土及运粉状建筑材料的运输车辆应采用加</w:t>
            </w:r>
          </w:p>
          <w:p w14:paraId="7596CE22">
            <w:pPr>
              <w:pStyle w:val="6"/>
              <w:spacing w:before="24" w:line="218" w:lineRule="auto"/>
              <w:ind w:left="604"/>
            </w:pPr>
            <w:r>
              <w:rPr>
                <w:spacing w:val="8"/>
              </w:rPr>
              <w:t>盖专用车辆或者配置防洒落装置。</w:t>
            </w:r>
          </w:p>
        </w:tc>
        <w:tc>
          <w:tcPr>
            <w:tcW w:w="1619" w:type="dxa"/>
            <w:vMerge w:val="restart"/>
            <w:tcBorders>
              <w:bottom w:val="nil"/>
            </w:tcBorders>
            <w:vAlign w:val="top"/>
          </w:tcPr>
          <w:p w14:paraId="16D09611">
            <w:pPr>
              <w:spacing w:line="265" w:lineRule="auto"/>
              <w:rPr>
                <w:rFonts w:ascii="Arial"/>
                <w:sz w:val="21"/>
              </w:rPr>
            </w:pPr>
          </w:p>
          <w:p w14:paraId="4A082BC2">
            <w:pPr>
              <w:spacing w:line="265" w:lineRule="auto"/>
              <w:rPr>
                <w:rFonts w:ascii="Arial"/>
                <w:sz w:val="21"/>
              </w:rPr>
            </w:pPr>
          </w:p>
          <w:p w14:paraId="0C8B4D6A">
            <w:pPr>
              <w:spacing w:line="265" w:lineRule="auto"/>
              <w:rPr>
                <w:rFonts w:ascii="Arial"/>
                <w:sz w:val="21"/>
              </w:rPr>
            </w:pPr>
          </w:p>
          <w:p w14:paraId="1FC18674">
            <w:pPr>
              <w:spacing w:line="265" w:lineRule="auto"/>
              <w:rPr>
                <w:rFonts w:ascii="Arial"/>
                <w:sz w:val="21"/>
              </w:rPr>
            </w:pPr>
          </w:p>
          <w:p w14:paraId="1BC622C6">
            <w:pPr>
              <w:spacing w:line="265" w:lineRule="auto"/>
              <w:rPr>
                <w:rFonts w:ascii="Arial"/>
                <w:sz w:val="21"/>
              </w:rPr>
            </w:pPr>
          </w:p>
          <w:p w14:paraId="6F7A507C">
            <w:pPr>
              <w:spacing w:line="265" w:lineRule="auto"/>
              <w:rPr>
                <w:rFonts w:ascii="Arial"/>
                <w:sz w:val="21"/>
              </w:rPr>
            </w:pPr>
          </w:p>
          <w:p w14:paraId="7C9BBFFE">
            <w:pPr>
              <w:spacing w:line="265" w:lineRule="auto"/>
              <w:rPr>
                <w:rFonts w:ascii="Arial"/>
                <w:sz w:val="21"/>
              </w:rPr>
            </w:pPr>
          </w:p>
          <w:p w14:paraId="4861455B">
            <w:pPr>
              <w:spacing w:line="265" w:lineRule="auto"/>
              <w:rPr>
                <w:rFonts w:ascii="Arial"/>
                <w:sz w:val="21"/>
              </w:rPr>
            </w:pPr>
          </w:p>
          <w:p w14:paraId="174967DB">
            <w:pPr>
              <w:spacing w:line="265" w:lineRule="auto"/>
              <w:rPr>
                <w:rFonts w:ascii="Arial"/>
                <w:sz w:val="21"/>
              </w:rPr>
            </w:pPr>
          </w:p>
          <w:p w14:paraId="4D4DE692">
            <w:pPr>
              <w:pStyle w:val="6"/>
              <w:spacing w:before="65" w:line="250" w:lineRule="auto"/>
              <w:ind w:left="114" w:right="105" w:firstLine="71"/>
            </w:pPr>
            <w:r>
              <w:rPr>
                <w:spacing w:val="8"/>
              </w:rPr>
              <w:t>施工单位环保</w:t>
            </w:r>
            <w:r>
              <w:rPr>
                <w:spacing w:val="1"/>
              </w:rPr>
              <w:t xml:space="preserve"> </w:t>
            </w:r>
            <w:r>
              <w:rPr>
                <w:spacing w:val="-1"/>
              </w:rPr>
              <w:t>措施上齐，落实</w:t>
            </w:r>
          </w:p>
          <w:p w14:paraId="717EA87A">
            <w:pPr>
              <w:pStyle w:val="6"/>
              <w:spacing w:line="251" w:lineRule="auto"/>
              <w:ind w:left="185" w:right="105" w:hanging="65"/>
            </w:pPr>
            <w:r>
              <w:rPr>
                <w:spacing w:val="-2"/>
              </w:rPr>
              <w:t>到人，做好施工</w:t>
            </w:r>
            <w:r>
              <w:t xml:space="preserve"> </w:t>
            </w:r>
            <w:r>
              <w:rPr>
                <w:spacing w:val="8"/>
              </w:rPr>
              <w:t>场地环境管理</w:t>
            </w:r>
          </w:p>
          <w:p w14:paraId="36E2E34B">
            <w:pPr>
              <w:pStyle w:val="6"/>
              <w:spacing w:line="229" w:lineRule="auto"/>
              <w:ind w:left="187"/>
            </w:pPr>
            <w:r>
              <w:rPr>
                <w:spacing w:val="6"/>
              </w:rPr>
              <w:t>和保洁工作。</w:t>
            </w:r>
          </w:p>
        </w:tc>
        <w:tc>
          <w:tcPr>
            <w:tcW w:w="1936" w:type="dxa"/>
            <w:vMerge w:val="restart"/>
            <w:tcBorders>
              <w:bottom w:val="nil"/>
            </w:tcBorders>
            <w:vAlign w:val="top"/>
          </w:tcPr>
          <w:p w14:paraId="2A96ED8B">
            <w:pPr>
              <w:spacing w:line="274" w:lineRule="auto"/>
              <w:rPr>
                <w:rFonts w:ascii="Arial"/>
                <w:sz w:val="21"/>
              </w:rPr>
            </w:pPr>
          </w:p>
          <w:p w14:paraId="67815115">
            <w:pPr>
              <w:spacing w:line="274" w:lineRule="auto"/>
              <w:rPr>
                <w:rFonts w:ascii="Arial"/>
                <w:sz w:val="21"/>
              </w:rPr>
            </w:pPr>
          </w:p>
          <w:p w14:paraId="3C4FEADF">
            <w:pPr>
              <w:spacing w:line="274" w:lineRule="auto"/>
              <w:rPr>
                <w:rFonts w:ascii="Arial"/>
                <w:sz w:val="21"/>
              </w:rPr>
            </w:pPr>
          </w:p>
          <w:p w14:paraId="53D485B9">
            <w:pPr>
              <w:pStyle w:val="6"/>
              <w:spacing w:before="65" w:line="228" w:lineRule="auto"/>
              <w:ind w:left="137"/>
            </w:pPr>
            <w:r>
              <w:rPr>
                <w:spacing w:val="8"/>
              </w:rPr>
              <w:t>建设行政管理部门</w:t>
            </w:r>
          </w:p>
          <w:p w14:paraId="2BCC4882">
            <w:pPr>
              <w:pStyle w:val="6"/>
              <w:spacing w:before="24" w:line="228" w:lineRule="auto"/>
              <w:ind w:left="134"/>
            </w:pPr>
            <w:r>
              <w:rPr>
                <w:spacing w:val="8"/>
              </w:rPr>
              <w:t>及环境管理部门进</w:t>
            </w:r>
          </w:p>
          <w:p w14:paraId="625737C6">
            <w:pPr>
              <w:pStyle w:val="6"/>
              <w:spacing w:before="24" w:line="228" w:lineRule="auto"/>
              <w:ind w:left="347"/>
            </w:pPr>
            <w:r>
              <w:rPr>
                <w:spacing w:val="6"/>
              </w:rPr>
              <w:t>行定期检查。</w:t>
            </w:r>
          </w:p>
        </w:tc>
      </w:tr>
      <w:tr w14:paraId="4FA4A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104" w:type="dxa"/>
            <w:vMerge w:val="continue"/>
            <w:tcBorders>
              <w:top w:val="nil"/>
              <w:bottom w:val="nil"/>
            </w:tcBorders>
            <w:vAlign w:val="top"/>
          </w:tcPr>
          <w:p w14:paraId="62640BC4">
            <w:pPr>
              <w:rPr>
                <w:rFonts w:ascii="Arial"/>
                <w:sz w:val="21"/>
              </w:rPr>
            </w:pPr>
          </w:p>
        </w:tc>
        <w:tc>
          <w:tcPr>
            <w:tcW w:w="4346" w:type="dxa"/>
            <w:vAlign w:val="top"/>
          </w:tcPr>
          <w:p w14:paraId="6911FFF2">
            <w:pPr>
              <w:pStyle w:val="6"/>
              <w:spacing w:before="32" w:line="228" w:lineRule="auto"/>
              <w:ind w:left="531"/>
            </w:pPr>
            <w:r>
              <w:rPr>
                <w:spacing w:val="8"/>
              </w:rPr>
              <w:t>施工场地车辆出入口设置车辆冲洗设施。</w:t>
            </w:r>
          </w:p>
          <w:p w14:paraId="3E17773C">
            <w:pPr>
              <w:pStyle w:val="6"/>
              <w:spacing w:before="24" w:line="216" w:lineRule="auto"/>
              <w:ind w:left="1126"/>
            </w:pPr>
            <w:r>
              <w:rPr>
                <w:spacing w:val="8"/>
              </w:rPr>
              <w:t>及时清扫散落的泥土。</w:t>
            </w:r>
          </w:p>
        </w:tc>
        <w:tc>
          <w:tcPr>
            <w:tcW w:w="1619" w:type="dxa"/>
            <w:vMerge w:val="continue"/>
            <w:tcBorders>
              <w:top w:val="nil"/>
              <w:bottom w:val="nil"/>
            </w:tcBorders>
            <w:vAlign w:val="top"/>
          </w:tcPr>
          <w:p w14:paraId="4FD3735D">
            <w:pPr>
              <w:rPr>
                <w:rFonts w:ascii="Arial"/>
                <w:sz w:val="21"/>
              </w:rPr>
            </w:pPr>
          </w:p>
        </w:tc>
        <w:tc>
          <w:tcPr>
            <w:tcW w:w="1936" w:type="dxa"/>
            <w:vMerge w:val="continue"/>
            <w:tcBorders>
              <w:top w:val="nil"/>
              <w:bottom w:val="nil"/>
            </w:tcBorders>
            <w:vAlign w:val="top"/>
          </w:tcPr>
          <w:p w14:paraId="7BE1789B">
            <w:pPr>
              <w:rPr>
                <w:rFonts w:ascii="Arial"/>
                <w:sz w:val="21"/>
              </w:rPr>
            </w:pPr>
          </w:p>
        </w:tc>
      </w:tr>
      <w:tr w14:paraId="1B89C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04" w:type="dxa"/>
            <w:vMerge w:val="continue"/>
            <w:tcBorders>
              <w:top w:val="nil"/>
              <w:bottom w:val="nil"/>
            </w:tcBorders>
            <w:vAlign w:val="top"/>
          </w:tcPr>
          <w:p w14:paraId="3BF0DAD9">
            <w:pPr>
              <w:rPr>
                <w:rFonts w:ascii="Arial"/>
                <w:sz w:val="21"/>
              </w:rPr>
            </w:pPr>
          </w:p>
        </w:tc>
        <w:tc>
          <w:tcPr>
            <w:tcW w:w="4346" w:type="dxa"/>
            <w:vAlign w:val="top"/>
          </w:tcPr>
          <w:p w14:paraId="3E9CB450">
            <w:pPr>
              <w:pStyle w:val="6"/>
              <w:spacing w:before="38" w:line="222" w:lineRule="auto"/>
              <w:ind w:left="811"/>
            </w:pPr>
            <w:r>
              <w:rPr>
                <w:spacing w:val="8"/>
              </w:rPr>
              <w:t>在各建、构筑物四周设置防护网。</w:t>
            </w:r>
          </w:p>
        </w:tc>
        <w:tc>
          <w:tcPr>
            <w:tcW w:w="1619" w:type="dxa"/>
            <w:vMerge w:val="continue"/>
            <w:tcBorders>
              <w:top w:val="nil"/>
              <w:bottom w:val="nil"/>
            </w:tcBorders>
            <w:vAlign w:val="top"/>
          </w:tcPr>
          <w:p w14:paraId="3C7859C4">
            <w:pPr>
              <w:rPr>
                <w:rFonts w:ascii="Arial"/>
                <w:sz w:val="21"/>
              </w:rPr>
            </w:pPr>
          </w:p>
        </w:tc>
        <w:tc>
          <w:tcPr>
            <w:tcW w:w="1936" w:type="dxa"/>
            <w:vMerge w:val="continue"/>
            <w:tcBorders>
              <w:top w:val="nil"/>
              <w:bottom w:val="nil"/>
            </w:tcBorders>
            <w:vAlign w:val="top"/>
          </w:tcPr>
          <w:p w14:paraId="78ADBF7E">
            <w:pPr>
              <w:rPr>
                <w:rFonts w:ascii="Arial"/>
                <w:sz w:val="21"/>
              </w:rPr>
            </w:pPr>
          </w:p>
        </w:tc>
      </w:tr>
      <w:tr w14:paraId="3D509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04" w:type="dxa"/>
            <w:vMerge w:val="continue"/>
            <w:tcBorders>
              <w:top w:val="nil"/>
              <w:bottom w:val="nil"/>
            </w:tcBorders>
            <w:vAlign w:val="top"/>
          </w:tcPr>
          <w:p w14:paraId="3A3B6A12">
            <w:pPr>
              <w:rPr>
                <w:rFonts w:ascii="Arial"/>
                <w:sz w:val="21"/>
              </w:rPr>
            </w:pPr>
          </w:p>
        </w:tc>
        <w:tc>
          <w:tcPr>
            <w:tcW w:w="4346" w:type="dxa"/>
            <w:vAlign w:val="top"/>
          </w:tcPr>
          <w:p w14:paraId="3AB6733D">
            <w:pPr>
              <w:pStyle w:val="6"/>
              <w:spacing w:before="37" w:line="223" w:lineRule="auto"/>
              <w:ind w:left="1127"/>
            </w:pPr>
            <w:r>
              <w:rPr>
                <w:spacing w:val="8"/>
              </w:rPr>
              <w:t>严禁焚烧废弃的建筑材料。</w:t>
            </w:r>
          </w:p>
        </w:tc>
        <w:tc>
          <w:tcPr>
            <w:tcW w:w="1619" w:type="dxa"/>
            <w:vMerge w:val="continue"/>
            <w:tcBorders>
              <w:top w:val="nil"/>
              <w:bottom w:val="nil"/>
            </w:tcBorders>
            <w:vAlign w:val="top"/>
          </w:tcPr>
          <w:p w14:paraId="3766A88F">
            <w:pPr>
              <w:rPr>
                <w:rFonts w:ascii="Arial"/>
                <w:sz w:val="21"/>
              </w:rPr>
            </w:pPr>
          </w:p>
        </w:tc>
        <w:tc>
          <w:tcPr>
            <w:tcW w:w="1936" w:type="dxa"/>
            <w:vMerge w:val="continue"/>
            <w:tcBorders>
              <w:top w:val="nil"/>
              <w:bottom w:val="nil"/>
            </w:tcBorders>
            <w:vAlign w:val="top"/>
          </w:tcPr>
          <w:p w14:paraId="40708A86">
            <w:pPr>
              <w:rPr>
                <w:rFonts w:ascii="Arial"/>
                <w:sz w:val="21"/>
              </w:rPr>
            </w:pPr>
          </w:p>
        </w:tc>
      </w:tr>
      <w:tr w14:paraId="5FC6B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04" w:type="dxa"/>
            <w:vMerge w:val="continue"/>
            <w:tcBorders>
              <w:top w:val="nil"/>
              <w:bottom w:val="nil"/>
            </w:tcBorders>
            <w:vAlign w:val="top"/>
          </w:tcPr>
          <w:p w14:paraId="4E679F14">
            <w:pPr>
              <w:rPr>
                <w:rFonts w:ascii="Arial"/>
                <w:sz w:val="21"/>
              </w:rPr>
            </w:pPr>
          </w:p>
        </w:tc>
        <w:tc>
          <w:tcPr>
            <w:tcW w:w="4346" w:type="dxa"/>
            <w:vAlign w:val="top"/>
          </w:tcPr>
          <w:p w14:paraId="6945ED86">
            <w:pPr>
              <w:pStyle w:val="6"/>
              <w:spacing w:before="38" w:line="222" w:lineRule="auto"/>
              <w:ind w:left="706"/>
            </w:pPr>
            <w:r>
              <w:rPr>
                <w:spacing w:val="8"/>
              </w:rPr>
              <w:t>粉状建材应设临时工棚或仓库储存。</w:t>
            </w:r>
          </w:p>
        </w:tc>
        <w:tc>
          <w:tcPr>
            <w:tcW w:w="1619" w:type="dxa"/>
            <w:vMerge w:val="continue"/>
            <w:tcBorders>
              <w:top w:val="nil"/>
              <w:bottom w:val="nil"/>
            </w:tcBorders>
            <w:vAlign w:val="top"/>
          </w:tcPr>
          <w:p w14:paraId="4C9E972F">
            <w:pPr>
              <w:rPr>
                <w:rFonts w:ascii="Arial"/>
                <w:sz w:val="21"/>
              </w:rPr>
            </w:pPr>
          </w:p>
        </w:tc>
        <w:tc>
          <w:tcPr>
            <w:tcW w:w="1936" w:type="dxa"/>
            <w:vMerge w:val="continue"/>
            <w:tcBorders>
              <w:top w:val="nil"/>
              <w:bottom w:val="nil"/>
            </w:tcBorders>
            <w:vAlign w:val="top"/>
          </w:tcPr>
          <w:p w14:paraId="577CCC16">
            <w:pPr>
              <w:rPr>
                <w:rFonts w:ascii="Arial"/>
                <w:sz w:val="21"/>
              </w:rPr>
            </w:pPr>
          </w:p>
        </w:tc>
      </w:tr>
      <w:tr w14:paraId="44DBB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4" w:type="dxa"/>
            <w:vMerge w:val="continue"/>
            <w:tcBorders>
              <w:top w:val="nil"/>
            </w:tcBorders>
            <w:vAlign w:val="top"/>
          </w:tcPr>
          <w:p w14:paraId="31DB418B">
            <w:pPr>
              <w:rPr>
                <w:rFonts w:ascii="Arial"/>
                <w:sz w:val="21"/>
              </w:rPr>
            </w:pPr>
          </w:p>
        </w:tc>
        <w:tc>
          <w:tcPr>
            <w:tcW w:w="4346" w:type="dxa"/>
            <w:vAlign w:val="top"/>
          </w:tcPr>
          <w:p w14:paraId="3644A6EB">
            <w:pPr>
              <w:pStyle w:val="6"/>
              <w:spacing w:before="32" w:line="234" w:lineRule="auto"/>
              <w:ind w:left="1025" w:right="176" w:hanging="422"/>
            </w:pPr>
            <w:r>
              <w:rPr>
                <w:spacing w:val="9"/>
              </w:rPr>
              <w:t>施工期间对车辆行驶的路面和部分易起</w:t>
            </w:r>
            <w:r>
              <w:rPr>
                <w:spacing w:val="7"/>
              </w:rPr>
              <w:t xml:space="preserve"> 尘的部位实施洒水抑尘。</w:t>
            </w:r>
          </w:p>
        </w:tc>
        <w:tc>
          <w:tcPr>
            <w:tcW w:w="1619" w:type="dxa"/>
            <w:vMerge w:val="continue"/>
            <w:tcBorders>
              <w:top w:val="nil"/>
              <w:bottom w:val="nil"/>
            </w:tcBorders>
            <w:vAlign w:val="top"/>
          </w:tcPr>
          <w:p w14:paraId="633693C2">
            <w:pPr>
              <w:rPr>
                <w:rFonts w:ascii="Arial"/>
                <w:sz w:val="21"/>
              </w:rPr>
            </w:pPr>
          </w:p>
        </w:tc>
        <w:tc>
          <w:tcPr>
            <w:tcW w:w="1936" w:type="dxa"/>
            <w:vMerge w:val="continue"/>
            <w:tcBorders>
              <w:top w:val="nil"/>
            </w:tcBorders>
            <w:vAlign w:val="top"/>
          </w:tcPr>
          <w:p w14:paraId="0F0FAD7F">
            <w:pPr>
              <w:rPr>
                <w:rFonts w:ascii="Arial"/>
                <w:sz w:val="21"/>
              </w:rPr>
            </w:pPr>
          </w:p>
        </w:tc>
      </w:tr>
      <w:tr w14:paraId="3A5BF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4" w:type="dxa"/>
            <w:vMerge w:val="restart"/>
            <w:tcBorders>
              <w:bottom w:val="nil"/>
            </w:tcBorders>
            <w:vAlign w:val="top"/>
          </w:tcPr>
          <w:p w14:paraId="36463BCB">
            <w:pPr>
              <w:spacing w:line="273" w:lineRule="auto"/>
              <w:rPr>
                <w:rFonts w:ascii="Arial"/>
                <w:sz w:val="21"/>
              </w:rPr>
            </w:pPr>
          </w:p>
          <w:p w14:paraId="7C2E1F14">
            <w:pPr>
              <w:spacing w:line="273" w:lineRule="auto"/>
              <w:rPr>
                <w:rFonts w:ascii="Arial"/>
                <w:sz w:val="21"/>
              </w:rPr>
            </w:pPr>
          </w:p>
          <w:p w14:paraId="6D54353E">
            <w:pPr>
              <w:spacing w:line="274" w:lineRule="auto"/>
              <w:rPr>
                <w:rFonts w:ascii="Arial"/>
                <w:sz w:val="21"/>
              </w:rPr>
            </w:pPr>
          </w:p>
          <w:p w14:paraId="4657C794">
            <w:pPr>
              <w:spacing w:line="274" w:lineRule="auto"/>
              <w:rPr>
                <w:rFonts w:ascii="Arial"/>
                <w:sz w:val="21"/>
              </w:rPr>
            </w:pPr>
          </w:p>
          <w:p w14:paraId="1FD13521">
            <w:pPr>
              <w:spacing w:line="274" w:lineRule="auto"/>
              <w:rPr>
                <w:rFonts w:ascii="Arial"/>
                <w:sz w:val="21"/>
              </w:rPr>
            </w:pPr>
          </w:p>
          <w:p w14:paraId="13585F31">
            <w:pPr>
              <w:pStyle w:val="6"/>
              <w:spacing w:before="65" w:line="229" w:lineRule="auto"/>
              <w:ind w:left="137"/>
            </w:pPr>
            <w:r>
              <w:rPr>
                <w:spacing w:val="7"/>
              </w:rPr>
              <w:t>施工噪声</w:t>
            </w:r>
          </w:p>
        </w:tc>
        <w:tc>
          <w:tcPr>
            <w:tcW w:w="4346" w:type="dxa"/>
            <w:vAlign w:val="top"/>
          </w:tcPr>
          <w:p w14:paraId="71A4931D">
            <w:pPr>
              <w:pStyle w:val="6"/>
              <w:spacing w:before="35" w:line="228" w:lineRule="auto"/>
              <w:ind w:left="111"/>
            </w:pPr>
            <w:r>
              <w:rPr>
                <w:spacing w:val="9"/>
              </w:rPr>
              <w:t>采用较先进、噪声较低的施工设备或带隔声、</w:t>
            </w:r>
          </w:p>
          <w:p w14:paraId="3B1555D4">
            <w:pPr>
              <w:pStyle w:val="6"/>
              <w:spacing w:before="25" w:line="214" w:lineRule="auto"/>
              <w:ind w:left="1551"/>
            </w:pPr>
            <w:r>
              <w:rPr>
                <w:spacing w:val="6"/>
              </w:rPr>
              <w:t>消声的设备。</w:t>
            </w:r>
          </w:p>
        </w:tc>
        <w:tc>
          <w:tcPr>
            <w:tcW w:w="1619" w:type="dxa"/>
            <w:vMerge w:val="continue"/>
            <w:tcBorders>
              <w:top w:val="nil"/>
              <w:bottom w:val="nil"/>
            </w:tcBorders>
            <w:vAlign w:val="top"/>
          </w:tcPr>
          <w:p w14:paraId="2FBDF0A3">
            <w:pPr>
              <w:rPr>
                <w:rFonts w:ascii="Arial"/>
                <w:sz w:val="21"/>
              </w:rPr>
            </w:pPr>
          </w:p>
        </w:tc>
        <w:tc>
          <w:tcPr>
            <w:tcW w:w="1936" w:type="dxa"/>
            <w:vMerge w:val="restart"/>
            <w:tcBorders>
              <w:bottom w:val="nil"/>
            </w:tcBorders>
            <w:vAlign w:val="top"/>
          </w:tcPr>
          <w:p w14:paraId="01929E7E">
            <w:pPr>
              <w:spacing w:line="278" w:lineRule="auto"/>
              <w:rPr>
                <w:rFonts w:ascii="Arial"/>
                <w:sz w:val="21"/>
              </w:rPr>
            </w:pPr>
          </w:p>
          <w:p w14:paraId="45C708A5">
            <w:pPr>
              <w:spacing w:line="278" w:lineRule="auto"/>
              <w:rPr>
                <w:rFonts w:ascii="Arial"/>
                <w:sz w:val="21"/>
              </w:rPr>
            </w:pPr>
          </w:p>
          <w:p w14:paraId="27F3F68A">
            <w:pPr>
              <w:spacing w:line="278" w:lineRule="auto"/>
              <w:rPr>
                <w:rFonts w:ascii="Arial"/>
                <w:sz w:val="21"/>
              </w:rPr>
            </w:pPr>
          </w:p>
          <w:p w14:paraId="36C2E6A4">
            <w:pPr>
              <w:spacing w:line="278" w:lineRule="auto"/>
              <w:rPr>
                <w:rFonts w:ascii="Arial"/>
                <w:sz w:val="21"/>
              </w:rPr>
            </w:pPr>
          </w:p>
          <w:p w14:paraId="32B9B446">
            <w:pPr>
              <w:spacing w:line="278" w:lineRule="auto"/>
              <w:rPr>
                <w:rFonts w:ascii="Arial"/>
                <w:sz w:val="21"/>
              </w:rPr>
            </w:pPr>
          </w:p>
          <w:p w14:paraId="154B3FB9">
            <w:pPr>
              <w:pStyle w:val="6"/>
              <w:spacing w:before="65" w:line="251" w:lineRule="auto"/>
              <w:ind w:left="134" w:right="126" w:firstLine="420"/>
            </w:pPr>
            <w:r>
              <w:rPr>
                <w:spacing w:val="8"/>
              </w:rPr>
              <w:t>环保监理部门</w:t>
            </w:r>
            <w:r>
              <w:t xml:space="preserve"> </w:t>
            </w:r>
            <w:r>
              <w:rPr>
                <w:spacing w:val="8"/>
              </w:rPr>
              <w:t>对夜间噪声进行监</w:t>
            </w:r>
          </w:p>
          <w:p w14:paraId="6C2CD675">
            <w:pPr>
              <w:pStyle w:val="6"/>
              <w:spacing w:line="228" w:lineRule="auto"/>
              <w:ind w:left="559"/>
            </w:pPr>
            <w:r>
              <w:rPr>
                <w:spacing w:val="4"/>
              </w:rPr>
              <w:t>督检查。</w:t>
            </w:r>
          </w:p>
        </w:tc>
      </w:tr>
      <w:tr w14:paraId="3482F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4" w:type="dxa"/>
            <w:vMerge w:val="continue"/>
            <w:tcBorders>
              <w:top w:val="nil"/>
              <w:bottom w:val="nil"/>
            </w:tcBorders>
            <w:vAlign w:val="top"/>
          </w:tcPr>
          <w:p w14:paraId="17EF9424">
            <w:pPr>
              <w:rPr>
                <w:rFonts w:ascii="Arial"/>
                <w:sz w:val="21"/>
              </w:rPr>
            </w:pPr>
          </w:p>
        </w:tc>
        <w:tc>
          <w:tcPr>
            <w:tcW w:w="4346" w:type="dxa"/>
            <w:vAlign w:val="top"/>
          </w:tcPr>
          <w:p w14:paraId="4B86967A">
            <w:pPr>
              <w:pStyle w:val="6"/>
              <w:spacing w:before="34" w:line="233" w:lineRule="auto"/>
              <w:ind w:left="1668" w:right="106" w:hanging="1133"/>
            </w:pPr>
            <w:r>
              <w:rPr>
                <w:spacing w:val="5"/>
              </w:rPr>
              <w:t>夜间禁止打桩。严禁中午、夜间的休息时</w:t>
            </w:r>
            <w:r>
              <w:rPr>
                <w:spacing w:val="8"/>
              </w:rPr>
              <w:t xml:space="preserve"> </w:t>
            </w:r>
            <w:r>
              <w:rPr>
                <w:spacing w:val="2"/>
              </w:rPr>
              <w:t>间内施工。</w:t>
            </w:r>
          </w:p>
        </w:tc>
        <w:tc>
          <w:tcPr>
            <w:tcW w:w="1619" w:type="dxa"/>
            <w:vMerge w:val="continue"/>
            <w:tcBorders>
              <w:top w:val="nil"/>
              <w:bottom w:val="nil"/>
            </w:tcBorders>
            <w:vAlign w:val="top"/>
          </w:tcPr>
          <w:p w14:paraId="67F78C83">
            <w:pPr>
              <w:rPr>
                <w:rFonts w:ascii="Arial"/>
                <w:sz w:val="21"/>
              </w:rPr>
            </w:pPr>
          </w:p>
        </w:tc>
        <w:tc>
          <w:tcPr>
            <w:tcW w:w="1936" w:type="dxa"/>
            <w:vMerge w:val="continue"/>
            <w:tcBorders>
              <w:top w:val="nil"/>
              <w:bottom w:val="nil"/>
            </w:tcBorders>
            <w:vAlign w:val="top"/>
          </w:tcPr>
          <w:p w14:paraId="06D2E937">
            <w:pPr>
              <w:rPr>
                <w:rFonts w:ascii="Arial"/>
                <w:sz w:val="21"/>
              </w:rPr>
            </w:pPr>
          </w:p>
        </w:tc>
      </w:tr>
      <w:tr w14:paraId="242A4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04" w:type="dxa"/>
            <w:vMerge w:val="continue"/>
            <w:tcBorders>
              <w:top w:val="nil"/>
              <w:bottom w:val="nil"/>
            </w:tcBorders>
            <w:vAlign w:val="top"/>
          </w:tcPr>
          <w:p w14:paraId="0478D8E8">
            <w:pPr>
              <w:rPr>
                <w:rFonts w:ascii="Arial"/>
                <w:sz w:val="21"/>
              </w:rPr>
            </w:pPr>
          </w:p>
        </w:tc>
        <w:tc>
          <w:tcPr>
            <w:tcW w:w="4346" w:type="dxa"/>
            <w:vAlign w:val="top"/>
          </w:tcPr>
          <w:p w14:paraId="213DBA2C">
            <w:pPr>
              <w:pStyle w:val="6"/>
              <w:spacing w:before="40" w:line="220" w:lineRule="auto"/>
              <w:ind w:left="1023"/>
            </w:pPr>
            <w:r>
              <w:rPr>
                <w:spacing w:val="8"/>
              </w:rPr>
              <w:t>加强对施工机械的维护保养。</w:t>
            </w:r>
          </w:p>
        </w:tc>
        <w:tc>
          <w:tcPr>
            <w:tcW w:w="1619" w:type="dxa"/>
            <w:vMerge w:val="continue"/>
            <w:tcBorders>
              <w:top w:val="nil"/>
              <w:bottom w:val="nil"/>
            </w:tcBorders>
            <w:vAlign w:val="top"/>
          </w:tcPr>
          <w:p w14:paraId="452D7864">
            <w:pPr>
              <w:rPr>
                <w:rFonts w:ascii="Arial"/>
                <w:sz w:val="21"/>
              </w:rPr>
            </w:pPr>
          </w:p>
        </w:tc>
        <w:tc>
          <w:tcPr>
            <w:tcW w:w="1936" w:type="dxa"/>
            <w:vMerge w:val="continue"/>
            <w:tcBorders>
              <w:top w:val="nil"/>
              <w:bottom w:val="nil"/>
            </w:tcBorders>
            <w:vAlign w:val="top"/>
          </w:tcPr>
          <w:p w14:paraId="296A8624">
            <w:pPr>
              <w:rPr>
                <w:rFonts w:ascii="Arial"/>
                <w:sz w:val="21"/>
              </w:rPr>
            </w:pPr>
          </w:p>
        </w:tc>
      </w:tr>
      <w:tr w14:paraId="3D33E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04" w:type="dxa"/>
            <w:vMerge w:val="continue"/>
            <w:tcBorders>
              <w:top w:val="nil"/>
              <w:bottom w:val="nil"/>
            </w:tcBorders>
            <w:vAlign w:val="top"/>
          </w:tcPr>
          <w:p w14:paraId="5F4E81D0">
            <w:pPr>
              <w:rPr>
                <w:rFonts w:ascii="Arial"/>
                <w:sz w:val="21"/>
              </w:rPr>
            </w:pPr>
          </w:p>
        </w:tc>
        <w:tc>
          <w:tcPr>
            <w:tcW w:w="4346" w:type="dxa"/>
            <w:vAlign w:val="top"/>
          </w:tcPr>
          <w:p w14:paraId="78216BF3">
            <w:pPr>
              <w:pStyle w:val="6"/>
              <w:spacing w:before="39" w:line="221" w:lineRule="auto"/>
              <w:ind w:left="531"/>
            </w:pPr>
            <w:r>
              <w:rPr>
                <w:spacing w:val="8"/>
              </w:rPr>
              <w:t>对现场的施工车辆进行疏导，禁止鸣笛。</w:t>
            </w:r>
          </w:p>
        </w:tc>
        <w:tc>
          <w:tcPr>
            <w:tcW w:w="1619" w:type="dxa"/>
            <w:vMerge w:val="continue"/>
            <w:tcBorders>
              <w:top w:val="nil"/>
              <w:bottom w:val="nil"/>
            </w:tcBorders>
            <w:vAlign w:val="top"/>
          </w:tcPr>
          <w:p w14:paraId="61FEB0B3">
            <w:pPr>
              <w:rPr>
                <w:rFonts w:ascii="Arial"/>
                <w:sz w:val="21"/>
              </w:rPr>
            </w:pPr>
          </w:p>
        </w:tc>
        <w:tc>
          <w:tcPr>
            <w:tcW w:w="1936" w:type="dxa"/>
            <w:vMerge w:val="continue"/>
            <w:tcBorders>
              <w:top w:val="nil"/>
              <w:bottom w:val="nil"/>
            </w:tcBorders>
            <w:vAlign w:val="top"/>
          </w:tcPr>
          <w:p w14:paraId="142CE923">
            <w:pPr>
              <w:rPr>
                <w:rFonts w:ascii="Arial"/>
                <w:sz w:val="21"/>
              </w:rPr>
            </w:pPr>
          </w:p>
        </w:tc>
      </w:tr>
      <w:tr w14:paraId="59A2B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04" w:type="dxa"/>
            <w:vMerge w:val="continue"/>
            <w:tcBorders>
              <w:top w:val="nil"/>
              <w:bottom w:val="nil"/>
            </w:tcBorders>
            <w:vAlign w:val="top"/>
          </w:tcPr>
          <w:p w14:paraId="3D7198AD">
            <w:pPr>
              <w:rPr>
                <w:rFonts w:ascii="Arial"/>
                <w:sz w:val="21"/>
              </w:rPr>
            </w:pPr>
          </w:p>
        </w:tc>
        <w:tc>
          <w:tcPr>
            <w:tcW w:w="4346" w:type="dxa"/>
            <w:vAlign w:val="top"/>
          </w:tcPr>
          <w:p w14:paraId="54A55D61">
            <w:pPr>
              <w:pStyle w:val="6"/>
              <w:spacing w:before="40" w:line="220" w:lineRule="auto"/>
              <w:ind w:left="1023"/>
            </w:pPr>
            <w:r>
              <w:rPr>
                <w:spacing w:val="8"/>
              </w:rPr>
              <w:t>施工现场设置临时的声屏障。</w:t>
            </w:r>
          </w:p>
        </w:tc>
        <w:tc>
          <w:tcPr>
            <w:tcW w:w="1619" w:type="dxa"/>
            <w:vMerge w:val="continue"/>
            <w:tcBorders>
              <w:top w:val="nil"/>
              <w:bottom w:val="nil"/>
            </w:tcBorders>
            <w:vAlign w:val="top"/>
          </w:tcPr>
          <w:p w14:paraId="152CCEA9">
            <w:pPr>
              <w:rPr>
                <w:rFonts w:ascii="Arial"/>
                <w:sz w:val="21"/>
              </w:rPr>
            </w:pPr>
          </w:p>
        </w:tc>
        <w:tc>
          <w:tcPr>
            <w:tcW w:w="1936" w:type="dxa"/>
            <w:vMerge w:val="continue"/>
            <w:tcBorders>
              <w:top w:val="nil"/>
              <w:bottom w:val="nil"/>
            </w:tcBorders>
            <w:vAlign w:val="top"/>
          </w:tcPr>
          <w:p w14:paraId="40286617">
            <w:pPr>
              <w:rPr>
                <w:rFonts w:ascii="Arial"/>
                <w:sz w:val="21"/>
              </w:rPr>
            </w:pPr>
          </w:p>
        </w:tc>
      </w:tr>
      <w:tr w14:paraId="3EE88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4" w:type="dxa"/>
            <w:vMerge w:val="continue"/>
            <w:tcBorders>
              <w:top w:val="nil"/>
              <w:bottom w:val="nil"/>
            </w:tcBorders>
            <w:vAlign w:val="top"/>
          </w:tcPr>
          <w:p w14:paraId="3016B840">
            <w:pPr>
              <w:rPr>
                <w:rFonts w:ascii="Arial"/>
                <w:sz w:val="21"/>
              </w:rPr>
            </w:pPr>
          </w:p>
        </w:tc>
        <w:tc>
          <w:tcPr>
            <w:tcW w:w="4346" w:type="dxa"/>
            <w:vAlign w:val="top"/>
          </w:tcPr>
          <w:p w14:paraId="4C05D34C">
            <w:pPr>
              <w:pStyle w:val="6"/>
              <w:spacing w:before="34" w:line="233" w:lineRule="auto"/>
              <w:ind w:left="1656" w:right="104" w:hanging="1124"/>
            </w:pPr>
            <w:r>
              <w:rPr>
                <w:spacing w:val="5"/>
              </w:rPr>
              <w:t>合理安排施工运输车辆进出区域，避开噪</w:t>
            </w:r>
            <w:r>
              <w:rPr>
                <w:spacing w:val="12"/>
              </w:rPr>
              <w:t xml:space="preserve"> </w:t>
            </w:r>
            <w:r>
              <w:rPr>
                <w:spacing w:val="5"/>
              </w:rPr>
              <w:t>声敏感区。</w:t>
            </w:r>
          </w:p>
        </w:tc>
        <w:tc>
          <w:tcPr>
            <w:tcW w:w="1619" w:type="dxa"/>
            <w:vMerge w:val="continue"/>
            <w:tcBorders>
              <w:top w:val="nil"/>
              <w:bottom w:val="nil"/>
            </w:tcBorders>
            <w:vAlign w:val="top"/>
          </w:tcPr>
          <w:p w14:paraId="48CCBD66">
            <w:pPr>
              <w:rPr>
                <w:rFonts w:ascii="Arial"/>
                <w:sz w:val="21"/>
              </w:rPr>
            </w:pPr>
          </w:p>
        </w:tc>
        <w:tc>
          <w:tcPr>
            <w:tcW w:w="1936" w:type="dxa"/>
            <w:vMerge w:val="continue"/>
            <w:tcBorders>
              <w:top w:val="nil"/>
              <w:bottom w:val="nil"/>
            </w:tcBorders>
            <w:vAlign w:val="top"/>
          </w:tcPr>
          <w:p w14:paraId="16660E4A">
            <w:pPr>
              <w:rPr>
                <w:rFonts w:ascii="Arial"/>
                <w:sz w:val="21"/>
              </w:rPr>
            </w:pPr>
          </w:p>
        </w:tc>
      </w:tr>
      <w:tr w14:paraId="70A65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04" w:type="dxa"/>
            <w:vMerge w:val="continue"/>
            <w:tcBorders>
              <w:top w:val="nil"/>
            </w:tcBorders>
            <w:vAlign w:val="top"/>
          </w:tcPr>
          <w:p w14:paraId="52CB4EA0">
            <w:pPr>
              <w:rPr>
                <w:rFonts w:ascii="Arial"/>
                <w:sz w:val="21"/>
              </w:rPr>
            </w:pPr>
          </w:p>
        </w:tc>
        <w:tc>
          <w:tcPr>
            <w:tcW w:w="4346" w:type="dxa"/>
            <w:vAlign w:val="top"/>
          </w:tcPr>
          <w:p w14:paraId="70CECFFD">
            <w:pPr>
              <w:pStyle w:val="6"/>
              <w:spacing w:before="35" w:line="233" w:lineRule="auto"/>
              <w:ind w:left="1968" w:right="176" w:hanging="1364"/>
            </w:pPr>
            <w:r>
              <w:rPr>
                <w:spacing w:val="9"/>
              </w:rPr>
              <w:t>有市电供给情况下禁止使用柴油发电机</w:t>
            </w:r>
            <w:r>
              <w:rPr>
                <w:spacing w:val="5"/>
              </w:rPr>
              <w:t xml:space="preserve"> </w:t>
            </w:r>
            <w:r>
              <w:rPr>
                <w:spacing w:val="-1"/>
              </w:rPr>
              <w:t>组。</w:t>
            </w:r>
          </w:p>
        </w:tc>
        <w:tc>
          <w:tcPr>
            <w:tcW w:w="1619" w:type="dxa"/>
            <w:vMerge w:val="continue"/>
            <w:tcBorders>
              <w:top w:val="nil"/>
              <w:bottom w:val="nil"/>
            </w:tcBorders>
            <w:vAlign w:val="top"/>
          </w:tcPr>
          <w:p w14:paraId="1BD85906">
            <w:pPr>
              <w:rPr>
                <w:rFonts w:ascii="Arial"/>
                <w:sz w:val="21"/>
              </w:rPr>
            </w:pPr>
          </w:p>
        </w:tc>
        <w:tc>
          <w:tcPr>
            <w:tcW w:w="1936" w:type="dxa"/>
            <w:vMerge w:val="continue"/>
            <w:tcBorders>
              <w:top w:val="nil"/>
              <w:bottom w:val="nil"/>
            </w:tcBorders>
            <w:vAlign w:val="top"/>
          </w:tcPr>
          <w:p w14:paraId="6C086CF9">
            <w:pPr>
              <w:rPr>
                <w:rFonts w:ascii="Arial"/>
                <w:sz w:val="21"/>
              </w:rPr>
            </w:pPr>
          </w:p>
        </w:tc>
      </w:tr>
      <w:tr w14:paraId="014FC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04" w:type="dxa"/>
            <w:vMerge w:val="restart"/>
            <w:tcBorders>
              <w:bottom w:val="nil"/>
            </w:tcBorders>
            <w:vAlign w:val="top"/>
          </w:tcPr>
          <w:p w14:paraId="0F4DBA3A">
            <w:pPr>
              <w:pStyle w:val="6"/>
              <w:spacing w:before="188" w:line="228" w:lineRule="auto"/>
              <w:ind w:left="137"/>
            </w:pPr>
            <w:r>
              <w:rPr>
                <w:spacing w:val="7"/>
              </w:rPr>
              <w:t>施工废水</w:t>
            </w:r>
          </w:p>
        </w:tc>
        <w:tc>
          <w:tcPr>
            <w:tcW w:w="4346" w:type="dxa"/>
            <w:vAlign w:val="top"/>
          </w:tcPr>
          <w:p w14:paraId="3B60B76E">
            <w:pPr>
              <w:pStyle w:val="6"/>
              <w:spacing w:before="39" w:line="221" w:lineRule="auto"/>
              <w:ind w:right="9"/>
              <w:jc w:val="right"/>
            </w:pPr>
            <w:r>
              <w:t>建设临时导流沟、蓄水池、循环水池、沉淀池。</w:t>
            </w:r>
          </w:p>
        </w:tc>
        <w:tc>
          <w:tcPr>
            <w:tcW w:w="1619" w:type="dxa"/>
            <w:vMerge w:val="continue"/>
            <w:tcBorders>
              <w:top w:val="nil"/>
              <w:bottom w:val="nil"/>
            </w:tcBorders>
            <w:vAlign w:val="top"/>
          </w:tcPr>
          <w:p w14:paraId="76F48010">
            <w:pPr>
              <w:rPr>
                <w:rFonts w:ascii="Arial"/>
                <w:sz w:val="21"/>
              </w:rPr>
            </w:pPr>
          </w:p>
        </w:tc>
        <w:tc>
          <w:tcPr>
            <w:tcW w:w="1936" w:type="dxa"/>
            <w:vMerge w:val="continue"/>
            <w:tcBorders>
              <w:top w:val="nil"/>
              <w:bottom w:val="nil"/>
            </w:tcBorders>
            <w:vAlign w:val="top"/>
          </w:tcPr>
          <w:p w14:paraId="3CB2D859">
            <w:pPr>
              <w:rPr>
                <w:rFonts w:ascii="Arial"/>
                <w:sz w:val="21"/>
              </w:rPr>
            </w:pPr>
          </w:p>
        </w:tc>
      </w:tr>
      <w:tr w14:paraId="1024C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104" w:type="dxa"/>
            <w:vMerge w:val="continue"/>
            <w:tcBorders>
              <w:top w:val="nil"/>
            </w:tcBorders>
            <w:vAlign w:val="top"/>
          </w:tcPr>
          <w:p w14:paraId="45361517">
            <w:pPr>
              <w:rPr>
                <w:rFonts w:ascii="Arial"/>
                <w:sz w:val="21"/>
              </w:rPr>
            </w:pPr>
          </w:p>
        </w:tc>
        <w:tc>
          <w:tcPr>
            <w:tcW w:w="4346" w:type="dxa"/>
            <w:vAlign w:val="top"/>
          </w:tcPr>
          <w:p w14:paraId="6B5AEE80">
            <w:pPr>
              <w:pStyle w:val="6"/>
              <w:spacing w:before="40" w:line="220" w:lineRule="auto"/>
              <w:ind w:left="1025"/>
            </w:pPr>
            <w:r>
              <w:rPr>
                <w:spacing w:val="8"/>
              </w:rPr>
              <w:t>车辆、设备冲洗水循环使用。</w:t>
            </w:r>
          </w:p>
        </w:tc>
        <w:tc>
          <w:tcPr>
            <w:tcW w:w="1619" w:type="dxa"/>
            <w:vMerge w:val="continue"/>
            <w:tcBorders>
              <w:top w:val="nil"/>
            </w:tcBorders>
            <w:vAlign w:val="top"/>
          </w:tcPr>
          <w:p w14:paraId="5E776AA4">
            <w:pPr>
              <w:rPr>
                <w:rFonts w:ascii="Arial"/>
                <w:sz w:val="21"/>
              </w:rPr>
            </w:pPr>
          </w:p>
        </w:tc>
        <w:tc>
          <w:tcPr>
            <w:tcW w:w="1936" w:type="dxa"/>
            <w:vMerge w:val="continue"/>
            <w:tcBorders>
              <w:top w:val="nil"/>
            </w:tcBorders>
            <w:vAlign w:val="top"/>
          </w:tcPr>
          <w:p w14:paraId="12B4EF7D">
            <w:pPr>
              <w:rPr>
                <w:rFonts w:ascii="Arial"/>
                <w:sz w:val="21"/>
              </w:rPr>
            </w:pPr>
          </w:p>
        </w:tc>
      </w:tr>
      <w:tr w14:paraId="3D342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104" w:type="dxa"/>
            <w:vAlign w:val="top"/>
          </w:tcPr>
          <w:p w14:paraId="5BA17208">
            <w:pPr>
              <w:pStyle w:val="6"/>
              <w:spacing w:before="171" w:line="252" w:lineRule="auto"/>
              <w:ind w:left="246" w:right="131" w:hanging="106"/>
            </w:pPr>
            <w:r>
              <w:rPr>
                <w:spacing w:val="6"/>
              </w:rPr>
              <w:t>建筑及生</w:t>
            </w:r>
            <w:r>
              <w:rPr>
                <w:spacing w:val="2"/>
              </w:rPr>
              <w:t xml:space="preserve"> </w:t>
            </w:r>
            <w:r>
              <w:rPr>
                <w:spacing w:val="5"/>
              </w:rPr>
              <w:t>活垃圾</w:t>
            </w:r>
          </w:p>
        </w:tc>
        <w:tc>
          <w:tcPr>
            <w:tcW w:w="4346" w:type="dxa"/>
            <w:vAlign w:val="top"/>
          </w:tcPr>
          <w:p w14:paraId="712B1F05">
            <w:pPr>
              <w:pStyle w:val="6"/>
              <w:spacing w:before="170" w:line="252" w:lineRule="auto"/>
              <w:ind w:left="113" w:right="73"/>
            </w:pPr>
            <w:r>
              <w:rPr>
                <w:spacing w:val="5"/>
              </w:rPr>
              <w:t>建筑垃圾回收利用或定点堆放，生活垃圾由环</w:t>
            </w:r>
            <w:r>
              <w:rPr>
                <w:spacing w:val="18"/>
              </w:rPr>
              <w:t xml:space="preserve"> </w:t>
            </w:r>
            <w:r>
              <w:rPr>
                <w:spacing w:val="7"/>
              </w:rPr>
              <w:t>卫部门处理，装修垃圾由专业公司回收处理。</w:t>
            </w:r>
          </w:p>
        </w:tc>
        <w:tc>
          <w:tcPr>
            <w:tcW w:w="1619" w:type="dxa"/>
            <w:vAlign w:val="top"/>
          </w:tcPr>
          <w:p w14:paraId="78EEE4BC">
            <w:pPr>
              <w:pStyle w:val="6"/>
              <w:spacing w:before="171" w:line="229" w:lineRule="auto"/>
              <w:ind w:left="186"/>
            </w:pPr>
            <w:r>
              <w:rPr>
                <w:spacing w:val="8"/>
              </w:rPr>
              <w:t>渣土清运至指</w:t>
            </w:r>
          </w:p>
          <w:p w14:paraId="31DD55F7">
            <w:pPr>
              <w:pStyle w:val="6"/>
              <w:spacing w:before="23" w:line="229" w:lineRule="auto"/>
              <w:ind w:left="191"/>
            </w:pPr>
            <w:r>
              <w:rPr>
                <w:spacing w:val="5"/>
              </w:rPr>
              <w:t>定地点填埋。</w:t>
            </w:r>
          </w:p>
        </w:tc>
        <w:tc>
          <w:tcPr>
            <w:tcW w:w="1936" w:type="dxa"/>
            <w:vAlign w:val="top"/>
          </w:tcPr>
          <w:p w14:paraId="3A06C5B4">
            <w:pPr>
              <w:pStyle w:val="6"/>
              <w:spacing w:before="35" w:line="228" w:lineRule="auto"/>
              <w:ind w:left="137"/>
            </w:pPr>
            <w:r>
              <w:rPr>
                <w:spacing w:val="8"/>
              </w:rPr>
              <w:t>建设行政管理部门</w:t>
            </w:r>
          </w:p>
          <w:p w14:paraId="4E4874E0">
            <w:pPr>
              <w:pStyle w:val="6"/>
              <w:spacing w:before="26" w:line="228" w:lineRule="auto"/>
              <w:ind w:left="134"/>
            </w:pPr>
            <w:r>
              <w:rPr>
                <w:spacing w:val="8"/>
              </w:rPr>
              <w:t>及环境管理部门进</w:t>
            </w:r>
          </w:p>
          <w:p w14:paraId="7151EEC6">
            <w:pPr>
              <w:pStyle w:val="6"/>
              <w:spacing w:before="23" w:line="218" w:lineRule="auto"/>
              <w:ind w:left="347"/>
            </w:pPr>
            <w:r>
              <w:rPr>
                <w:spacing w:val="6"/>
              </w:rPr>
              <w:t>行定期检查。</w:t>
            </w:r>
          </w:p>
        </w:tc>
      </w:tr>
    </w:tbl>
    <w:p w14:paraId="738E8079">
      <w:pPr>
        <w:pStyle w:val="2"/>
        <w:spacing w:line="341" w:lineRule="auto"/>
      </w:pPr>
    </w:p>
    <w:p w14:paraId="7D405F6F">
      <w:pPr>
        <w:spacing w:before="78" w:line="221" w:lineRule="auto"/>
        <w:ind w:left="122"/>
        <w:outlineLvl w:val="2"/>
        <w:rPr>
          <w:rFonts w:ascii="宋体" w:hAnsi="宋体" w:eastAsia="宋体" w:cs="宋体"/>
          <w:sz w:val="24"/>
          <w:szCs w:val="24"/>
        </w:rPr>
      </w:pPr>
      <w:r>
        <w:rPr>
          <w:rFonts w:ascii="Times New Roman" w:hAnsi="Times New Roman" w:eastAsia="Times New Roman" w:cs="Times New Roman"/>
          <w:b/>
          <w:bCs/>
          <w:spacing w:val="-2"/>
          <w:sz w:val="24"/>
          <w:szCs w:val="24"/>
        </w:rPr>
        <w:t>8.3.2</w:t>
      </w:r>
      <w:r>
        <w:rPr>
          <w:rFonts w:ascii="宋体" w:hAnsi="宋体" w:eastAsia="宋体" w:cs="宋体"/>
          <w:b/>
          <w:bCs/>
          <w:spacing w:val="-2"/>
          <w:sz w:val="24"/>
          <w:szCs w:val="24"/>
        </w:rPr>
        <w:t>营运期环境监测计划</w:t>
      </w:r>
    </w:p>
    <w:p w14:paraId="042793A2">
      <w:pPr>
        <w:pStyle w:val="2"/>
        <w:spacing w:line="278" w:lineRule="auto"/>
      </w:pPr>
    </w:p>
    <w:p w14:paraId="4A6E110D">
      <w:pPr>
        <w:spacing w:before="78" w:line="221" w:lineRule="auto"/>
        <w:ind w:left="609"/>
        <w:rPr>
          <w:rFonts w:ascii="宋体" w:hAnsi="宋体" w:eastAsia="宋体" w:cs="宋体"/>
          <w:sz w:val="24"/>
          <w:szCs w:val="24"/>
        </w:rPr>
      </w:pPr>
      <w:r>
        <w:rPr>
          <w:rFonts w:ascii="Times New Roman" w:hAnsi="Times New Roman" w:eastAsia="Times New Roman" w:cs="Times New Roman"/>
          <w:b/>
          <w:bCs/>
          <w:spacing w:val="-8"/>
          <w:sz w:val="24"/>
          <w:szCs w:val="24"/>
        </w:rPr>
        <w:t>1</w:t>
      </w:r>
      <w:r>
        <w:rPr>
          <w:rFonts w:ascii="Times New Roman" w:hAnsi="Times New Roman" w:eastAsia="Times New Roman" w:cs="Times New Roman"/>
          <w:b/>
          <w:bCs/>
          <w:spacing w:val="-32"/>
          <w:sz w:val="24"/>
          <w:szCs w:val="24"/>
        </w:rPr>
        <w:t xml:space="preserve"> </w:t>
      </w:r>
      <w:r>
        <w:rPr>
          <w:rFonts w:ascii="宋体" w:hAnsi="宋体" w:eastAsia="宋体" w:cs="宋体"/>
          <w:b/>
          <w:bCs/>
          <w:spacing w:val="-8"/>
          <w:sz w:val="24"/>
          <w:szCs w:val="24"/>
        </w:rPr>
        <w:t>、污染源监测</w:t>
      </w:r>
    </w:p>
    <w:p w14:paraId="2D77DC2C">
      <w:pPr>
        <w:spacing w:before="165" w:line="361"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）大气污染源监测</w:t>
      </w:r>
    </w:p>
    <w:p w14:paraId="5CA9DDA4">
      <w:pPr>
        <w:spacing w:before="129" w:line="367" w:lineRule="auto"/>
        <w:ind w:left="126" w:right="257" w:firstLine="477"/>
        <w:rPr>
          <w:rFonts w:ascii="宋体" w:hAnsi="宋体" w:eastAsia="宋体" w:cs="宋体"/>
          <w:sz w:val="24"/>
          <w:szCs w:val="24"/>
        </w:rPr>
      </w:pPr>
      <w:r>
        <w:rPr>
          <w:rFonts w:ascii="宋体" w:hAnsi="宋体" w:eastAsia="宋体" w:cs="宋体"/>
          <w:spacing w:val="1"/>
          <w:sz w:val="24"/>
          <w:szCs w:val="24"/>
        </w:rPr>
        <w:t>监测点布设：项目边界上风向设置</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个参照</w:t>
      </w:r>
      <w:r>
        <w:rPr>
          <w:rFonts w:ascii="宋体" w:hAnsi="宋体" w:eastAsia="宋体" w:cs="宋体"/>
          <w:sz w:val="24"/>
          <w:szCs w:val="24"/>
        </w:rPr>
        <w:t>点，项目边界下风向设置</w:t>
      </w:r>
      <w:r>
        <w:rPr>
          <w:rFonts w:ascii="Times New Roman" w:hAnsi="Times New Roman" w:eastAsia="Times New Roman" w:cs="Times New Roman"/>
          <w:sz w:val="24"/>
          <w:szCs w:val="24"/>
        </w:rPr>
        <w:t xml:space="preserve">3 </w:t>
      </w:r>
      <w:r>
        <w:rPr>
          <w:rFonts w:ascii="宋体" w:hAnsi="宋体" w:eastAsia="宋体" w:cs="宋体"/>
          <w:sz w:val="24"/>
          <w:szCs w:val="24"/>
        </w:rPr>
        <w:t xml:space="preserve">个无组 </w:t>
      </w:r>
      <w:r>
        <w:rPr>
          <w:rFonts w:ascii="宋体" w:hAnsi="宋体" w:eastAsia="宋体" w:cs="宋体"/>
          <w:spacing w:val="-2"/>
          <w:sz w:val="24"/>
          <w:szCs w:val="24"/>
        </w:rPr>
        <w:t>织排放监控点。</w:t>
      </w:r>
    </w:p>
    <w:p w14:paraId="36134205">
      <w:pPr>
        <w:spacing w:before="60" w:line="220" w:lineRule="auto"/>
        <w:ind w:left="603"/>
        <w:rPr>
          <w:rFonts w:ascii="宋体" w:hAnsi="宋体" w:eastAsia="宋体" w:cs="宋体"/>
          <w:sz w:val="24"/>
          <w:szCs w:val="24"/>
        </w:rPr>
      </w:pPr>
      <w:r>
        <w:rPr>
          <w:rFonts w:ascii="宋体" w:hAnsi="宋体" w:eastAsia="宋体" w:cs="宋体"/>
          <w:spacing w:val="-2"/>
          <w:sz w:val="24"/>
          <w:szCs w:val="24"/>
        </w:rPr>
        <w:t>监测项目：臭气浓度。</w:t>
      </w:r>
    </w:p>
    <w:p w14:paraId="50D15F53">
      <w:pPr>
        <w:spacing w:before="204" w:line="376" w:lineRule="auto"/>
        <w:ind w:left="123" w:right="257" w:firstLine="480"/>
        <w:jc w:val="both"/>
        <w:rPr>
          <w:rFonts w:ascii="宋体" w:hAnsi="宋体" w:eastAsia="宋体" w:cs="宋体"/>
          <w:sz w:val="24"/>
          <w:szCs w:val="24"/>
        </w:rPr>
      </w:pPr>
      <w:r>
        <w:rPr>
          <w:rFonts w:ascii="宋体" w:hAnsi="宋体" w:eastAsia="宋体" w:cs="宋体"/>
          <w:sz w:val="24"/>
          <w:szCs w:val="24"/>
        </w:rPr>
        <w:t>监测频次：一年一次。事故性监测：当发生事故性</w:t>
      </w:r>
      <w:r>
        <w:rPr>
          <w:rFonts w:ascii="宋体" w:hAnsi="宋体" w:eastAsia="宋体" w:cs="宋体"/>
          <w:spacing w:val="-1"/>
          <w:sz w:val="24"/>
          <w:szCs w:val="24"/>
        </w:rPr>
        <w:t>排放时，应严格监控、及时</w:t>
      </w:r>
      <w:r>
        <w:rPr>
          <w:rFonts w:ascii="宋体" w:hAnsi="宋体" w:eastAsia="宋体" w:cs="宋体"/>
          <w:sz w:val="24"/>
          <w:szCs w:val="24"/>
        </w:rPr>
        <w:t xml:space="preserve"> 监测，特别做好对下风向受影响范围内的居民区污染物</w:t>
      </w:r>
      <w:r>
        <w:rPr>
          <w:rFonts w:ascii="宋体" w:hAnsi="宋体" w:eastAsia="宋体" w:cs="宋体"/>
          <w:spacing w:val="-1"/>
          <w:sz w:val="24"/>
          <w:szCs w:val="24"/>
        </w:rPr>
        <w:t>浓度进行连续监测工作，直</w:t>
      </w:r>
      <w:r>
        <w:rPr>
          <w:rFonts w:ascii="宋体" w:hAnsi="宋体" w:eastAsia="宋体" w:cs="宋体"/>
          <w:sz w:val="24"/>
          <w:szCs w:val="24"/>
        </w:rPr>
        <w:t xml:space="preserve"> </w:t>
      </w:r>
      <w:r>
        <w:rPr>
          <w:rFonts w:ascii="宋体" w:hAnsi="宋体" w:eastAsia="宋体" w:cs="宋体"/>
          <w:spacing w:val="-2"/>
          <w:sz w:val="24"/>
          <w:szCs w:val="24"/>
        </w:rPr>
        <w:t>至恢复正常的环境。</w:t>
      </w:r>
    </w:p>
    <w:p w14:paraId="151CBCE9">
      <w:pPr>
        <w:spacing w:line="219" w:lineRule="auto"/>
        <w:ind w:left="603"/>
        <w:rPr>
          <w:rFonts w:ascii="宋体" w:hAnsi="宋体" w:eastAsia="宋体" w:cs="宋体"/>
          <w:sz w:val="24"/>
          <w:szCs w:val="24"/>
        </w:rPr>
      </w:pPr>
      <w:r>
        <w:rPr>
          <w:rFonts w:ascii="宋体" w:hAnsi="宋体" w:eastAsia="宋体" w:cs="宋体"/>
          <w:spacing w:val="-1"/>
          <w:sz w:val="24"/>
          <w:szCs w:val="24"/>
        </w:rPr>
        <w:t>监测采样及分析方法：《环境监测技术规范》、《空气和废气监测分析方</w:t>
      </w:r>
      <w:r>
        <w:rPr>
          <w:rFonts w:ascii="宋体" w:hAnsi="宋体" w:eastAsia="宋体" w:cs="宋体"/>
          <w:spacing w:val="-2"/>
          <w:sz w:val="24"/>
          <w:szCs w:val="24"/>
        </w:rPr>
        <w:t>法》。</w:t>
      </w:r>
    </w:p>
    <w:p w14:paraId="68620E4B">
      <w:pPr>
        <w:spacing w:line="219" w:lineRule="auto"/>
        <w:rPr>
          <w:rFonts w:ascii="宋体" w:hAnsi="宋体" w:eastAsia="宋体" w:cs="宋体"/>
          <w:sz w:val="24"/>
          <w:szCs w:val="24"/>
        </w:rPr>
        <w:sectPr>
          <w:footerReference r:id="rId171" w:type="default"/>
          <w:pgSz w:w="11906" w:h="16839"/>
          <w:pgMar w:top="400" w:right="1420" w:bottom="1485" w:left="1475" w:header="0" w:footer="1249" w:gutter="0"/>
          <w:cols w:space="720" w:num="1"/>
        </w:sectPr>
      </w:pPr>
    </w:p>
    <w:p w14:paraId="1AB4AEA5">
      <w:pPr>
        <w:pStyle w:val="2"/>
        <w:spacing w:line="271" w:lineRule="auto"/>
      </w:pPr>
    </w:p>
    <w:p w14:paraId="72EA5DAF">
      <w:pPr>
        <w:pStyle w:val="2"/>
        <w:spacing w:line="271" w:lineRule="auto"/>
      </w:pPr>
    </w:p>
    <w:p w14:paraId="13DD3A52">
      <w:pPr>
        <w:pStyle w:val="2"/>
        <w:spacing w:line="271" w:lineRule="auto"/>
      </w:pPr>
    </w:p>
    <w:p w14:paraId="2C71A4B7">
      <w:pPr>
        <w:pStyle w:val="2"/>
        <w:spacing w:line="272" w:lineRule="auto"/>
      </w:pPr>
    </w:p>
    <w:p w14:paraId="4F6967B9">
      <w:pPr>
        <w:spacing w:before="65" w:line="229" w:lineRule="auto"/>
        <w:ind w:left="3372"/>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b/>
          <w:bCs/>
          <w:spacing w:val="5"/>
          <w:sz w:val="20"/>
          <w:szCs w:val="20"/>
        </w:rPr>
        <w:t xml:space="preserve">8.3-2 </w:t>
      </w:r>
      <w:r>
        <w:rPr>
          <w:rFonts w:ascii="宋体" w:hAnsi="宋体" w:eastAsia="宋体" w:cs="宋体"/>
          <w:b/>
          <w:bCs/>
          <w:spacing w:val="5"/>
          <w:sz w:val="20"/>
          <w:szCs w:val="20"/>
        </w:rPr>
        <w:t>无组织废气监测方案</w:t>
      </w:r>
    </w:p>
    <w:p w14:paraId="534320AA">
      <w:pPr>
        <w:spacing w:line="102"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9"/>
        <w:gridCol w:w="2235"/>
        <w:gridCol w:w="2236"/>
        <w:gridCol w:w="2240"/>
      </w:tblGrid>
      <w:tr w14:paraId="1B54D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239" w:type="dxa"/>
            <w:vAlign w:val="top"/>
          </w:tcPr>
          <w:p w14:paraId="5CAA5C6C">
            <w:pPr>
              <w:pStyle w:val="6"/>
              <w:spacing w:before="62" w:line="230" w:lineRule="auto"/>
              <w:ind w:left="705"/>
            </w:pPr>
            <w:r>
              <w:rPr>
                <w:b/>
                <w:bCs/>
                <w:spacing w:val="6"/>
              </w:rPr>
              <w:t>监测点位</w:t>
            </w:r>
          </w:p>
        </w:tc>
        <w:tc>
          <w:tcPr>
            <w:tcW w:w="2235" w:type="dxa"/>
            <w:vAlign w:val="top"/>
          </w:tcPr>
          <w:p w14:paraId="365EDE13">
            <w:pPr>
              <w:pStyle w:val="6"/>
              <w:spacing w:before="62" w:line="229" w:lineRule="auto"/>
              <w:ind w:left="703"/>
            </w:pPr>
            <w:r>
              <w:rPr>
                <w:b/>
                <w:bCs/>
                <w:spacing w:val="6"/>
              </w:rPr>
              <w:t>监测指标</w:t>
            </w:r>
          </w:p>
        </w:tc>
        <w:tc>
          <w:tcPr>
            <w:tcW w:w="2236" w:type="dxa"/>
            <w:vAlign w:val="top"/>
          </w:tcPr>
          <w:p w14:paraId="531150C1">
            <w:pPr>
              <w:pStyle w:val="6"/>
              <w:spacing w:before="62" w:line="228" w:lineRule="auto"/>
              <w:ind w:left="705"/>
            </w:pPr>
            <w:r>
              <w:rPr>
                <w:b/>
                <w:bCs/>
                <w:spacing w:val="6"/>
              </w:rPr>
              <w:t>监测频次</w:t>
            </w:r>
          </w:p>
        </w:tc>
        <w:tc>
          <w:tcPr>
            <w:tcW w:w="2240" w:type="dxa"/>
            <w:vAlign w:val="top"/>
          </w:tcPr>
          <w:p w14:paraId="1C01D10D">
            <w:pPr>
              <w:pStyle w:val="6"/>
              <w:spacing w:before="62" w:line="228" w:lineRule="auto"/>
              <w:ind w:left="493"/>
            </w:pPr>
            <w:r>
              <w:rPr>
                <w:b/>
                <w:bCs/>
                <w:spacing w:val="6"/>
              </w:rPr>
              <w:t>执行排放标准</w:t>
            </w:r>
          </w:p>
        </w:tc>
      </w:tr>
      <w:tr w14:paraId="40C5C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239" w:type="dxa"/>
            <w:vAlign w:val="top"/>
          </w:tcPr>
          <w:p w14:paraId="490EE1F5">
            <w:pPr>
              <w:pStyle w:val="6"/>
              <w:spacing w:before="28" w:line="274" w:lineRule="exact"/>
              <w:ind w:left="127"/>
            </w:pPr>
            <w:r>
              <w:rPr>
                <w:spacing w:val="8"/>
                <w:position w:val="1"/>
              </w:rPr>
              <w:t>边界上风向设置</w:t>
            </w:r>
            <w:r>
              <w:rPr>
                <w:rFonts w:ascii="Times New Roman" w:hAnsi="Times New Roman" w:eastAsia="Times New Roman" w:cs="Times New Roman"/>
                <w:spacing w:val="8"/>
                <w:position w:val="1"/>
              </w:rPr>
              <w:t>1</w:t>
            </w:r>
            <w:r>
              <w:rPr>
                <w:spacing w:val="8"/>
                <w:position w:val="1"/>
              </w:rPr>
              <w:t>个参</w:t>
            </w:r>
          </w:p>
          <w:p w14:paraId="41C5B6A6">
            <w:pPr>
              <w:pStyle w:val="6"/>
              <w:spacing w:before="83" w:line="229" w:lineRule="auto"/>
              <w:ind w:left="117"/>
            </w:pPr>
            <w:r>
              <w:t>照点，边界下风向设置</w:t>
            </w:r>
          </w:p>
          <w:p w14:paraId="07E9AFCE">
            <w:pPr>
              <w:pStyle w:val="6"/>
              <w:spacing w:before="47" w:line="274" w:lineRule="exact"/>
              <w:ind w:left="652"/>
            </w:pPr>
            <w:r>
              <w:rPr>
                <w:rFonts w:ascii="Times New Roman" w:hAnsi="Times New Roman" w:eastAsia="Times New Roman" w:cs="Times New Roman"/>
                <w:spacing w:val="6"/>
                <w:position w:val="1"/>
              </w:rPr>
              <w:t>3</w:t>
            </w:r>
            <w:r>
              <w:rPr>
                <w:spacing w:val="6"/>
                <w:position w:val="1"/>
              </w:rPr>
              <w:t>个监控点</w:t>
            </w:r>
          </w:p>
        </w:tc>
        <w:tc>
          <w:tcPr>
            <w:tcW w:w="2235" w:type="dxa"/>
            <w:vAlign w:val="top"/>
          </w:tcPr>
          <w:p w14:paraId="0A89259F">
            <w:pPr>
              <w:spacing w:line="319" w:lineRule="auto"/>
              <w:rPr>
                <w:rFonts w:ascii="Arial"/>
                <w:sz w:val="21"/>
              </w:rPr>
            </w:pPr>
          </w:p>
          <w:p w14:paraId="39D3A0FB">
            <w:pPr>
              <w:pStyle w:val="6"/>
              <w:spacing w:before="65" w:line="228" w:lineRule="auto"/>
              <w:ind w:left="702"/>
            </w:pPr>
            <w:r>
              <w:rPr>
                <w:spacing w:val="7"/>
              </w:rPr>
              <w:t>臭气浓度</w:t>
            </w:r>
          </w:p>
        </w:tc>
        <w:tc>
          <w:tcPr>
            <w:tcW w:w="2236" w:type="dxa"/>
            <w:vAlign w:val="top"/>
          </w:tcPr>
          <w:p w14:paraId="05C3D5F6">
            <w:pPr>
              <w:spacing w:line="319" w:lineRule="auto"/>
              <w:rPr>
                <w:rFonts w:ascii="Arial"/>
                <w:sz w:val="21"/>
              </w:rPr>
            </w:pPr>
          </w:p>
          <w:p w14:paraId="6515DCD0">
            <w:pPr>
              <w:pStyle w:val="6"/>
              <w:spacing w:before="65" w:line="228" w:lineRule="auto"/>
              <w:ind w:left="707"/>
            </w:pPr>
            <w:r>
              <w:rPr>
                <w:spacing w:val="6"/>
              </w:rPr>
              <w:t>一年一次</w:t>
            </w:r>
          </w:p>
        </w:tc>
        <w:tc>
          <w:tcPr>
            <w:tcW w:w="2240" w:type="dxa"/>
            <w:vAlign w:val="top"/>
          </w:tcPr>
          <w:p w14:paraId="511B219C">
            <w:pPr>
              <w:pStyle w:val="6"/>
              <w:spacing w:before="59" w:line="228" w:lineRule="auto"/>
              <w:ind w:left="184"/>
            </w:pPr>
            <w:r>
              <w:rPr>
                <w:spacing w:val="8"/>
              </w:rPr>
              <w:t>《畜禽养殖业污染物</w:t>
            </w:r>
          </w:p>
          <w:p w14:paraId="2847205A">
            <w:pPr>
              <w:pStyle w:val="6"/>
              <w:spacing w:before="79" w:line="229" w:lineRule="auto"/>
              <w:ind w:left="599"/>
            </w:pPr>
            <w:r>
              <w:rPr>
                <w:spacing w:val="5"/>
              </w:rPr>
              <w:t>排放标准》</w:t>
            </w:r>
          </w:p>
          <w:p w14:paraId="318BD4ED">
            <w:pPr>
              <w:pStyle w:val="6"/>
              <w:spacing w:before="47" w:line="274" w:lineRule="exact"/>
              <w:ind w:left="244"/>
            </w:pPr>
            <w:r>
              <w:rPr>
                <w:spacing w:val="4"/>
                <w:position w:val="1"/>
              </w:rPr>
              <w:t>（</w:t>
            </w:r>
            <w:r>
              <w:rPr>
                <w:rFonts w:ascii="Times New Roman" w:hAnsi="Times New Roman" w:eastAsia="Times New Roman" w:cs="Times New Roman"/>
                <w:position w:val="1"/>
              </w:rPr>
              <w:t>DB</w:t>
            </w:r>
            <w:r>
              <w:rPr>
                <w:rFonts w:ascii="Times New Roman" w:hAnsi="Times New Roman" w:eastAsia="Times New Roman" w:cs="Times New Roman"/>
                <w:spacing w:val="4"/>
                <w:position w:val="1"/>
              </w:rPr>
              <w:t>44/613-2009</w:t>
            </w:r>
            <w:r>
              <w:rPr>
                <w:spacing w:val="4"/>
                <w:position w:val="1"/>
              </w:rPr>
              <w:t>）</w:t>
            </w:r>
          </w:p>
        </w:tc>
      </w:tr>
    </w:tbl>
    <w:p w14:paraId="2DD73477">
      <w:pPr>
        <w:pStyle w:val="2"/>
        <w:spacing w:line="334" w:lineRule="auto"/>
      </w:pPr>
    </w:p>
    <w:p w14:paraId="6F6D82D2">
      <w:pPr>
        <w:spacing w:before="78" w:line="361"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）噪声源监测</w:t>
      </w:r>
    </w:p>
    <w:p w14:paraId="0ADCCD06">
      <w:pPr>
        <w:spacing w:before="163" w:line="221" w:lineRule="auto"/>
        <w:ind w:left="603"/>
        <w:rPr>
          <w:rFonts w:ascii="宋体" w:hAnsi="宋体" w:eastAsia="宋体" w:cs="宋体"/>
          <w:sz w:val="24"/>
          <w:szCs w:val="24"/>
        </w:rPr>
      </w:pPr>
      <w:r>
        <w:rPr>
          <w:rFonts w:ascii="宋体" w:hAnsi="宋体" w:eastAsia="宋体" w:cs="宋体"/>
          <w:spacing w:val="-1"/>
          <w:sz w:val="24"/>
          <w:szCs w:val="24"/>
        </w:rPr>
        <w:t>监测点位：建设项目厂界四周边界。</w:t>
      </w:r>
    </w:p>
    <w:p w14:paraId="4283C15C">
      <w:pPr>
        <w:spacing w:before="202" w:line="220" w:lineRule="auto"/>
        <w:ind w:left="603"/>
        <w:rPr>
          <w:rFonts w:ascii="宋体" w:hAnsi="宋体" w:eastAsia="宋体" w:cs="宋体"/>
          <w:sz w:val="24"/>
          <w:szCs w:val="24"/>
        </w:rPr>
      </w:pPr>
      <w:r>
        <w:rPr>
          <w:rFonts w:ascii="宋体" w:hAnsi="宋体" w:eastAsia="宋体" w:cs="宋体"/>
          <w:spacing w:val="-1"/>
          <w:sz w:val="24"/>
          <w:szCs w:val="24"/>
        </w:rPr>
        <w:t>监测项目：等效连续</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 xml:space="preserve">A </w:t>
      </w:r>
      <w:r>
        <w:rPr>
          <w:rFonts w:ascii="宋体" w:hAnsi="宋体" w:eastAsia="宋体" w:cs="宋体"/>
          <w:spacing w:val="-1"/>
          <w:sz w:val="24"/>
          <w:szCs w:val="24"/>
        </w:rPr>
        <w:t>声级。</w:t>
      </w:r>
    </w:p>
    <w:p w14:paraId="1E212F2F">
      <w:pPr>
        <w:spacing w:before="168" w:line="360" w:lineRule="exact"/>
        <w:ind w:left="603"/>
        <w:rPr>
          <w:rFonts w:ascii="宋体" w:hAnsi="宋体" w:eastAsia="宋体" w:cs="宋体"/>
          <w:sz w:val="24"/>
          <w:szCs w:val="24"/>
        </w:rPr>
      </w:pPr>
      <w:r>
        <w:rPr>
          <w:rFonts w:ascii="宋体" w:hAnsi="宋体" w:eastAsia="宋体" w:cs="宋体"/>
          <w:spacing w:val="-2"/>
          <w:position w:val="2"/>
          <w:sz w:val="24"/>
          <w:szCs w:val="24"/>
        </w:rPr>
        <w:t>监测频次：每季度一次，全年共</w:t>
      </w:r>
      <w:r>
        <w:rPr>
          <w:rFonts w:ascii="宋体" w:hAnsi="宋体" w:eastAsia="宋体" w:cs="宋体"/>
          <w:spacing w:val="-54"/>
          <w:position w:val="2"/>
          <w:sz w:val="24"/>
          <w:szCs w:val="24"/>
        </w:rPr>
        <w:t xml:space="preserve"> </w:t>
      </w:r>
      <w:r>
        <w:rPr>
          <w:rFonts w:ascii="Times New Roman" w:hAnsi="Times New Roman" w:eastAsia="Times New Roman" w:cs="Times New Roman"/>
          <w:spacing w:val="-2"/>
          <w:position w:val="2"/>
          <w:sz w:val="24"/>
          <w:szCs w:val="24"/>
        </w:rPr>
        <w:t>4</w:t>
      </w:r>
      <w:r>
        <w:rPr>
          <w:rFonts w:ascii="Times New Roman" w:hAnsi="Times New Roman" w:eastAsia="Times New Roman" w:cs="Times New Roman"/>
          <w:spacing w:val="16"/>
          <w:w w:val="101"/>
          <w:position w:val="2"/>
          <w:sz w:val="24"/>
          <w:szCs w:val="24"/>
        </w:rPr>
        <w:t xml:space="preserve"> </w:t>
      </w:r>
      <w:r>
        <w:rPr>
          <w:rFonts w:ascii="宋体" w:hAnsi="宋体" w:eastAsia="宋体" w:cs="宋体"/>
          <w:spacing w:val="-2"/>
          <w:position w:val="2"/>
          <w:sz w:val="24"/>
          <w:szCs w:val="24"/>
        </w:rPr>
        <w:t>次。</w:t>
      </w:r>
    </w:p>
    <w:p w14:paraId="02577409">
      <w:pPr>
        <w:spacing w:before="126" w:line="374" w:lineRule="auto"/>
        <w:ind w:left="127" w:right="269" w:firstLine="476"/>
        <w:rPr>
          <w:rFonts w:ascii="宋体" w:hAnsi="宋体" w:eastAsia="宋体" w:cs="宋体"/>
          <w:sz w:val="24"/>
          <w:szCs w:val="24"/>
        </w:rPr>
      </w:pPr>
      <w:r>
        <w:rPr>
          <w:rFonts w:ascii="宋体" w:hAnsi="宋体" w:eastAsia="宋体" w:cs="宋体"/>
          <w:spacing w:val="-2"/>
          <w:sz w:val="24"/>
          <w:szCs w:val="24"/>
        </w:rPr>
        <w:t>测量方法：选在无雨、风速小于</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5.5m/s</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的天气进行测量，传声器</w:t>
      </w:r>
      <w:r>
        <w:rPr>
          <w:rFonts w:ascii="宋体" w:hAnsi="宋体" w:eastAsia="宋体" w:cs="宋体"/>
          <w:spacing w:val="-3"/>
          <w:sz w:val="24"/>
          <w:szCs w:val="24"/>
        </w:rPr>
        <w:t>设置户外</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1m</w:t>
      </w:r>
      <w:r>
        <w:rPr>
          <w:rFonts w:ascii="Times New Roman" w:hAnsi="Times New Roman" w:eastAsia="Times New Roman" w:cs="Times New Roman"/>
          <w:sz w:val="24"/>
          <w:szCs w:val="24"/>
        </w:rPr>
        <w:t xml:space="preserve"> </w:t>
      </w:r>
      <w:r>
        <w:rPr>
          <w:rFonts w:ascii="宋体" w:hAnsi="宋体" w:eastAsia="宋体" w:cs="宋体"/>
          <w:spacing w:val="-4"/>
          <w:sz w:val="24"/>
          <w:szCs w:val="24"/>
        </w:rPr>
        <w:t>处，高度为</w:t>
      </w:r>
      <w:r>
        <w:rPr>
          <w:rFonts w:ascii="宋体" w:hAnsi="宋体" w:eastAsia="宋体" w:cs="宋体"/>
          <w:spacing w:val="-21"/>
          <w:sz w:val="24"/>
          <w:szCs w:val="24"/>
        </w:rPr>
        <w:t xml:space="preserve"> </w:t>
      </w:r>
      <w:r>
        <w:rPr>
          <w:rFonts w:ascii="Times New Roman" w:hAnsi="Times New Roman" w:eastAsia="Times New Roman" w:cs="Times New Roman"/>
          <w:spacing w:val="-4"/>
          <w:sz w:val="24"/>
          <w:szCs w:val="24"/>
        </w:rPr>
        <w:t>1.2-1.5m</w:t>
      </w:r>
      <w:r>
        <w:rPr>
          <w:rFonts w:ascii="宋体" w:hAnsi="宋体" w:eastAsia="宋体" w:cs="宋体"/>
          <w:spacing w:val="-4"/>
          <w:sz w:val="24"/>
          <w:szCs w:val="24"/>
        </w:rPr>
        <w:t>。</w:t>
      </w:r>
    </w:p>
    <w:p w14:paraId="2268F50E">
      <w:pPr>
        <w:spacing w:before="7" w:line="360"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4</w:t>
      </w:r>
      <w:r>
        <w:rPr>
          <w:rFonts w:ascii="宋体" w:hAnsi="宋体" w:eastAsia="宋体" w:cs="宋体"/>
          <w:spacing w:val="-2"/>
          <w:position w:val="2"/>
          <w:sz w:val="24"/>
          <w:szCs w:val="24"/>
        </w:rPr>
        <w:t>）固体废物监测（肥料）</w:t>
      </w:r>
    </w:p>
    <w:p w14:paraId="52274789">
      <w:pPr>
        <w:spacing w:before="165" w:line="220" w:lineRule="auto"/>
        <w:ind w:left="603"/>
        <w:rPr>
          <w:rFonts w:ascii="宋体" w:hAnsi="宋体" w:eastAsia="宋体" w:cs="宋体"/>
          <w:sz w:val="24"/>
          <w:szCs w:val="24"/>
        </w:rPr>
      </w:pPr>
      <w:r>
        <w:rPr>
          <w:rFonts w:ascii="宋体" w:hAnsi="宋体" w:eastAsia="宋体" w:cs="宋体"/>
          <w:spacing w:val="-1"/>
          <w:sz w:val="24"/>
          <w:szCs w:val="24"/>
        </w:rPr>
        <w:t>监测项目：蛔虫卵死亡率、粪大肠菌值。</w:t>
      </w:r>
    </w:p>
    <w:p w14:paraId="3C0FAE97">
      <w:pPr>
        <w:spacing w:before="165" w:line="367" w:lineRule="auto"/>
        <w:ind w:left="129" w:right="113" w:firstLine="474"/>
        <w:rPr>
          <w:rFonts w:ascii="宋体" w:hAnsi="宋体" w:eastAsia="宋体" w:cs="宋体"/>
          <w:sz w:val="24"/>
          <w:szCs w:val="24"/>
        </w:rPr>
      </w:pPr>
      <w:r>
        <w:rPr>
          <w:rFonts w:ascii="宋体" w:hAnsi="宋体" w:eastAsia="宋体" w:cs="宋体"/>
          <w:spacing w:val="-3"/>
          <w:sz w:val="24"/>
          <w:szCs w:val="24"/>
        </w:rPr>
        <w:t>监测频次：建设单位请有资质单位的监测公司定期监测，每半年</w:t>
      </w:r>
      <w:r>
        <w:rPr>
          <w:rFonts w:ascii="宋体" w:hAnsi="宋体" w:eastAsia="宋体" w:cs="宋体"/>
          <w:spacing w:val="-14"/>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次，全年共</w:t>
      </w:r>
      <w:r>
        <w:rPr>
          <w:rFonts w:ascii="Times New Roman" w:hAnsi="Times New Roman" w:eastAsia="Times New Roman" w:cs="Times New Roman"/>
          <w:spacing w:val="-3"/>
          <w:sz w:val="24"/>
          <w:szCs w:val="24"/>
        </w:rPr>
        <w:t>2</w:t>
      </w:r>
      <w:r>
        <w:rPr>
          <w:rFonts w:ascii="Times New Roman" w:hAnsi="Times New Roman" w:eastAsia="Times New Roman" w:cs="Times New Roman"/>
          <w:sz w:val="24"/>
          <w:szCs w:val="24"/>
        </w:rPr>
        <w:t xml:space="preserve"> </w:t>
      </w:r>
      <w:r>
        <w:rPr>
          <w:rFonts w:ascii="宋体" w:hAnsi="宋体" w:eastAsia="宋体" w:cs="宋体"/>
          <w:spacing w:val="-8"/>
          <w:sz w:val="24"/>
          <w:szCs w:val="24"/>
        </w:rPr>
        <w:t>次。</w:t>
      </w:r>
    </w:p>
    <w:p w14:paraId="4FC29092">
      <w:pPr>
        <w:spacing w:before="61" w:line="221" w:lineRule="auto"/>
        <w:ind w:left="599"/>
        <w:rPr>
          <w:rFonts w:ascii="宋体" w:hAnsi="宋体" w:eastAsia="宋体" w:cs="宋体"/>
          <w:sz w:val="24"/>
          <w:szCs w:val="24"/>
        </w:rPr>
      </w:pPr>
      <w:r>
        <w:rPr>
          <w:rFonts w:ascii="Times New Roman" w:hAnsi="Times New Roman" w:eastAsia="Times New Roman" w:cs="Times New Roman"/>
          <w:b/>
          <w:bCs/>
          <w:spacing w:val="-6"/>
          <w:sz w:val="24"/>
          <w:szCs w:val="24"/>
        </w:rPr>
        <w:t>2</w:t>
      </w:r>
      <w:r>
        <w:rPr>
          <w:rFonts w:ascii="Times New Roman" w:hAnsi="Times New Roman" w:eastAsia="Times New Roman" w:cs="Times New Roman"/>
          <w:b/>
          <w:bCs/>
          <w:spacing w:val="-32"/>
          <w:sz w:val="24"/>
          <w:szCs w:val="24"/>
        </w:rPr>
        <w:t xml:space="preserve"> </w:t>
      </w:r>
      <w:r>
        <w:rPr>
          <w:rFonts w:ascii="宋体" w:hAnsi="宋体" w:eastAsia="宋体" w:cs="宋体"/>
          <w:b/>
          <w:bCs/>
          <w:spacing w:val="-6"/>
          <w:sz w:val="24"/>
          <w:szCs w:val="24"/>
        </w:rPr>
        <w:t>、环境质量监测</w:t>
      </w:r>
    </w:p>
    <w:p w14:paraId="447481B4">
      <w:pPr>
        <w:spacing w:before="167" w:line="362" w:lineRule="exact"/>
        <w:ind w:left="614"/>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1</w:t>
      </w:r>
      <w:r>
        <w:rPr>
          <w:rFonts w:ascii="宋体" w:hAnsi="宋体" w:eastAsia="宋体" w:cs="宋体"/>
          <w:spacing w:val="-2"/>
          <w:position w:val="2"/>
          <w:sz w:val="24"/>
          <w:szCs w:val="24"/>
        </w:rPr>
        <w:t>）空气环境质量监测</w:t>
      </w:r>
    </w:p>
    <w:p w14:paraId="0A53C5F8">
      <w:pPr>
        <w:spacing w:before="125" w:line="375" w:lineRule="auto"/>
        <w:ind w:left="126" w:right="112" w:firstLine="476"/>
        <w:rPr>
          <w:rFonts w:ascii="宋体" w:hAnsi="宋体" w:eastAsia="宋体" w:cs="宋体"/>
          <w:sz w:val="24"/>
          <w:szCs w:val="24"/>
        </w:rPr>
      </w:pPr>
      <w:r>
        <w:rPr>
          <w:rFonts w:ascii="宋体" w:hAnsi="宋体" w:eastAsia="宋体" w:cs="宋体"/>
          <w:spacing w:val="-2"/>
          <w:sz w:val="24"/>
          <w:szCs w:val="24"/>
        </w:rPr>
        <w:t>根据《环境影响评价技术导则大气环境》（</w:t>
      </w:r>
      <w:r>
        <w:rPr>
          <w:rFonts w:ascii="Times New Roman" w:hAnsi="Times New Roman" w:eastAsia="Times New Roman" w:cs="Times New Roman"/>
          <w:spacing w:val="-2"/>
          <w:sz w:val="24"/>
          <w:szCs w:val="24"/>
        </w:rPr>
        <w:t>HJ2.2-2018</w:t>
      </w:r>
      <w:r>
        <w:rPr>
          <w:rFonts w:ascii="宋体" w:hAnsi="宋体" w:eastAsia="宋体" w:cs="宋体"/>
          <w:spacing w:val="-2"/>
          <w:sz w:val="24"/>
          <w:szCs w:val="24"/>
        </w:rPr>
        <w:t>）要</w:t>
      </w:r>
      <w:r>
        <w:rPr>
          <w:rFonts w:ascii="宋体" w:hAnsi="宋体" w:eastAsia="宋体" w:cs="宋体"/>
          <w:spacing w:val="-3"/>
          <w:sz w:val="24"/>
          <w:szCs w:val="24"/>
        </w:rPr>
        <w:t>求，筛选项目排放污</w:t>
      </w:r>
      <w:r>
        <w:rPr>
          <w:rFonts w:ascii="宋体" w:hAnsi="宋体" w:eastAsia="宋体" w:cs="宋体"/>
          <w:sz w:val="24"/>
          <w:szCs w:val="24"/>
        </w:rPr>
        <w:t xml:space="preserve"> </w:t>
      </w:r>
      <w:r>
        <w:rPr>
          <w:rFonts w:ascii="宋体" w:hAnsi="宋体" w:eastAsia="宋体" w:cs="宋体"/>
          <w:spacing w:val="-3"/>
          <w:sz w:val="24"/>
          <w:szCs w:val="24"/>
        </w:rPr>
        <w:t>染物</w:t>
      </w:r>
      <w:r>
        <w:rPr>
          <w:rFonts w:ascii="Times New Roman" w:hAnsi="Times New Roman" w:eastAsia="Times New Roman" w:cs="Times New Roman"/>
          <w:spacing w:val="-3"/>
          <w:sz w:val="24"/>
          <w:szCs w:val="24"/>
        </w:rPr>
        <w:t>P</w:t>
      </w:r>
      <w:r>
        <w:rPr>
          <w:rFonts w:ascii="Times New Roman" w:hAnsi="Times New Roman" w:eastAsia="Times New Roman" w:cs="Times New Roman"/>
          <w:spacing w:val="-3"/>
          <w:position w:val="-1"/>
          <w:sz w:val="15"/>
          <w:szCs w:val="15"/>
        </w:rPr>
        <w:t>i</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的其他污染物作为环境质量监测因子，由前文</w:t>
      </w:r>
      <w:r>
        <w:rPr>
          <w:rFonts w:ascii="宋体" w:hAnsi="宋体" w:eastAsia="宋体" w:cs="宋体"/>
          <w:spacing w:val="-70"/>
          <w:sz w:val="24"/>
          <w:szCs w:val="24"/>
        </w:rPr>
        <w:t xml:space="preserve"> </w:t>
      </w:r>
      <w:r>
        <w:rPr>
          <w:rFonts w:ascii="Times New Roman" w:hAnsi="Times New Roman" w:eastAsia="Times New Roman" w:cs="Times New Roman"/>
          <w:spacing w:val="-3"/>
          <w:sz w:val="24"/>
          <w:szCs w:val="24"/>
        </w:rPr>
        <w:t xml:space="preserve">5.2.3 </w:t>
      </w:r>
      <w:r>
        <w:rPr>
          <w:rFonts w:ascii="宋体" w:hAnsi="宋体" w:eastAsia="宋体" w:cs="宋体"/>
          <w:spacing w:val="-3"/>
          <w:sz w:val="24"/>
          <w:szCs w:val="24"/>
        </w:rPr>
        <w:t>章</w:t>
      </w:r>
      <w:r>
        <w:rPr>
          <w:rFonts w:ascii="宋体" w:hAnsi="宋体" w:eastAsia="宋体" w:cs="宋体"/>
          <w:spacing w:val="-4"/>
          <w:sz w:val="24"/>
          <w:szCs w:val="24"/>
        </w:rPr>
        <w:t>节可知本项目</w:t>
      </w:r>
      <w:r>
        <w:rPr>
          <w:rFonts w:ascii="Times New Roman" w:hAnsi="Times New Roman" w:eastAsia="Times New Roman" w:cs="Times New Roman"/>
          <w:spacing w:val="-4"/>
          <w:sz w:val="24"/>
          <w:szCs w:val="24"/>
        </w:rPr>
        <w:t>P</w:t>
      </w:r>
      <w:r>
        <w:rPr>
          <w:rFonts w:ascii="Times New Roman" w:hAnsi="Times New Roman" w:eastAsia="Times New Roman" w:cs="Times New Roman"/>
          <w:spacing w:val="-4"/>
          <w:position w:val="-1"/>
          <w:sz w:val="15"/>
          <w:szCs w:val="15"/>
        </w:rPr>
        <w:t>i</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z w:val="24"/>
          <w:szCs w:val="24"/>
        </w:rPr>
        <w:t xml:space="preserve"> </w:t>
      </w:r>
      <w:r>
        <w:rPr>
          <w:rFonts w:ascii="宋体" w:hAnsi="宋体" w:eastAsia="宋体" w:cs="宋体"/>
          <w:spacing w:val="-2"/>
          <w:sz w:val="24"/>
          <w:szCs w:val="24"/>
        </w:rPr>
        <w:t>的污染物为</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TSP</w:t>
      </w:r>
      <w:r>
        <w:rPr>
          <w:rFonts w:ascii="Times New Roman" w:hAnsi="Times New Roman" w:eastAsia="Times New Roman" w:cs="Times New Roman"/>
          <w:spacing w:val="-36"/>
          <w:sz w:val="24"/>
          <w:szCs w:val="24"/>
        </w:rPr>
        <w:t xml:space="preserve"> </w:t>
      </w:r>
      <w:r>
        <w:rPr>
          <w:rFonts w:ascii="宋体" w:hAnsi="宋体" w:eastAsia="宋体" w:cs="宋体"/>
          <w:spacing w:val="-2"/>
          <w:sz w:val="24"/>
          <w:szCs w:val="24"/>
        </w:rPr>
        <w:t>，因此，项目运营期设置空气环境质量监测如下：</w:t>
      </w:r>
    </w:p>
    <w:p w14:paraId="7B718813">
      <w:pPr>
        <w:spacing w:before="57" w:line="229" w:lineRule="auto"/>
        <w:ind w:left="3243"/>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b/>
          <w:bCs/>
          <w:spacing w:val="5"/>
          <w:sz w:val="20"/>
          <w:szCs w:val="20"/>
        </w:rPr>
        <w:t xml:space="preserve">8.3-3  </w:t>
      </w:r>
      <w:r>
        <w:rPr>
          <w:rFonts w:ascii="宋体" w:hAnsi="宋体" w:eastAsia="宋体" w:cs="宋体"/>
          <w:b/>
          <w:bCs/>
          <w:spacing w:val="5"/>
          <w:sz w:val="20"/>
          <w:szCs w:val="20"/>
        </w:rPr>
        <w:t>空气环境质量监测方案</w:t>
      </w:r>
    </w:p>
    <w:p w14:paraId="453C675F">
      <w:pPr>
        <w:spacing w:line="101"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6"/>
        <w:gridCol w:w="1275"/>
        <w:gridCol w:w="1417"/>
        <w:gridCol w:w="5012"/>
      </w:tblGrid>
      <w:tr w14:paraId="37E30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246" w:type="dxa"/>
            <w:vAlign w:val="top"/>
          </w:tcPr>
          <w:p w14:paraId="69C0019A">
            <w:pPr>
              <w:pStyle w:val="6"/>
              <w:spacing w:before="62" w:line="230" w:lineRule="auto"/>
              <w:ind w:left="208"/>
            </w:pPr>
            <w:r>
              <w:rPr>
                <w:b/>
                <w:bCs/>
                <w:spacing w:val="6"/>
              </w:rPr>
              <w:t>监测点位</w:t>
            </w:r>
          </w:p>
        </w:tc>
        <w:tc>
          <w:tcPr>
            <w:tcW w:w="1275" w:type="dxa"/>
            <w:vAlign w:val="top"/>
          </w:tcPr>
          <w:p w14:paraId="5B43BC01">
            <w:pPr>
              <w:pStyle w:val="6"/>
              <w:spacing w:before="63" w:line="229" w:lineRule="auto"/>
              <w:ind w:left="222"/>
            </w:pPr>
            <w:r>
              <w:rPr>
                <w:b/>
                <w:bCs/>
                <w:spacing w:val="6"/>
              </w:rPr>
              <w:t>监测指标</w:t>
            </w:r>
          </w:p>
        </w:tc>
        <w:tc>
          <w:tcPr>
            <w:tcW w:w="1417" w:type="dxa"/>
            <w:vAlign w:val="top"/>
          </w:tcPr>
          <w:p w14:paraId="34984A83">
            <w:pPr>
              <w:pStyle w:val="6"/>
              <w:spacing w:before="63" w:line="228" w:lineRule="auto"/>
              <w:ind w:left="294"/>
            </w:pPr>
            <w:r>
              <w:rPr>
                <w:b/>
                <w:bCs/>
                <w:spacing w:val="6"/>
              </w:rPr>
              <w:t>监测频次</w:t>
            </w:r>
          </w:p>
        </w:tc>
        <w:tc>
          <w:tcPr>
            <w:tcW w:w="5012" w:type="dxa"/>
            <w:vAlign w:val="top"/>
          </w:tcPr>
          <w:p w14:paraId="6B6DA098">
            <w:pPr>
              <w:pStyle w:val="6"/>
              <w:spacing w:before="63" w:line="228" w:lineRule="auto"/>
              <w:ind w:left="1881"/>
            </w:pPr>
            <w:r>
              <w:rPr>
                <w:b/>
                <w:bCs/>
                <w:spacing w:val="6"/>
              </w:rPr>
              <w:t>执行排放标准</w:t>
            </w:r>
          </w:p>
        </w:tc>
      </w:tr>
      <w:tr w14:paraId="2284C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46" w:type="dxa"/>
            <w:vMerge w:val="restart"/>
            <w:tcBorders>
              <w:bottom w:val="nil"/>
            </w:tcBorders>
            <w:vAlign w:val="top"/>
          </w:tcPr>
          <w:p w14:paraId="671B6F8F">
            <w:pPr>
              <w:spacing w:line="324" w:lineRule="auto"/>
              <w:rPr>
                <w:rFonts w:ascii="Arial"/>
                <w:sz w:val="21"/>
              </w:rPr>
            </w:pPr>
          </w:p>
          <w:p w14:paraId="624276DD">
            <w:pPr>
              <w:pStyle w:val="6"/>
              <w:spacing w:before="65" w:line="229" w:lineRule="auto"/>
              <w:ind w:left="207"/>
            </w:pPr>
            <w:r>
              <w:rPr>
                <w:spacing w:val="7"/>
              </w:rPr>
              <w:t>边界外设</w:t>
            </w:r>
          </w:p>
          <w:p w14:paraId="789D0230">
            <w:pPr>
              <w:pStyle w:val="6"/>
              <w:spacing w:before="47" w:line="274" w:lineRule="exact"/>
              <w:ind w:left="259"/>
            </w:pPr>
            <w:r>
              <w:rPr>
                <w:spacing w:val="6"/>
                <w:position w:val="1"/>
              </w:rPr>
              <w:t>置</w:t>
            </w:r>
            <w:r>
              <w:rPr>
                <w:rFonts w:ascii="Times New Roman" w:hAnsi="Times New Roman" w:eastAsia="Times New Roman" w:cs="Times New Roman"/>
                <w:spacing w:val="6"/>
                <w:position w:val="1"/>
              </w:rPr>
              <w:t>1</w:t>
            </w:r>
            <w:r>
              <w:rPr>
                <w:spacing w:val="6"/>
                <w:position w:val="1"/>
              </w:rPr>
              <w:t>个点</w:t>
            </w:r>
          </w:p>
        </w:tc>
        <w:tc>
          <w:tcPr>
            <w:tcW w:w="1275" w:type="dxa"/>
            <w:vAlign w:val="top"/>
          </w:tcPr>
          <w:p w14:paraId="61AA264B">
            <w:pPr>
              <w:spacing w:before="259" w:line="242" w:lineRule="exact"/>
              <w:ind w:left="46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1417" w:type="dxa"/>
            <w:vMerge w:val="restart"/>
            <w:tcBorders>
              <w:bottom w:val="nil"/>
            </w:tcBorders>
            <w:vAlign w:val="top"/>
          </w:tcPr>
          <w:p w14:paraId="6A5D87B1">
            <w:pPr>
              <w:spacing w:line="243" w:lineRule="auto"/>
              <w:rPr>
                <w:rFonts w:ascii="Arial"/>
                <w:sz w:val="21"/>
              </w:rPr>
            </w:pPr>
          </w:p>
          <w:p w14:paraId="5745C8D7">
            <w:pPr>
              <w:spacing w:line="243" w:lineRule="auto"/>
              <w:rPr>
                <w:rFonts w:ascii="Arial"/>
                <w:sz w:val="21"/>
              </w:rPr>
            </w:pPr>
          </w:p>
          <w:p w14:paraId="6AFFADE0">
            <w:pPr>
              <w:pStyle w:val="6"/>
              <w:spacing w:before="65" w:line="228" w:lineRule="auto"/>
              <w:ind w:left="296"/>
            </w:pPr>
            <w:r>
              <w:rPr>
                <w:spacing w:val="6"/>
              </w:rPr>
              <w:t>一年一次</w:t>
            </w:r>
          </w:p>
        </w:tc>
        <w:tc>
          <w:tcPr>
            <w:tcW w:w="5012" w:type="dxa"/>
            <w:vAlign w:val="top"/>
          </w:tcPr>
          <w:p w14:paraId="60E26E3A">
            <w:pPr>
              <w:pStyle w:val="6"/>
              <w:spacing w:before="29" w:line="274" w:lineRule="exact"/>
              <w:ind w:left="134"/>
            </w:pPr>
            <w:r>
              <w:rPr>
                <w:spacing w:val="7"/>
                <w:position w:val="1"/>
              </w:rPr>
              <w:t>《环境影响评价技术导则大气环境》（</w:t>
            </w:r>
            <w:r>
              <w:rPr>
                <w:rFonts w:ascii="Times New Roman" w:hAnsi="Times New Roman" w:eastAsia="Times New Roman" w:cs="Times New Roman"/>
                <w:position w:val="1"/>
              </w:rPr>
              <w:t>HJ</w:t>
            </w:r>
            <w:r>
              <w:rPr>
                <w:rFonts w:ascii="Times New Roman" w:hAnsi="Times New Roman" w:eastAsia="Times New Roman" w:cs="Times New Roman"/>
                <w:spacing w:val="7"/>
                <w:position w:val="1"/>
              </w:rPr>
              <w:t>2.2-2018</w:t>
            </w:r>
            <w:r>
              <w:rPr>
                <w:spacing w:val="7"/>
                <w:position w:val="1"/>
              </w:rPr>
              <w:t>）</w:t>
            </w:r>
          </w:p>
          <w:p w14:paraId="7C9FC80D">
            <w:pPr>
              <w:pStyle w:val="6"/>
              <w:spacing w:before="82" w:line="228" w:lineRule="auto"/>
              <w:ind w:left="1718"/>
            </w:pPr>
            <w:r>
              <w:rPr>
                <w:spacing w:val="5"/>
              </w:rPr>
              <w:t>中附录</w:t>
            </w:r>
            <w:r>
              <w:rPr>
                <w:rFonts w:ascii="Times New Roman" w:hAnsi="Times New Roman" w:eastAsia="Times New Roman" w:cs="Times New Roman"/>
                <w:spacing w:val="5"/>
              </w:rPr>
              <w:t>D</w:t>
            </w:r>
            <w:r>
              <w:rPr>
                <w:spacing w:val="5"/>
              </w:rPr>
              <w:t>标准限值</w:t>
            </w:r>
          </w:p>
        </w:tc>
      </w:tr>
      <w:tr w14:paraId="2602E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246" w:type="dxa"/>
            <w:vMerge w:val="continue"/>
            <w:tcBorders>
              <w:top w:val="nil"/>
            </w:tcBorders>
            <w:vAlign w:val="top"/>
          </w:tcPr>
          <w:p w14:paraId="370EAC90">
            <w:pPr>
              <w:rPr>
                <w:rFonts w:ascii="Arial"/>
                <w:sz w:val="21"/>
              </w:rPr>
            </w:pPr>
          </w:p>
        </w:tc>
        <w:tc>
          <w:tcPr>
            <w:tcW w:w="1275" w:type="dxa"/>
            <w:vAlign w:val="top"/>
          </w:tcPr>
          <w:p w14:paraId="1EC29C91">
            <w:pPr>
              <w:spacing w:before="261"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417" w:type="dxa"/>
            <w:vMerge w:val="continue"/>
            <w:tcBorders>
              <w:top w:val="nil"/>
            </w:tcBorders>
            <w:vAlign w:val="top"/>
          </w:tcPr>
          <w:p w14:paraId="743D9765">
            <w:pPr>
              <w:rPr>
                <w:rFonts w:ascii="Arial"/>
                <w:sz w:val="21"/>
              </w:rPr>
            </w:pPr>
          </w:p>
        </w:tc>
        <w:tc>
          <w:tcPr>
            <w:tcW w:w="5012" w:type="dxa"/>
            <w:vAlign w:val="top"/>
          </w:tcPr>
          <w:p w14:paraId="127AAD30">
            <w:pPr>
              <w:pStyle w:val="6"/>
              <w:spacing w:before="31" w:line="274" w:lineRule="exact"/>
              <w:ind w:left="132"/>
            </w:pPr>
            <w:r>
              <w:rPr>
                <w:spacing w:val="7"/>
                <w:position w:val="1"/>
              </w:rPr>
              <w:t>《环境空气质量标准》（</w:t>
            </w:r>
            <w:r>
              <w:rPr>
                <w:rFonts w:ascii="Times New Roman" w:hAnsi="Times New Roman" w:eastAsia="Times New Roman" w:cs="Times New Roman"/>
                <w:position w:val="1"/>
              </w:rPr>
              <w:t>GB</w:t>
            </w:r>
            <w:r>
              <w:rPr>
                <w:rFonts w:ascii="Times New Roman" w:hAnsi="Times New Roman" w:eastAsia="Times New Roman" w:cs="Times New Roman"/>
                <w:spacing w:val="7"/>
                <w:position w:val="1"/>
              </w:rPr>
              <w:t>3095-2012</w:t>
            </w:r>
            <w:r>
              <w:rPr>
                <w:spacing w:val="7"/>
                <w:position w:val="1"/>
              </w:rPr>
              <w:t>）及其</w:t>
            </w:r>
            <w:r>
              <w:rPr>
                <w:rFonts w:ascii="Times New Roman" w:hAnsi="Times New Roman" w:eastAsia="Times New Roman" w:cs="Times New Roman"/>
                <w:spacing w:val="7"/>
                <w:position w:val="1"/>
              </w:rPr>
              <w:t>2018</w:t>
            </w:r>
            <w:r>
              <w:rPr>
                <w:spacing w:val="7"/>
                <w:position w:val="1"/>
              </w:rPr>
              <w:t>年</w:t>
            </w:r>
          </w:p>
          <w:p w14:paraId="4C33B170">
            <w:pPr>
              <w:pStyle w:val="6"/>
              <w:spacing w:before="83" w:line="228" w:lineRule="auto"/>
              <w:ind w:left="1775"/>
            </w:pPr>
            <w:r>
              <w:rPr>
                <w:spacing w:val="8"/>
              </w:rPr>
              <w:t>修改单二级标准</w:t>
            </w:r>
          </w:p>
        </w:tc>
      </w:tr>
    </w:tbl>
    <w:p w14:paraId="4AEB4590">
      <w:pPr>
        <w:spacing w:before="89" w:line="361" w:lineRule="exact"/>
        <w:ind w:left="614"/>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）声环境质量监测</w:t>
      </w:r>
    </w:p>
    <w:p w14:paraId="2B5BB69E">
      <w:pPr>
        <w:spacing w:before="127" w:line="367" w:lineRule="auto"/>
        <w:ind w:left="123" w:right="113" w:firstLine="482"/>
        <w:rPr>
          <w:rFonts w:ascii="宋体" w:hAnsi="宋体" w:eastAsia="宋体" w:cs="宋体"/>
          <w:sz w:val="24"/>
          <w:szCs w:val="24"/>
        </w:rPr>
      </w:pPr>
      <w:r>
        <w:rPr>
          <w:rFonts w:ascii="宋体" w:hAnsi="宋体" w:eastAsia="宋体" w:cs="宋体"/>
          <w:spacing w:val="-1"/>
          <w:sz w:val="24"/>
          <w:szCs w:val="24"/>
        </w:rPr>
        <w:t>项目声环境评价范围（项目边界外</w:t>
      </w:r>
      <w:r>
        <w:rPr>
          <w:rFonts w:ascii="Times New Roman" w:hAnsi="Times New Roman" w:eastAsia="Times New Roman" w:cs="Times New Roman"/>
          <w:spacing w:val="-1"/>
          <w:sz w:val="24"/>
          <w:szCs w:val="24"/>
        </w:rPr>
        <w:t>200m</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）内没有声环境敏感点，因此不设声环</w:t>
      </w:r>
      <w:r>
        <w:rPr>
          <w:rFonts w:ascii="宋体" w:hAnsi="宋体" w:eastAsia="宋体" w:cs="宋体"/>
          <w:sz w:val="24"/>
          <w:szCs w:val="24"/>
        </w:rPr>
        <w:t xml:space="preserve"> </w:t>
      </w:r>
      <w:r>
        <w:rPr>
          <w:rFonts w:ascii="宋体" w:hAnsi="宋体" w:eastAsia="宋体" w:cs="宋体"/>
          <w:spacing w:val="-2"/>
          <w:sz w:val="24"/>
          <w:szCs w:val="24"/>
        </w:rPr>
        <w:t>境质量监测内容。</w:t>
      </w:r>
    </w:p>
    <w:p w14:paraId="62AB1CAE">
      <w:pPr>
        <w:spacing w:line="367" w:lineRule="auto"/>
        <w:rPr>
          <w:rFonts w:ascii="宋体" w:hAnsi="宋体" w:eastAsia="宋体" w:cs="宋体"/>
          <w:sz w:val="24"/>
          <w:szCs w:val="24"/>
        </w:rPr>
        <w:sectPr>
          <w:footerReference r:id="rId172" w:type="default"/>
          <w:pgSz w:w="11906" w:h="16839"/>
          <w:pgMar w:top="400" w:right="1475" w:bottom="1485" w:left="1475" w:header="0" w:footer="1249" w:gutter="0"/>
          <w:cols w:space="720" w:num="1"/>
        </w:sectPr>
      </w:pPr>
    </w:p>
    <w:p w14:paraId="09121313">
      <w:pPr>
        <w:pStyle w:val="2"/>
        <w:spacing w:line="273" w:lineRule="auto"/>
      </w:pPr>
    </w:p>
    <w:p w14:paraId="05B2ECA0">
      <w:pPr>
        <w:pStyle w:val="2"/>
        <w:spacing w:line="274" w:lineRule="auto"/>
      </w:pPr>
    </w:p>
    <w:p w14:paraId="3DEEEDA3">
      <w:pPr>
        <w:pStyle w:val="2"/>
        <w:spacing w:line="274" w:lineRule="auto"/>
      </w:pPr>
    </w:p>
    <w:p w14:paraId="2BF2D2A6">
      <w:pPr>
        <w:pStyle w:val="2"/>
        <w:spacing w:line="274" w:lineRule="auto"/>
      </w:pPr>
    </w:p>
    <w:p w14:paraId="3E8BE9FF">
      <w:pPr>
        <w:spacing w:before="78" w:line="222"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8.3.3</w:t>
      </w:r>
      <w:r>
        <w:rPr>
          <w:rFonts w:ascii="宋体" w:hAnsi="宋体" w:eastAsia="宋体" w:cs="宋体"/>
          <w:b/>
          <w:bCs/>
          <w:spacing w:val="-2"/>
          <w:sz w:val="24"/>
          <w:szCs w:val="24"/>
        </w:rPr>
        <w:t>排污口规范化整治</w:t>
      </w:r>
    </w:p>
    <w:p w14:paraId="1B6DF6C2">
      <w:pPr>
        <w:pStyle w:val="2"/>
        <w:spacing w:line="243" w:lineRule="auto"/>
      </w:pPr>
    </w:p>
    <w:p w14:paraId="33CB3C09">
      <w:pPr>
        <w:spacing w:before="78" w:line="376" w:lineRule="auto"/>
        <w:ind w:left="1" w:firstLine="480"/>
        <w:jc w:val="both"/>
        <w:rPr>
          <w:rFonts w:ascii="宋体" w:hAnsi="宋体" w:eastAsia="宋体" w:cs="宋体"/>
          <w:sz w:val="24"/>
          <w:szCs w:val="24"/>
        </w:rPr>
      </w:pPr>
      <w:r>
        <w:rPr>
          <w:rFonts w:ascii="宋体" w:hAnsi="宋体" w:eastAsia="宋体" w:cs="宋体"/>
          <w:spacing w:val="2"/>
          <w:sz w:val="24"/>
          <w:szCs w:val="24"/>
        </w:rPr>
        <w:t>根据《环境保护图形标志－排放口（源）》（</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15562.1-1995</w:t>
      </w:r>
      <w:r>
        <w:rPr>
          <w:rFonts w:ascii="宋体" w:hAnsi="宋体" w:eastAsia="宋体" w:cs="宋体"/>
          <w:spacing w:val="2"/>
          <w:sz w:val="24"/>
          <w:szCs w:val="24"/>
        </w:rPr>
        <w:t>）、《排污口规</w:t>
      </w:r>
      <w:r>
        <w:rPr>
          <w:rFonts w:ascii="宋体" w:hAnsi="宋体" w:eastAsia="宋体" w:cs="宋体"/>
          <w:spacing w:val="7"/>
          <w:sz w:val="24"/>
          <w:szCs w:val="24"/>
        </w:rPr>
        <w:t xml:space="preserve"> </w:t>
      </w:r>
      <w:r>
        <w:rPr>
          <w:rFonts w:ascii="宋体" w:hAnsi="宋体" w:eastAsia="宋体" w:cs="宋体"/>
          <w:spacing w:val="2"/>
          <w:sz w:val="24"/>
          <w:szCs w:val="24"/>
        </w:rPr>
        <w:t>范化整治技术要求（试行）》（环监〔</w:t>
      </w:r>
      <w:r>
        <w:rPr>
          <w:rFonts w:ascii="Times New Roman" w:hAnsi="Times New Roman" w:eastAsia="Times New Roman" w:cs="Times New Roman"/>
          <w:spacing w:val="2"/>
          <w:sz w:val="24"/>
          <w:szCs w:val="24"/>
        </w:rPr>
        <w:t>1996</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470  </w:t>
      </w:r>
      <w:r>
        <w:rPr>
          <w:rFonts w:ascii="宋体" w:hAnsi="宋体" w:eastAsia="宋体" w:cs="宋体"/>
          <w:spacing w:val="2"/>
          <w:sz w:val="24"/>
          <w:szCs w:val="24"/>
        </w:rPr>
        <w:t>号）和《广东省污染源</w:t>
      </w:r>
      <w:r>
        <w:rPr>
          <w:rFonts w:ascii="宋体" w:hAnsi="宋体" w:eastAsia="宋体" w:cs="宋体"/>
          <w:spacing w:val="1"/>
          <w:sz w:val="24"/>
          <w:szCs w:val="24"/>
        </w:rPr>
        <w:t>排污口规</w:t>
      </w:r>
      <w:r>
        <w:rPr>
          <w:rFonts w:ascii="宋体" w:hAnsi="宋体" w:eastAsia="宋体" w:cs="宋体"/>
          <w:sz w:val="24"/>
          <w:szCs w:val="24"/>
        </w:rPr>
        <w:t xml:space="preserve"> </w:t>
      </w:r>
      <w:r>
        <w:rPr>
          <w:rFonts w:ascii="宋体" w:hAnsi="宋体" w:eastAsia="宋体" w:cs="宋体"/>
          <w:spacing w:val="-5"/>
          <w:sz w:val="24"/>
          <w:szCs w:val="24"/>
        </w:rPr>
        <w:t>范化设置导则》（粤环〔</w:t>
      </w:r>
      <w:r>
        <w:rPr>
          <w:rFonts w:ascii="Times New Roman" w:hAnsi="Times New Roman" w:eastAsia="Times New Roman" w:cs="Times New Roman"/>
          <w:spacing w:val="-5"/>
          <w:sz w:val="24"/>
          <w:szCs w:val="24"/>
        </w:rPr>
        <w:t>2008</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42  </w:t>
      </w:r>
      <w:r>
        <w:rPr>
          <w:rFonts w:ascii="宋体" w:hAnsi="宋体" w:eastAsia="宋体" w:cs="宋体"/>
          <w:spacing w:val="-5"/>
          <w:sz w:val="24"/>
          <w:szCs w:val="24"/>
        </w:rPr>
        <w:t>号）的技术要求，企业所有排放口（包括气、声、</w:t>
      </w:r>
      <w:r>
        <w:rPr>
          <w:rFonts w:ascii="宋体" w:hAnsi="宋体" w:eastAsia="宋体" w:cs="宋体"/>
          <w:spacing w:val="11"/>
          <w:sz w:val="24"/>
          <w:szCs w:val="24"/>
        </w:rPr>
        <w:t xml:space="preserve"> </w:t>
      </w:r>
      <w:r>
        <w:rPr>
          <w:rFonts w:ascii="宋体" w:hAnsi="宋体" w:eastAsia="宋体" w:cs="宋体"/>
          <w:spacing w:val="1"/>
          <w:sz w:val="24"/>
          <w:szCs w:val="24"/>
        </w:rPr>
        <w:t>渣）必须按照“便于采集样品、便于计量监测、便于日常现场监督检查</w:t>
      </w:r>
      <w:r>
        <w:rPr>
          <w:rFonts w:ascii="宋体" w:hAnsi="宋体" w:eastAsia="宋体" w:cs="宋体"/>
          <w:spacing w:val="-78"/>
          <w:sz w:val="24"/>
          <w:szCs w:val="24"/>
        </w:rPr>
        <w:t xml:space="preserve"> </w:t>
      </w:r>
      <w:r>
        <w:rPr>
          <w:rFonts w:ascii="宋体" w:hAnsi="宋体" w:eastAsia="宋体" w:cs="宋体"/>
          <w:spacing w:val="1"/>
          <w:sz w:val="24"/>
          <w:szCs w:val="24"/>
        </w:rPr>
        <w:t>”的原则和</w:t>
      </w:r>
      <w:r>
        <w:rPr>
          <w:rFonts w:ascii="宋体" w:hAnsi="宋体" w:eastAsia="宋体" w:cs="宋体"/>
          <w:sz w:val="24"/>
          <w:szCs w:val="24"/>
        </w:rPr>
        <w:t xml:space="preserve"> </w:t>
      </w:r>
      <w:r>
        <w:rPr>
          <w:rFonts w:ascii="宋体" w:hAnsi="宋体" w:eastAsia="宋体" w:cs="宋体"/>
          <w:spacing w:val="2"/>
          <w:sz w:val="24"/>
          <w:szCs w:val="24"/>
        </w:rPr>
        <w:t>规范化要求，设置与之相适应的环境保护图形标志牌，绘制企业排污口分布图，同</w:t>
      </w:r>
      <w:r>
        <w:rPr>
          <w:rFonts w:ascii="宋体" w:hAnsi="宋体" w:eastAsia="宋体" w:cs="宋体"/>
          <w:spacing w:val="6"/>
          <w:sz w:val="24"/>
          <w:szCs w:val="24"/>
        </w:rPr>
        <w:t xml:space="preserve"> </w:t>
      </w:r>
      <w:r>
        <w:rPr>
          <w:rFonts w:ascii="宋体" w:hAnsi="宋体" w:eastAsia="宋体" w:cs="宋体"/>
          <w:spacing w:val="2"/>
          <w:sz w:val="24"/>
          <w:szCs w:val="24"/>
        </w:rPr>
        <w:t>时对污水排放口安装流量计，对治理设施安装运行监控装置、排污口的规范化要符</w:t>
      </w:r>
      <w:r>
        <w:rPr>
          <w:rFonts w:ascii="宋体" w:hAnsi="宋体" w:eastAsia="宋体" w:cs="宋体"/>
          <w:spacing w:val="6"/>
          <w:sz w:val="24"/>
          <w:szCs w:val="24"/>
        </w:rPr>
        <w:t xml:space="preserve"> </w:t>
      </w:r>
      <w:r>
        <w:rPr>
          <w:rFonts w:ascii="宋体" w:hAnsi="宋体" w:eastAsia="宋体" w:cs="宋体"/>
          <w:spacing w:val="-2"/>
          <w:sz w:val="24"/>
          <w:szCs w:val="24"/>
        </w:rPr>
        <w:t>合有关要求。</w:t>
      </w:r>
    </w:p>
    <w:p w14:paraId="7B30CACA">
      <w:pPr>
        <w:spacing w:line="361" w:lineRule="exact"/>
        <w:ind w:left="493"/>
        <w:outlineLvl w:val="0"/>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w:t>
      </w:r>
      <w:r>
        <w:rPr>
          <w:rFonts w:ascii="宋体" w:hAnsi="宋体" w:eastAsia="宋体" w:cs="宋体"/>
          <w:spacing w:val="-3"/>
          <w:position w:val="2"/>
          <w:sz w:val="24"/>
          <w:szCs w:val="24"/>
        </w:rPr>
        <w:t>）废气排放口</w:t>
      </w:r>
    </w:p>
    <w:p w14:paraId="1949BABD">
      <w:pPr>
        <w:spacing w:before="163" w:line="367" w:lineRule="auto"/>
        <w:ind w:left="2" w:right="80" w:firstLine="478"/>
        <w:jc w:val="both"/>
        <w:rPr>
          <w:rFonts w:ascii="宋体" w:hAnsi="宋体" w:eastAsia="宋体" w:cs="宋体"/>
          <w:sz w:val="24"/>
          <w:szCs w:val="24"/>
        </w:rPr>
      </w:pPr>
      <w:r>
        <w:rPr>
          <w:rFonts w:ascii="宋体" w:hAnsi="宋体" w:eastAsia="宋体" w:cs="宋体"/>
          <w:spacing w:val="2"/>
          <w:sz w:val="24"/>
          <w:szCs w:val="24"/>
        </w:rPr>
        <w:t>废气排放口必须符合规定的高度和按《污染源监测技术规范》便于采样、监测</w:t>
      </w:r>
      <w:r>
        <w:rPr>
          <w:rFonts w:ascii="宋体" w:hAnsi="宋体" w:eastAsia="宋体" w:cs="宋体"/>
          <w:spacing w:val="11"/>
          <w:sz w:val="24"/>
          <w:szCs w:val="24"/>
        </w:rPr>
        <w:t xml:space="preserve"> </w:t>
      </w:r>
      <w:r>
        <w:rPr>
          <w:rFonts w:ascii="宋体" w:hAnsi="宋体" w:eastAsia="宋体" w:cs="宋体"/>
          <w:spacing w:val="1"/>
          <w:sz w:val="24"/>
          <w:szCs w:val="24"/>
        </w:rPr>
        <w:t>的要求，设置直径不小于</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75</w:t>
      </w:r>
      <w:r>
        <w:rPr>
          <w:rFonts w:ascii="Times New Roman" w:hAnsi="Times New Roman" w:eastAsia="Times New Roman" w:cs="Times New Roman"/>
          <w:sz w:val="24"/>
          <w:szCs w:val="24"/>
        </w:rPr>
        <w:t>mm</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的采样口。如无法满足要求</w:t>
      </w:r>
      <w:r>
        <w:rPr>
          <w:rFonts w:ascii="宋体" w:hAnsi="宋体" w:eastAsia="宋体" w:cs="宋体"/>
          <w:sz w:val="24"/>
          <w:szCs w:val="24"/>
        </w:rPr>
        <w:t xml:space="preserve">的，其采样口与环境监 </w:t>
      </w:r>
      <w:r>
        <w:rPr>
          <w:rFonts w:ascii="宋体" w:hAnsi="宋体" w:eastAsia="宋体" w:cs="宋体"/>
          <w:spacing w:val="-2"/>
          <w:sz w:val="24"/>
          <w:szCs w:val="24"/>
        </w:rPr>
        <w:t>测部门共同确认。</w:t>
      </w:r>
    </w:p>
    <w:p w14:paraId="5B8950E9">
      <w:pPr>
        <w:spacing w:line="361" w:lineRule="exact"/>
        <w:ind w:left="493"/>
        <w:outlineLvl w:val="0"/>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2</w:t>
      </w:r>
      <w:r>
        <w:rPr>
          <w:rFonts w:ascii="宋体" w:hAnsi="宋体" w:eastAsia="宋体" w:cs="宋体"/>
          <w:spacing w:val="-3"/>
          <w:position w:val="2"/>
          <w:sz w:val="24"/>
          <w:szCs w:val="24"/>
        </w:rPr>
        <w:t>）固定噪声源</w:t>
      </w:r>
    </w:p>
    <w:p w14:paraId="26CC21ED">
      <w:pPr>
        <w:spacing w:before="164" w:line="362" w:lineRule="auto"/>
        <w:ind w:right="82" w:firstLine="483"/>
        <w:rPr>
          <w:rFonts w:ascii="宋体" w:hAnsi="宋体" w:eastAsia="宋体" w:cs="宋体"/>
          <w:sz w:val="24"/>
          <w:szCs w:val="24"/>
        </w:rPr>
      </w:pPr>
      <w:r>
        <w:rPr>
          <w:rFonts w:ascii="宋体" w:hAnsi="宋体" w:eastAsia="宋体" w:cs="宋体"/>
          <w:spacing w:val="2"/>
          <w:sz w:val="24"/>
          <w:szCs w:val="24"/>
        </w:rPr>
        <w:t>按规定对固定噪声源进行治理，并在边界噪声敏感点，且对外界影响最大处设</w:t>
      </w:r>
      <w:r>
        <w:rPr>
          <w:rFonts w:ascii="宋体" w:hAnsi="宋体" w:eastAsia="宋体" w:cs="宋体"/>
          <w:spacing w:val="8"/>
          <w:sz w:val="24"/>
          <w:szCs w:val="24"/>
        </w:rPr>
        <w:t xml:space="preserve"> </w:t>
      </w:r>
      <w:r>
        <w:rPr>
          <w:rFonts w:ascii="宋体" w:hAnsi="宋体" w:eastAsia="宋体" w:cs="宋体"/>
          <w:spacing w:val="-2"/>
          <w:sz w:val="24"/>
          <w:szCs w:val="24"/>
        </w:rPr>
        <w:t>置标志牌。</w:t>
      </w:r>
    </w:p>
    <w:p w14:paraId="231DD790">
      <w:pPr>
        <w:spacing w:line="360" w:lineRule="exact"/>
        <w:ind w:left="493"/>
        <w:outlineLvl w:val="0"/>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3</w:t>
      </w:r>
      <w:r>
        <w:rPr>
          <w:rFonts w:ascii="宋体" w:hAnsi="宋体" w:eastAsia="宋体" w:cs="宋体"/>
          <w:spacing w:val="-3"/>
          <w:position w:val="2"/>
          <w:sz w:val="24"/>
          <w:szCs w:val="24"/>
        </w:rPr>
        <w:t>）固体废物储存场</w:t>
      </w:r>
    </w:p>
    <w:p w14:paraId="43E98F82">
      <w:pPr>
        <w:spacing w:before="165" w:line="219" w:lineRule="auto"/>
        <w:ind w:left="502"/>
        <w:rPr>
          <w:rFonts w:ascii="宋体" w:hAnsi="宋体" w:eastAsia="宋体" w:cs="宋体"/>
          <w:sz w:val="24"/>
          <w:szCs w:val="24"/>
        </w:rPr>
      </w:pPr>
      <w:r>
        <w:rPr>
          <w:rFonts w:ascii="宋体" w:hAnsi="宋体" w:eastAsia="宋体" w:cs="宋体"/>
          <w:spacing w:val="-1"/>
          <w:sz w:val="24"/>
          <w:szCs w:val="24"/>
        </w:rPr>
        <w:t>固体废物和生活垃圾应设置专用堆放场地，采取防止二次污染措</w:t>
      </w:r>
      <w:r>
        <w:rPr>
          <w:rFonts w:ascii="宋体" w:hAnsi="宋体" w:eastAsia="宋体" w:cs="宋体"/>
          <w:spacing w:val="-2"/>
          <w:sz w:val="24"/>
          <w:szCs w:val="24"/>
        </w:rPr>
        <w:t>施。</w:t>
      </w:r>
    </w:p>
    <w:p w14:paraId="2730352C">
      <w:pPr>
        <w:spacing w:before="166" w:line="361" w:lineRule="exact"/>
        <w:ind w:left="493"/>
        <w:outlineLvl w:val="0"/>
        <w:rPr>
          <w:rFonts w:ascii="宋体" w:hAnsi="宋体" w:eastAsia="宋体" w:cs="宋体"/>
          <w:sz w:val="24"/>
          <w:szCs w:val="24"/>
        </w:rPr>
      </w:pP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4</w:t>
      </w:r>
      <w:r>
        <w:rPr>
          <w:rFonts w:ascii="宋体" w:hAnsi="宋体" w:eastAsia="宋体" w:cs="宋体"/>
          <w:spacing w:val="-3"/>
          <w:position w:val="2"/>
          <w:sz w:val="24"/>
          <w:szCs w:val="24"/>
        </w:rPr>
        <w:t>）设置标志牌要求</w:t>
      </w:r>
    </w:p>
    <w:p w14:paraId="455E68C8">
      <w:pPr>
        <w:spacing w:before="169" w:line="373" w:lineRule="auto"/>
        <w:ind w:right="19" w:firstLine="480"/>
        <w:jc w:val="both"/>
        <w:rPr>
          <w:rFonts w:ascii="宋体" w:hAnsi="宋体" w:eastAsia="宋体" w:cs="宋体"/>
          <w:sz w:val="24"/>
          <w:szCs w:val="24"/>
        </w:rPr>
      </w:pPr>
      <w:r>
        <w:rPr>
          <w:rFonts w:ascii="宋体" w:hAnsi="宋体" w:eastAsia="宋体" w:cs="宋体"/>
          <w:spacing w:val="2"/>
          <w:sz w:val="24"/>
          <w:szCs w:val="24"/>
        </w:rPr>
        <w:t>环境保护图形标志牌由国家环保总局统一定点制作，并由当地环境监理部门根</w:t>
      </w:r>
      <w:r>
        <w:rPr>
          <w:rFonts w:ascii="宋体" w:hAnsi="宋体" w:eastAsia="宋体" w:cs="宋体"/>
          <w:spacing w:val="10"/>
          <w:sz w:val="24"/>
          <w:szCs w:val="24"/>
        </w:rPr>
        <w:t xml:space="preserve"> </w:t>
      </w:r>
      <w:r>
        <w:rPr>
          <w:rFonts w:ascii="宋体" w:hAnsi="宋体" w:eastAsia="宋体" w:cs="宋体"/>
          <w:spacing w:val="2"/>
          <w:sz w:val="24"/>
          <w:szCs w:val="24"/>
        </w:rPr>
        <w:t>据企业排污情况统一向国家环保总局订购。企业排污口分布图由市环境监理部门统</w:t>
      </w:r>
      <w:r>
        <w:rPr>
          <w:rFonts w:ascii="宋体" w:hAnsi="宋体" w:eastAsia="宋体" w:cs="宋体"/>
          <w:spacing w:val="7"/>
          <w:sz w:val="24"/>
          <w:szCs w:val="24"/>
        </w:rPr>
        <w:t xml:space="preserve"> </w:t>
      </w:r>
      <w:r>
        <w:rPr>
          <w:rFonts w:ascii="宋体" w:hAnsi="宋体" w:eastAsia="宋体" w:cs="宋体"/>
          <w:spacing w:val="2"/>
          <w:sz w:val="24"/>
          <w:szCs w:val="24"/>
        </w:rPr>
        <w:t>一绘制。排放一般污染物排污口（源</w:t>
      </w:r>
      <w:r>
        <w:rPr>
          <w:rFonts w:ascii="宋体" w:hAnsi="宋体" w:eastAsia="宋体" w:cs="宋体"/>
          <w:spacing w:val="10"/>
          <w:sz w:val="24"/>
          <w:szCs w:val="24"/>
        </w:rPr>
        <w:t>），</w:t>
      </w:r>
      <w:r>
        <w:rPr>
          <w:rFonts w:ascii="宋体" w:hAnsi="宋体" w:eastAsia="宋体" w:cs="宋体"/>
          <w:spacing w:val="2"/>
          <w:sz w:val="24"/>
          <w:szCs w:val="24"/>
        </w:rPr>
        <w:t>设置提示式标志牌</w:t>
      </w:r>
      <w:r>
        <w:rPr>
          <w:rFonts w:ascii="宋体" w:hAnsi="宋体" w:eastAsia="宋体" w:cs="宋体"/>
          <w:spacing w:val="1"/>
          <w:sz w:val="24"/>
          <w:szCs w:val="24"/>
        </w:rPr>
        <w:t xml:space="preserve">，排放有毒有害等污染 </w:t>
      </w:r>
      <w:r>
        <w:rPr>
          <w:rFonts w:ascii="宋体" w:hAnsi="宋体" w:eastAsia="宋体" w:cs="宋体"/>
          <w:spacing w:val="-3"/>
          <w:sz w:val="24"/>
          <w:szCs w:val="24"/>
        </w:rPr>
        <w:t>物的排污口设置警告式标志牌。标志牌设置位置在排污口（采样点）附近且醒目处，</w:t>
      </w:r>
      <w:r>
        <w:rPr>
          <w:rFonts w:ascii="宋体" w:hAnsi="宋体" w:eastAsia="宋体" w:cs="宋体"/>
          <w:spacing w:val="13"/>
          <w:sz w:val="24"/>
          <w:szCs w:val="24"/>
        </w:rPr>
        <w:t xml:space="preserve"> </w:t>
      </w:r>
      <w:r>
        <w:rPr>
          <w:rFonts w:ascii="宋体" w:hAnsi="宋体" w:eastAsia="宋体" w:cs="宋体"/>
          <w:spacing w:val="1"/>
          <w:sz w:val="24"/>
          <w:szCs w:val="24"/>
        </w:rPr>
        <w:t>高度为标志牌上缘离地面</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米。排污口附近</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米范围内有建筑物的，设平面式标志</w:t>
      </w:r>
      <w:r>
        <w:rPr>
          <w:rFonts w:ascii="宋体" w:hAnsi="宋体" w:eastAsia="宋体" w:cs="宋体"/>
          <w:sz w:val="24"/>
          <w:szCs w:val="24"/>
        </w:rPr>
        <w:t xml:space="preserve"> </w:t>
      </w:r>
      <w:r>
        <w:rPr>
          <w:rFonts w:ascii="宋体" w:hAnsi="宋体" w:eastAsia="宋体" w:cs="宋体"/>
          <w:spacing w:val="-1"/>
          <w:sz w:val="24"/>
          <w:szCs w:val="24"/>
        </w:rPr>
        <w:t>牌，无建筑物的设立式标志牌。</w:t>
      </w:r>
    </w:p>
    <w:p w14:paraId="5AA98694">
      <w:pPr>
        <w:spacing w:before="21" w:line="378" w:lineRule="auto"/>
        <w:ind w:right="82" w:firstLine="481"/>
        <w:jc w:val="both"/>
        <w:rPr>
          <w:rFonts w:ascii="宋体" w:hAnsi="宋体" w:eastAsia="宋体" w:cs="宋体"/>
          <w:sz w:val="24"/>
          <w:szCs w:val="24"/>
        </w:rPr>
      </w:pPr>
      <w:r>
        <w:rPr>
          <w:rFonts w:ascii="宋体" w:hAnsi="宋体" w:eastAsia="宋体" w:cs="宋体"/>
          <w:spacing w:val="2"/>
          <w:sz w:val="24"/>
          <w:szCs w:val="24"/>
        </w:rPr>
        <w:t>规范化排污口的有关设置（如图形标志牌、计量装置、监控装置等）属环保设</w:t>
      </w:r>
      <w:r>
        <w:rPr>
          <w:rFonts w:ascii="宋体" w:hAnsi="宋体" w:eastAsia="宋体" w:cs="宋体"/>
          <w:spacing w:val="9"/>
          <w:sz w:val="24"/>
          <w:szCs w:val="24"/>
        </w:rPr>
        <w:t xml:space="preserve"> </w:t>
      </w:r>
      <w:r>
        <w:rPr>
          <w:rFonts w:ascii="宋体" w:hAnsi="宋体" w:eastAsia="宋体" w:cs="宋体"/>
          <w:spacing w:val="2"/>
          <w:sz w:val="24"/>
          <w:szCs w:val="24"/>
        </w:rPr>
        <w:t>施，排污单位必须负责日常的维护保养，任何单位和个人不得擅自拆除，如需变更</w:t>
      </w:r>
      <w:r>
        <w:rPr>
          <w:rFonts w:ascii="宋体" w:hAnsi="宋体" w:eastAsia="宋体" w:cs="宋体"/>
          <w:spacing w:val="7"/>
          <w:sz w:val="24"/>
          <w:szCs w:val="24"/>
        </w:rPr>
        <w:t xml:space="preserve"> </w:t>
      </w:r>
      <w:r>
        <w:rPr>
          <w:rFonts w:ascii="宋体" w:hAnsi="宋体" w:eastAsia="宋体" w:cs="宋体"/>
          <w:spacing w:val="-1"/>
          <w:sz w:val="24"/>
          <w:szCs w:val="24"/>
        </w:rPr>
        <w:t>的须报环境监理部门同意并办理变更手续。</w:t>
      </w:r>
    </w:p>
    <w:p w14:paraId="24574F21">
      <w:pPr>
        <w:spacing w:line="378" w:lineRule="auto"/>
        <w:rPr>
          <w:rFonts w:ascii="宋体" w:hAnsi="宋体" w:eastAsia="宋体" w:cs="宋体"/>
          <w:sz w:val="24"/>
          <w:szCs w:val="24"/>
        </w:rPr>
        <w:sectPr>
          <w:footerReference r:id="rId173" w:type="default"/>
          <w:pgSz w:w="11906" w:h="16839"/>
          <w:pgMar w:top="400" w:right="1505" w:bottom="1485" w:left="1596" w:header="0" w:footer="1249" w:gutter="0"/>
          <w:cols w:space="720" w:num="1"/>
        </w:sectPr>
      </w:pPr>
    </w:p>
    <w:p w14:paraId="6233D5B3">
      <w:pPr>
        <w:pStyle w:val="2"/>
        <w:spacing w:line="269" w:lineRule="auto"/>
      </w:pPr>
    </w:p>
    <w:p w14:paraId="750BD81E">
      <w:pPr>
        <w:pStyle w:val="2"/>
        <w:spacing w:line="270" w:lineRule="auto"/>
      </w:pPr>
    </w:p>
    <w:p w14:paraId="33470865">
      <w:pPr>
        <w:pStyle w:val="2"/>
        <w:spacing w:line="270" w:lineRule="auto"/>
      </w:pPr>
    </w:p>
    <w:p w14:paraId="0EEBB8C7">
      <w:pPr>
        <w:pStyle w:val="2"/>
        <w:spacing w:line="270" w:lineRule="auto"/>
      </w:pPr>
    </w:p>
    <w:p w14:paraId="44751533">
      <w:pPr>
        <w:spacing w:before="101" w:line="226" w:lineRule="auto"/>
        <w:outlineLvl w:val="1"/>
        <w:rPr>
          <w:rFonts w:ascii="宋体" w:hAnsi="宋体" w:eastAsia="宋体" w:cs="宋体"/>
          <w:sz w:val="31"/>
          <w:szCs w:val="31"/>
        </w:rPr>
      </w:pPr>
      <w:bookmarkStart w:id="51" w:name="bookmark46"/>
      <w:bookmarkEnd w:id="51"/>
      <w:r>
        <w:rPr>
          <w:rFonts w:ascii="宋体" w:hAnsi="宋体" w:eastAsia="宋体" w:cs="宋体"/>
          <w:b/>
          <w:bCs/>
          <w:spacing w:val="4"/>
          <w:sz w:val="31"/>
          <w:szCs w:val="31"/>
        </w:rPr>
        <w:t>8.4污染物排放清单</w:t>
      </w:r>
    </w:p>
    <w:p w14:paraId="0AFACC9E">
      <w:pPr>
        <w:pStyle w:val="2"/>
        <w:spacing w:line="407" w:lineRule="auto"/>
      </w:pPr>
    </w:p>
    <w:p w14:paraId="75D00653">
      <w:pPr>
        <w:spacing w:before="78" w:line="378" w:lineRule="auto"/>
        <w:ind w:left="1" w:firstLine="477"/>
        <w:rPr>
          <w:rFonts w:ascii="宋体" w:hAnsi="宋体" w:eastAsia="宋体" w:cs="宋体"/>
          <w:sz w:val="24"/>
          <w:szCs w:val="24"/>
        </w:rPr>
      </w:pPr>
      <w:r>
        <w:rPr>
          <w:rFonts w:ascii="宋体" w:hAnsi="宋体" w:eastAsia="宋体" w:cs="宋体"/>
          <w:spacing w:val="2"/>
          <w:sz w:val="24"/>
          <w:szCs w:val="24"/>
        </w:rPr>
        <w:t>为便于当地行政主管部门管理，便于对社会公开项目信息，根据导则要求，制</w:t>
      </w:r>
      <w:r>
        <w:rPr>
          <w:rFonts w:ascii="宋体" w:hAnsi="宋体" w:eastAsia="宋体" w:cs="宋体"/>
          <w:spacing w:val="7"/>
          <w:sz w:val="24"/>
          <w:szCs w:val="24"/>
        </w:rPr>
        <w:t xml:space="preserve"> </w:t>
      </w:r>
      <w:r>
        <w:rPr>
          <w:rFonts w:ascii="宋体" w:hAnsi="宋体" w:eastAsia="宋体" w:cs="宋体"/>
          <w:spacing w:val="-1"/>
          <w:sz w:val="24"/>
          <w:szCs w:val="24"/>
        </w:rPr>
        <w:t>定本项目污染物排放清单，明确污染物排放的管理要求。</w:t>
      </w:r>
    </w:p>
    <w:p w14:paraId="5015490C">
      <w:pPr>
        <w:spacing w:line="378" w:lineRule="auto"/>
        <w:rPr>
          <w:rFonts w:ascii="宋体" w:hAnsi="宋体" w:eastAsia="宋体" w:cs="宋体"/>
          <w:sz w:val="24"/>
          <w:szCs w:val="24"/>
        </w:rPr>
        <w:sectPr>
          <w:footerReference r:id="rId174" w:type="default"/>
          <w:pgSz w:w="11906" w:h="16839"/>
          <w:pgMar w:top="400" w:right="1588" w:bottom="1485" w:left="1602" w:header="0" w:footer="1249" w:gutter="0"/>
          <w:cols w:space="720" w:num="1"/>
        </w:sectPr>
      </w:pPr>
    </w:p>
    <w:p w14:paraId="645C0A69">
      <w:pPr>
        <w:pStyle w:val="2"/>
        <w:spacing w:line="286" w:lineRule="auto"/>
      </w:pPr>
    </w:p>
    <w:p w14:paraId="2062FFB2">
      <w:pPr>
        <w:pStyle w:val="2"/>
        <w:spacing w:line="287" w:lineRule="auto"/>
      </w:pPr>
    </w:p>
    <w:p w14:paraId="2B11D5CA">
      <w:pPr>
        <w:pStyle w:val="2"/>
        <w:spacing w:line="287" w:lineRule="auto"/>
      </w:pPr>
    </w:p>
    <w:p w14:paraId="18CF0196">
      <w:pPr>
        <w:pStyle w:val="2"/>
        <w:spacing w:line="287" w:lineRule="auto"/>
      </w:pPr>
    </w:p>
    <w:p w14:paraId="66D28846">
      <w:pPr>
        <w:spacing w:before="65" w:line="222" w:lineRule="auto"/>
        <w:ind w:left="5983"/>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b/>
          <w:bCs/>
          <w:spacing w:val="5"/>
          <w:sz w:val="20"/>
          <w:szCs w:val="20"/>
        </w:rPr>
        <w:t xml:space="preserve">8.4-1  </w:t>
      </w:r>
      <w:r>
        <w:rPr>
          <w:rFonts w:ascii="宋体" w:hAnsi="宋体" w:eastAsia="宋体" w:cs="宋体"/>
          <w:b/>
          <w:bCs/>
          <w:spacing w:val="5"/>
          <w:sz w:val="20"/>
          <w:szCs w:val="20"/>
        </w:rPr>
        <w:t>污染物排放清单</w:t>
      </w:r>
    </w:p>
    <w:tbl>
      <w:tblPr>
        <w:tblStyle w:val="5"/>
        <w:tblW w:w="14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944"/>
        <w:gridCol w:w="1213"/>
        <w:gridCol w:w="1064"/>
        <w:gridCol w:w="1560"/>
        <w:gridCol w:w="1557"/>
        <w:gridCol w:w="3161"/>
        <w:gridCol w:w="2737"/>
        <w:gridCol w:w="1551"/>
      </w:tblGrid>
      <w:tr w14:paraId="21D80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35" w:type="dxa"/>
            <w:vMerge w:val="restart"/>
            <w:tcBorders>
              <w:bottom w:val="nil"/>
            </w:tcBorders>
            <w:textDirection w:val="tbRlV"/>
            <w:vAlign w:val="top"/>
          </w:tcPr>
          <w:p w14:paraId="24006A91">
            <w:pPr>
              <w:pStyle w:val="6"/>
              <w:spacing w:before="109" w:line="216" w:lineRule="auto"/>
              <w:ind w:left="39"/>
            </w:pPr>
            <w:r>
              <w:rPr>
                <w:b/>
                <w:bCs/>
                <w:spacing w:val="7"/>
              </w:rPr>
              <w:t>类</w:t>
            </w:r>
            <w:r>
              <w:rPr>
                <w:spacing w:val="-36"/>
              </w:rPr>
              <w:t xml:space="preserve"> </w:t>
            </w:r>
            <w:r>
              <w:rPr>
                <w:b/>
                <w:bCs/>
                <w:spacing w:val="7"/>
              </w:rPr>
              <w:t>别</w:t>
            </w:r>
          </w:p>
        </w:tc>
        <w:tc>
          <w:tcPr>
            <w:tcW w:w="944" w:type="dxa"/>
            <w:vMerge w:val="restart"/>
            <w:tcBorders>
              <w:bottom w:val="nil"/>
            </w:tcBorders>
            <w:vAlign w:val="top"/>
          </w:tcPr>
          <w:p w14:paraId="5AE2326D">
            <w:pPr>
              <w:pStyle w:val="6"/>
              <w:spacing w:before="176" w:line="229" w:lineRule="auto"/>
              <w:ind w:left="160"/>
            </w:pPr>
            <w:r>
              <w:rPr>
                <w:b/>
                <w:bCs/>
                <w:spacing w:val="5"/>
              </w:rPr>
              <w:t>污染源</w:t>
            </w:r>
          </w:p>
        </w:tc>
        <w:tc>
          <w:tcPr>
            <w:tcW w:w="2277" w:type="dxa"/>
            <w:gridSpan w:val="2"/>
            <w:vMerge w:val="restart"/>
            <w:tcBorders>
              <w:bottom w:val="nil"/>
            </w:tcBorders>
            <w:vAlign w:val="top"/>
          </w:tcPr>
          <w:p w14:paraId="0247F39D">
            <w:pPr>
              <w:pStyle w:val="6"/>
              <w:spacing w:before="176" w:line="229" w:lineRule="auto"/>
              <w:ind w:left="618"/>
            </w:pPr>
            <w:r>
              <w:rPr>
                <w:b/>
                <w:bCs/>
                <w:spacing w:val="6"/>
              </w:rPr>
              <w:t>污染物名称</w:t>
            </w:r>
          </w:p>
        </w:tc>
        <w:tc>
          <w:tcPr>
            <w:tcW w:w="3117" w:type="dxa"/>
            <w:gridSpan w:val="2"/>
            <w:vAlign w:val="top"/>
          </w:tcPr>
          <w:p w14:paraId="3A7CB31E">
            <w:pPr>
              <w:pStyle w:val="6"/>
              <w:spacing w:before="36" w:line="218" w:lineRule="auto"/>
              <w:ind w:left="1038"/>
            </w:pPr>
            <w:r>
              <w:rPr>
                <w:b/>
                <w:bCs/>
                <w:spacing w:val="6"/>
              </w:rPr>
              <w:t>污染物排放</w:t>
            </w:r>
          </w:p>
        </w:tc>
        <w:tc>
          <w:tcPr>
            <w:tcW w:w="3161" w:type="dxa"/>
            <w:vMerge w:val="restart"/>
            <w:tcBorders>
              <w:bottom w:val="nil"/>
            </w:tcBorders>
            <w:vAlign w:val="top"/>
          </w:tcPr>
          <w:p w14:paraId="7D769F44">
            <w:pPr>
              <w:pStyle w:val="6"/>
              <w:spacing w:before="176" w:line="228" w:lineRule="auto"/>
              <w:ind w:left="536"/>
            </w:pPr>
            <w:r>
              <w:rPr>
                <w:b/>
                <w:bCs/>
                <w:spacing w:val="7"/>
              </w:rPr>
              <w:t>拟采取的环境保护措施</w:t>
            </w:r>
          </w:p>
        </w:tc>
        <w:tc>
          <w:tcPr>
            <w:tcW w:w="2737" w:type="dxa"/>
            <w:vMerge w:val="restart"/>
            <w:tcBorders>
              <w:bottom w:val="nil"/>
            </w:tcBorders>
            <w:vAlign w:val="top"/>
          </w:tcPr>
          <w:p w14:paraId="7015B143">
            <w:pPr>
              <w:pStyle w:val="6"/>
              <w:spacing w:before="176" w:line="228" w:lineRule="auto"/>
              <w:ind w:left="641"/>
            </w:pPr>
            <w:r>
              <w:rPr>
                <w:b/>
                <w:bCs/>
                <w:spacing w:val="7"/>
              </w:rPr>
              <w:t>执行的环境标准</w:t>
            </w:r>
          </w:p>
        </w:tc>
        <w:tc>
          <w:tcPr>
            <w:tcW w:w="1551" w:type="dxa"/>
            <w:vMerge w:val="restart"/>
            <w:tcBorders>
              <w:bottom w:val="nil"/>
            </w:tcBorders>
            <w:vAlign w:val="top"/>
          </w:tcPr>
          <w:p w14:paraId="6802643C">
            <w:pPr>
              <w:pStyle w:val="6"/>
              <w:spacing w:before="176" w:line="229" w:lineRule="auto"/>
              <w:ind w:left="359"/>
            </w:pPr>
            <w:r>
              <w:rPr>
                <w:b/>
                <w:bCs/>
                <w:spacing w:val="6"/>
              </w:rPr>
              <w:t>环境监测</w:t>
            </w:r>
          </w:p>
        </w:tc>
      </w:tr>
      <w:tr w14:paraId="0FA3B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5" w:type="dxa"/>
            <w:vMerge w:val="continue"/>
            <w:tcBorders>
              <w:top w:val="nil"/>
            </w:tcBorders>
            <w:textDirection w:val="tbRlV"/>
            <w:vAlign w:val="top"/>
          </w:tcPr>
          <w:p w14:paraId="6B11AA3F">
            <w:pPr>
              <w:rPr>
                <w:rFonts w:ascii="Arial"/>
                <w:sz w:val="21"/>
              </w:rPr>
            </w:pPr>
          </w:p>
        </w:tc>
        <w:tc>
          <w:tcPr>
            <w:tcW w:w="944" w:type="dxa"/>
            <w:vMerge w:val="continue"/>
            <w:tcBorders>
              <w:top w:val="nil"/>
            </w:tcBorders>
            <w:vAlign w:val="top"/>
          </w:tcPr>
          <w:p w14:paraId="3E439459">
            <w:pPr>
              <w:rPr>
                <w:rFonts w:ascii="Arial"/>
                <w:sz w:val="21"/>
              </w:rPr>
            </w:pPr>
          </w:p>
        </w:tc>
        <w:tc>
          <w:tcPr>
            <w:tcW w:w="2277" w:type="dxa"/>
            <w:gridSpan w:val="2"/>
            <w:vMerge w:val="continue"/>
            <w:tcBorders>
              <w:top w:val="nil"/>
            </w:tcBorders>
            <w:vAlign w:val="top"/>
          </w:tcPr>
          <w:p w14:paraId="6208FB62">
            <w:pPr>
              <w:rPr>
                <w:rFonts w:ascii="Arial"/>
                <w:sz w:val="21"/>
              </w:rPr>
            </w:pPr>
          </w:p>
        </w:tc>
        <w:tc>
          <w:tcPr>
            <w:tcW w:w="1560" w:type="dxa"/>
            <w:vAlign w:val="top"/>
          </w:tcPr>
          <w:p w14:paraId="0697B7A1">
            <w:pPr>
              <w:pStyle w:val="6"/>
              <w:spacing w:before="29" w:line="219" w:lineRule="auto"/>
              <w:ind w:left="125"/>
            </w:pPr>
            <w:r>
              <w:rPr>
                <w:b/>
                <w:bCs/>
                <w:spacing w:val="-1"/>
              </w:rPr>
              <w:t>浓度（</w:t>
            </w:r>
            <w:r>
              <w:rPr>
                <w:spacing w:val="-57"/>
              </w:rPr>
              <w:t xml:space="preserve"> </w:t>
            </w:r>
            <w:r>
              <w:rPr>
                <w:rFonts w:ascii="Times New Roman" w:hAnsi="Times New Roman" w:eastAsia="Times New Roman" w:cs="Times New Roman"/>
                <w:b/>
                <w:bCs/>
                <w:spacing w:val="-1"/>
              </w:rPr>
              <w:t>mg/L</w:t>
            </w:r>
            <w:r>
              <w:rPr>
                <w:b/>
                <w:bCs/>
                <w:spacing w:val="-1"/>
              </w:rPr>
              <w:t>）</w:t>
            </w:r>
          </w:p>
        </w:tc>
        <w:tc>
          <w:tcPr>
            <w:tcW w:w="1557" w:type="dxa"/>
            <w:vAlign w:val="top"/>
          </w:tcPr>
          <w:p w14:paraId="67249064">
            <w:pPr>
              <w:pStyle w:val="6"/>
              <w:spacing w:before="29" w:line="219" w:lineRule="auto"/>
              <w:ind w:left="141"/>
            </w:pPr>
            <w:r>
              <w:rPr>
                <w:b/>
                <w:bCs/>
                <w:spacing w:val="4"/>
              </w:rPr>
              <w:t>排放量（</w:t>
            </w:r>
            <w:r>
              <w:rPr>
                <w:rFonts w:ascii="Times New Roman" w:hAnsi="Times New Roman" w:eastAsia="Times New Roman" w:cs="Times New Roman"/>
                <w:b/>
                <w:bCs/>
                <w:spacing w:val="4"/>
              </w:rPr>
              <w:t>t/a</w:t>
            </w:r>
            <w:r>
              <w:rPr>
                <w:b/>
                <w:bCs/>
                <w:spacing w:val="4"/>
              </w:rPr>
              <w:t>）</w:t>
            </w:r>
          </w:p>
        </w:tc>
        <w:tc>
          <w:tcPr>
            <w:tcW w:w="3161" w:type="dxa"/>
            <w:vMerge w:val="continue"/>
            <w:tcBorders>
              <w:top w:val="nil"/>
            </w:tcBorders>
            <w:vAlign w:val="top"/>
          </w:tcPr>
          <w:p w14:paraId="251FF677">
            <w:pPr>
              <w:rPr>
                <w:rFonts w:ascii="Arial"/>
                <w:sz w:val="21"/>
              </w:rPr>
            </w:pPr>
          </w:p>
        </w:tc>
        <w:tc>
          <w:tcPr>
            <w:tcW w:w="2737" w:type="dxa"/>
            <w:vMerge w:val="continue"/>
            <w:tcBorders>
              <w:top w:val="nil"/>
            </w:tcBorders>
            <w:vAlign w:val="top"/>
          </w:tcPr>
          <w:p w14:paraId="333CB840">
            <w:pPr>
              <w:rPr>
                <w:rFonts w:ascii="Arial"/>
                <w:sz w:val="21"/>
              </w:rPr>
            </w:pPr>
          </w:p>
        </w:tc>
        <w:tc>
          <w:tcPr>
            <w:tcW w:w="1551" w:type="dxa"/>
            <w:vMerge w:val="continue"/>
            <w:tcBorders>
              <w:top w:val="nil"/>
            </w:tcBorders>
            <w:vAlign w:val="top"/>
          </w:tcPr>
          <w:p w14:paraId="18F79766">
            <w:pPr>
              <w:rPr>
                <w:rFonts w:ascii="Arial"/>
                <w:sz w:val="21"/>
              </w:rPr>
            </w:pPr>
          </w:p>
        </w:tc>
      </w:tr>
      <w:tr w14:paraId="4993A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5" w:type="dxa"/>
            <w:vMerge w:val="restart"/>
            <w:tcBorders>
              <w:bottom w:val="nil"/>
            </w:tcBorders>
            <w:textDirection w:val="tbRlV"/>
            <w:vAlign w:val="top"/>
          </w:tcPr>
          <w:p w14:paraId="2E719759">
            <w:pPr>
              <w:pStyle w:val="6"/>
              <w:spacing w:before="110" w:line="217" w:lineRule="auto"/>
              <w:ind w:left="1562"/>
            </w:pPr>
            <w:r>
              <w:rPr>
                <w:spacing w:val="9"/>
              </w:rPr>
              <w:t>废</w:t>
            </w:r>
            <w:r>
              <w:rPr>
                <w:spacing w:val="-39"/>
              </w:rPr>
              <w:t xml:space="preserve"> </w:t>
            </w:r>
            <w:r>
              <w:rPr>
                <w:spacing w:val="9"/>
              </w:rPr>
              <w:t>气</w:t>
            </w:r>
          </w:p>
        </w:tc>
        <w:tc>
          <w:tcPr>
            <w:tcW w:w="944" w:type="dxa"/>
            <w:vMerge w:val="restart"/>
            <w:tcBorders>
              <w:bottom w:val="nil"/>
            </w:tcBorders>
            <w:vAlign w:val="top"/>
          </w:tcPr>
          <w:p w14:paraId="12A63624">
            <w:pPr>
              <w:pStyle w:val="6"/>
              <w:spacing w:before="302" w:line="228" w:lineRule="auto"/>
              <w:ind w:left="159"/>
            </w:pPr>
            <w:r>
              <w:rPr>
                <w:spacing w:val="6"/>
              </w:rPr>
              <w:t>养殖臭</w:t>
            </w:r>
          </w:p>
          <w:p w14:paraId="19EB08D9">
            <w:pPr>
              <w:pStyle w:val="6"/>
              <w:spacing w:before="25" w:line="230" w:lineRule="auto"/>
              <w:ind w:left="370"/>
            </w:pPr>
            <w:r>
              <w:t>气</w:t>
            </w:r>
          </w:p>
        </w:tc>
        <w:tc>
          <w:tcPr>
            <w:tcW w:w="2277" w:type="dxa"/>
            <w:gridSpan w:val="2"/>
            <w:vAlign w:val="top"/>
          </w:tcPr>
          <w:p w14:paraId="0DE767CF">
            <w:pPr>
              <w:spacing w:before="55" w:line="187" w:lineRule="auto"/>
              <w:ind w:left="946"/>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560" w:type="dxa"/>
            <w:vAlign w:val="top"/>
          </w:tcPr>
          <w:p w14:paraId="7F18862C">
            <w:pPr>
              <w:spacing w:line="235"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5299E3FF">
            <w:pPr>
              <w:spacing w:line="235" w:lineRule="exact"/>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3161" w:type="dxa"/>
            <w:vMerge w:val="restart"/>
            <w:tcBorders>
              <w:bottom w:val="nil"/>
            </w:tcBorders>
            <w:vAlign w:val="top"/>
          </w:tcPr>
          <w:p w14:paraId="75B59963">
            <w:pPr>
              <w:pStyle w:val="6"/>
              <w:spacing w:before="31" w:line="228" w:lineRule="auto"/>
              <w:ind w:left="116"/>
            </w:pPr>
            <w:r>
              <w:rPr>
                <w:spacing w:val="9"/>
              </w:rPr>
              <w:t>做好猪场粪便清理工作，加强猪</w:t>
            </w:r>
          </w:p>
          <w:p w14:paraId="68FC55F8">
            <w:pPr>
              <w:pStyle w:val="6"/>
              <w:spacing w:before="23" w:line="228" w:lineRule="auto"/>
              <w:ind w:left="116"/>
            </w:pPr>
            <w:r>
              <w:rPr>
                <w:spacing w:val="8"/>
              </w:rPr>
              <w:t>舍通风及消毒，合理设计日粮，</w:t>
            </w:r>
          </w:p>
          <w:p w14:paraId="6DF487D6">
            <w:pPr>
              <w:pStyle w:val="6"/>
              <w:spacing w:before="26" w:line="228" w:lineRule="auto"/>
              <w:ind w:left="121"/>
            </w:pPr>
            <w:r>
              <w:rPr>
                <w:spacing w:val="8"/>
              </w:rPr>
              <w:t>定期喷洒除臭剂，饲料中添加益</w:t>
            </w:r>
          </w:p>
          <w:p w14:paraId="280B6D0D">
            <w:pPr>
              <w:pStyle w:val="6"/>
              <w:spacing w:before="24" w:line="217" w:lineRule="auto"/>
              <w:ind w:left="854"/>
            </w:pPr>
            <w:r>
              <w:rPr>
                <w:spacing w:val="8"/>
              </w:rPr>
              <w:t>生菌，增加绿化</w:t>
            </w:r>
          </w:p>
        </w:tc>
        <w:tc>
          <w:tcPr>
            <w:tcW w:w="2737" w:type="dxa"/>
            <w:vMerge w:val="restart"/>
            <w:tcBorders>
              <w:bottom w:val="nil"/>
            </w:tcBorders>
            <w:vAlign w:val="top"/>
          </w:tcPr>
          <w:p w14:paraId="54FA4CFC">
            <w:pPr>
              <w:pStyle w:val="6"/>
              <w:spacing w:before="165" w:line="224" w:lineRule="auto"/>
              <w:ind w:left="226"/>
            </w:pPr>
            <w:r>
              <w:rPr>
                <w:spacing w:val="7"/>
              </w:rPr>
              <w:t>《恶臭污染物排放标准》</w:t>
            </w:r>
          </w:p>
          <w:p w14:paraId="2CC67057">
            <w:pPr>
              <w:pStyle w:val="6"/>
              <w:spacing w:line="274" w:lineRule="exact"/>
              <w:ind w:left="126"/>
            </w:pPr>
            <w:r>
              <w:rPr>
                <w:spacing w:val="3"/>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3"/>
                <w:position w:val="1"/>
              </w:rPr>
              <w:t>14554-93</w:t>
            </w:r>
            <w:r>
              <w:rPr>
                <w:spacing w:val="3"/>
                <w:position w:val="1"/>
              </w:rPr>
              <w:t>）中的厂界二</w:t>
            </w:r>
          </w:p>
          <w:p w14:paraId="52724197">
            <w:pPr>
              <w:pStyle w:val="6"/>
              <w:spacing w:before="27" w:line="229" w:lineRule="auto"/>
              <w:ind w:left="1064"/>
            </w:pPr>
            <w:r>
              <w:rPr>
                <w:spacing w:val="5"/>
              </w:rPr>
              <w:t>级标准</w:t>
            </w:r>
          </w:p>
        </w:tc>
        <w:tc>
          <w:tcPr>
            <w:tcW w:w="1551" w:type="dxa"/>
            <w:vMerge w:val="restart"/>
            <w:tcBorders>
              <w:bottom w:val="nil"/>
            </w:tcBorders>
            <w:vAlign w:val="top"/>
          </w:tcPr>
          <w:p w14:paraId="45729228">
            <w:pPr>
              <w:spacing w:line="348" w:lineRule="auto"/>
              <w:rPr>
                <w:rFonts w:ascii="Arial"/>
                <w:sz w:val="21"/>
              </w:rPr>
            </w:pPr>
          </w:p>
          <w:p w14:paraId="5D9A40BA">
            <w:pPr>
              <w:spacing w:before="58"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D53F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435" w:type="dxa"/>
            <w:vMerge w:val="continue"/>
            <w:tcBorders>
              <w:top w:val="nil"/>
              <w:bottom w:val="nil"/>
            </w:tcBorders>
            <w:textDirection w:val="tbRlV"/>
            <w:vAlign w:val="top"/>
          </w:tcPr>
          <w:p w14:paraId="3ABA0107">
            <w:pPr>
              <w:rPr>
                <w:rFonts w:ascii="Arial"/>
                <w:sz w:val="21"/>
              </w:rPr>
            </w:pPr>
          </w:p>
        </w:tc>
        <w:tc>
          <w:tcPr>
            <w:tcW w:w="944" w:type="dxa"/>
            <w:vMerge w:val="continue"/>
            <w:tcBorders>
              <w:top w:val="nil"/>
            </w:tcBorders>
            <w:vAlign w:val="top"/>
          </w:tcPr>
          <w:p w14:paraId="45A5A3F9">
            <w:pPr>
              <w:rPr>
                <w:rFonts w:ascii="Arial"/>
                <w:sz w:val="21"/>
              </w:rPr>
            </w:pPr>
          </w:p>
        </w:tc>
        <w:tc>
          <w:tcPr>
            <w:tcW w:w="2277" w:type="dxa"/>
            <w:gridSpan w:val="2"/>
            <w:vAlign w:val="top"/>
          </w:tcPr>
          <w:p w14:paraId="6216ED5B">
            <w:pPr>
              <w:spacing w:line="290" w:lineRule="auto"/>
              <w:rPr>
                <w:rFonts w:ascii="Arial"/>
                <w:sz w:val="21"/>
              </w:rPr>
            </w:pPr>
          </w:p>
          <w:p w14:paraId="5EBA3889">
            <w:pPr>
              <w:spacing w:before="58" w:line="242" w:lineRule="exact"/>
              <w:ind w:left="96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1560" w:type="dxa"/>
            <w:vAlign w:val="top"/>
          </w:tcPr>
          <w:p w14:paraId="57FFF9AE">
            <w:pPr>
              <w:spacing w:before="283" w:line="274"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14:paraId="5D642986">
            <w:pPr>
              <w:spacing w:before="283" w:line="274" w:lineRule="exact"/>
              <w:ind w:left="5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3161" w:type="dxa"/>
            <w:vMerge w:val="continue"/>
            <w:tcBorders>
              <w:top w:val="nil"/>
            </w:tcBorders>
            <w:vAlign w:val="top"/>
          </w:tcPr>
          <w:p w14:paraId="7AA6CD3C">
            <w:pPr>
              <w:rPr>
                <w:rFonts w:ascii="Arial"/>
                <w:sz w:val="21"/>
              </w:rPr>
            </w:pPr>
          </w:p>
        </w:tc>
        <w:tc>
          <w:tcPr>
            <w:tcW w:w="2737" w:type="dxa"/>
            <w:vMerge w:val="continue"/>
            <w:tcBorders>
              <w:top w:val="nil"/>
            </w:tcBorders>
            <w:vAlign w:val="top"/>
          </w:tcPr>
          <w:p w14:paraId="55B947D4">
            <w:pPr>
              <w:rPr>
                <w:rFonts w:ascii="Arial"/>
                <w:sz w:val="21"/>
              </w:rPr>
            </w:pPr>
          </w:p>
        </w:tc>
        <w:tc>
          <w:tcPr>
            <w:tcW w:w="1551" w:type="dxa"/>
            <w:vMerge w:val="continue"/>
            <w:tcBorders>
              <w:top w:val="nil"/>
            </w:tcBorders>
            <w:vAlign w:val="top"/>
          </w:tcPr>
          <w:p w14:paraId="22AD1155">
            <w:pPr>
              <w:rPr>
                <w:rFonts w:ascii="Arial"/>
                <w:sz w:val="21"/>
              </w:rPr>
            </w:pPr>
          </w:p>
        </w:tc>
      </w:tr>
      <w:tr w14:paraId="39A42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5" w:type="dxa"/>
            <w:vMerge w:val="continue"/>
            <w:tcBorders>
              <w:top w:val="nil"/>
              <w:bottom w:val="nil"/>
            </w:tcBorders>
            <w:textDirection w:val="tbRlV"/>
            <w:vAlign w:val="top"/>
          </w:tcPr>
          <w:p w14:paraId="4DA934D0">
            <w:pPr>
              <w:rPr>
                <w:rFonts w:ascii="Arial"/>
                <w:sz w:val="21"/>
              </w:rPr>
            </w:pPr>
          </w:p>
        </w:tc>
        <w:tc>
          <w:tcPr>
            <w:tcW w:w="944" w:type="dxa"/>
            <w:vMerge w:val="restart"/>
            <w:tcBorders>
              <w:bottom w:val="nil"/>
            </w:tcBorders>
            <w:vAlign w:val="top"/>
          </w:tcPr>
          <w:p w14:paraId="5E271588">
            <w:pPr>
              <w:pStyle w:val="6"/>
              <w:spacing w:before="33" w:line="228" w:lineRule="auto"/>
              <w:ind w:left="159"/>
            </w:pPr>
            <w:r>
              <w:rPr>
                <w:spacing w:val="6"/>
              </w:rPr>
              <w:t>有机肥</w:t>
            </w:r>
          </w:p>
          <w:p w14:paraId="40A7A610">
            <w:pPr>
              <w:pStyle w:val="6"/>
              <w:spacing w:before="24" w:line="228" w:lineRule="auto"/>
              <w:ind w:left="162"/>
            </w:pPr>
            <w:r>
              <w:rPr>
                <w:spacing w:val="5"/>
              </w:rPr>
              <w:t>发酵车</w:t>
            </w:r>
          </w:p>
          <w:p w14:paraId="4B1728D9">
            <w:pPr>
              <w:pStyle w:val="6"/>
              <w:spacing w:before="26" w:line="213" w:lineRule="auto"/>
              <w:ind w:left="386"/>
            </w:pPr>
            <w:r>
              <w:t>间</w:t>
            </w:r>
          </w:p>
        </w:tc>
        <w:tc>
          <w:tcPr>
            <w:tcW w:w="2277" w:type="dxa"/>
            <w:gridSpan w:val="2"/>
            <w:vAlign w:val="top"/>
          </w:tcPr>
          <w:p w14:paraId="453F0830">
            <w:pPr>
              <w:spacing w:before="57" w:line="185" w:lineRule="auto"/>
              <w:ind w:left="946"/>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NH</w:t>
            </w:r>
            <w:r>
              <w:rPr>
                <w:rFonts w:ascii="Times New Roman" w:hAnsi="Times New Roman" w:eastAsia="Times New Roman" w:cs="Times New Roman"/>
                <w:spacing w:val="6"/>
                <w:sz w:val="13"/>
                <w:szCs w:val="13"/>
              </w:rPr>
              <w:t>3</w:t>
            </w:r>
          </w:p>
        </w:tc>
        <w:tc>
          <w:tcPr>
            <w:tcW w:w="1560" w:type="dxa"/>
            <w:vAlign w:val="top"/>
          </w:tcPr>
          <w:p w14:paraId="63781836">
            <w:pPr>
              <w:spacing w:line="235"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31606C0E">
            <w:pPr>
              <w:spacing w:line="235" w:lineRule="exact"/>
              <w:ind w:left="5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w:t>
            </w:r>
          </w:p>
        </w:tc>
        <w:tc>
          <w:tcPr>
            <w:tcW w:w="3161" w:type="dxa"/>
            <w:vMerge w:val="restart"/>
            <w:tcBorders>
              <w:bottom w:val="nil"/>
            </w:tcBorders>
            <w:vAlign w:val="top"/>
          </w:tcPr>
          <w:p w14:paraId="58A7AF56">
            <w:pPr>
              <w:pStyle w:val="6"/>
              <w:spacing w:before="170" w:line="251" w:lineRule="auto"/>
              <w:ind w:left="132" w:right="110" w:hanging="16"/>
            </w:pPr>
            <w:r>
              <w:rPr>
                <w:spacing w:val="9"/>
              </w:rPr>
              <w:t>集污池中加除臭剂，并定期在车</w:t>
            </w:r>
            <w:r>
              <w:rPr>
                <w:spacing w:val="2"/>
              </w:rPr>
              <w:t xml:space="preserve"> </w:t>
            </w:r>
            <w:r>
              <w:rPr>
                <w:spacing w:val="8"/>
              </w:rPr>
              <w:t>间通风处喷洒除臭剂，增加绿化</w:t>
            </w:r>
          </w:p>
        </w:tc>
        <w:tc>
          <w:tcPr>
            <w:tcW w:w="2737" w:type="dxa"/>
            <w:vMerge w:val="restart"/>
            <w:tcBorders>
              <w:bottom w:val="nil"/>
            </w:tcBorders>
            <w:vAlign w:val="top"/>
          </w:tcPr>
          <w:p w14:paraId="199068A5">
            <w:pPr>
              <w:pStyle w:val="6"/>
              <w:spacing w:before="33" w:line="222" w:lineRule="auto"/>
              <w:ind w:left="226"/>
            </w:pPr>
            <w:r>
              <w:rPr>
                <w:spacing w:val="7"/>
              </w:rPr>
              <w:t>《恶臭污染物排放标准》</w:t>
            </w:r>
          </w:p>
          <w:p w14:paraId="44823EEB">
            <w:pPr>
              <w:pStyle w:val="6"/>
              <w:spacing w:line="274" w:lineRule="exact"/>
              <w:ind w:left="126"/>
            </w:pPr>
            <w:r>
              <w:rPr>
                <w:spacing w:val="3"/>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3"/>
                <w:position w:val="1"/>
              </w:rPr>
              <w:t>14554-93</w:t>
            </w:r>
            <w:r>
              <w:rPr>
                <w:spacing w:val="3"/>
                <w:position w:val="1"/>
              </w:rPr>
              <w:t>）中的厂界二</w:t>
            </w:r>
          </w:p>
          <w:p w14:paraId="10CC5A56">
            <w:pPr>
              <w:pStyle w:val="6"/>
              <w:spacing w:before="30" w:line="213" w:lineRule="auto"/>
              <w:ind w:left="1064"/>
            </w:pPr>
            <w:r>
              <w:rPr>
                <w:spacing w:val="5"/>
              </w:rPr>
              <w:t>级标准</w:t>
            </w:r>
          </w:p>
        </w:tc>
        <w:tc>
          <w:tcPr>
            <w:tcW w:w="1551" w:type="dxa"/>
            <w:vMerge w:val="restart"/>
            <w:tcBorders>
              <w:bottom w:val="nil"/>
            </w:tcBorders>
            <w:vAlign w:val="top"/>
          </w:tcPr>
          <w:p w14:paraId="15B7CA56">
            <w:pPr>
              <w:spacing w:before="273" w:line="275"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349A5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435" w:type="dxa"/>
            <w:vMerge w:val="continue"/>
            <w:tcBorders>
              <w:top w:val="nil"/>
              <w:bottom w:val="nil"/>
            </w:tcBorders>
            <w:textDirection w:val="tbRlV"/>
            <w:vAlign w:val="top"/>
          </w:tcPr>
          <w:p w14:paraId="4D6FF3D3">
            <w:pPr>
              <w:rPr>
                <w:rFonts w:ascii="Arial"/>
                <w:sz w:val="21"/>
              </w:rPr>
            </w:pPr>
          </w:p>
        </w:tc>
        <w:tc>
          <w:tcPr>
            <w:tcW w:w="944" w:type="dxa"/>
            <w:vMerge w:val="continue"/>
            <w:tcBorders>
              <w:top w:val="nil"/>
            </w:tcBorders>
            <w:vAlign w:val="top"/>
          </w:tcPr>
          <w:p w14:paraId="6731EEF1">
            <w:pPr>
              <w:rPr>
                <w:rFonts w:ascii="Arial"/>
                <w:sz w:val="21"/>
              </w:rPr>
            </w:pPr>
          </w:p>
        </w:tc>
        <w:tc>
          <w:tcPr>
            <w:tcW w:w="2277" w:type="dxa"/>
            <w:gridSpan w:val="2"/>
            <w:vAlign w:val="top"/>
          </w:tcPr>
          <w:p w14:paraId="45807C73">
            <w:pPr>
              <w:spacing w:before="215" w:line="242" w:lineRule="exact"/>
              <w:ind w:left="96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1560" w:type="dxa"/>
            <w:vAlign w:val="top"/>
          </w:tcPr>
          <w:p w14:paraId="69096E0C">
            <w:pPr>
              <w:spacing w:before="148" w:line="274"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14:paraId="68221762">
            <w:pPr>
              <w:spacing w:before="148" w:line="274" w:lineRule="exact"/>
              <w:ind w:left="5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c>
          <w:tcPr>
            <w:tcW w:w="3161" w:type="dxa"/>
            <w:vMerge w:val="continue"/>
            <w:tcBorders>
              <w:top w:val="nil"/>
            </w:tcBorders>
            <w:vAlign w:val="top"/>
          </w:tcPr>
          <w:p w14:paraId="7E75B206">
            <w:pPr>
              <w:rPr>
                <w:rFonts w:ascii="Arial"/>
                <w:sz w:val="21"/>
              </w:rPr>
            </w:pPr>
          </w:p>
        </w:tc>
        <w:tc>
          <w:tcPr>
            <w:tcW w:w="2737" w:type="dxa"/>
            <w:vMerge w:val="continue"/>
            <w:tcBorders>
              <w:top w:val="nil"/>
            </w:tcBorders>
            <w:vAlign w:val="top"/>
          </w:tcPr>
          <w:p w14:paraId="68893098">
            <w:pPr>
              <w:rPr>
                <w:rFonts w:ascii="Arial"/>
                <w:sz w:val="21"/>
              </w:rPr>
            </w:pPr>
          </w:p>
        </w:tc>
        <w:tc>
          <w:tcPr>
            <w:tcW w:w="1551" w:type="dxa"/>
            <w:vMerge w:val="continue"/>
            <w:tcBorders>
              <w:top w:val="nil"/>
            </w:tcBorders>
            <w:vAlign w:val="top"/>
          </w:tcPr>
          <w:p w14:paraId="21F4EE05">
            <w:pPr>
              <w:rPr>
                <w:rFonts w:ascii="Arial"/>
                <w:sz w:val="21"/>
              </w:rPr>
            </w:pPr>
          </w:p>
        </w:tc>
      </w:tr>
      <w:tr w14:paraId="1D2E2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35" w:type="dxa"/>
            <w:vMerge w:val="continue"/>
            <w:tcBorders>
              <w:top w:val="nil"/>
              <w:bottom w:val="nil"/>
            </w:tcBorders>
            <w:textDirection w:val="tbRlV"/>
            <w:vAlign w:val="top"/>
          </w:tcPr>
          <w:p w14:paraId="47D69CC0">
            <w:pPr>
              <w:rPr>
                <w:rFonts w:ascii="Arial"/>
                <w:sz w:val="21"/>
              </w:rPr>
            </w:pPr>
          </w:p>
        </w:tc>
        <w:tc>
          <w:tcPr>
            <w:tcW w:w="944" w:type="dxa"/>
            <w:vAlign w:val="top"/>
          </w:tcPr>
          <w:p w14:paraId="60B0DE4A">
            <w:pPr>
              <w:pStyle w:val="6"/>
              <w:spacing w:before="172" w:line="254" w:lineRule="auto"/>
              <w:ind w:left="266" w:right="159" w:hanging="108"/>
            </w:pPr>
            <w:r>
              <w:rPr>
                <w:spacing w:val="7"/>
              </w:rPr>
              <w:t>饲料加</w:t>
            </w:r>
            <w:r>
              <w:t xml:space="preserve"> </w:t>
            </w:r>
            <w:r>
              <w:rPr>
                <w:spacing w:val="3"/>
              </w:rPr>
              <w:t>工房</w:t>
            </w:r>
          </w:p>
        </w:tc>
        <w:tc>
          <w:tcPr>
            <w:tcW w:w="2277" w:type="dxa"/>
            <w:gridSpan w:val="2"/>
            <w:vAlign w:val="top"/>
          </w:tcPr>
          <w:p w14:paraId="23AFA547">
            <w:pPr>
              <w:spacing w:line="285" w:lineRule="auto"/>
              <w:rPr>
                <w:rFonts w:ascii="Arial"/>
                <w:sz w:val="21"/>
              </w:rPr>
            </w:pPr>
          </w:p>
          <w:p w14:paraId="6507DB97">
            <w:pPr>
              <w:spacing w:before="57" w:line="195" w:lineRule="auto"/>
              <w:ind w:left="9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560" w:type="dxa"/>
            <w:vAlign w:val="top"/>
          </w:tcPr>
          <w:p w14:paraId="599409F0">
            <w:pPr>
              <w:spacing w:before="277" w:line="275"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14:paraId="399B99D9">
            <w:pPr>
              <w:spacing w:before="277" w:line="275" w:lineRule="exact"/>
              <w:ind w:left="4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0.0076</w:t>
            </w:r>
          </w:p>
        </w:tc>
        <w:tc>
          <w:tcPr>
            <w:tcW w:w="3161" w:type="dxa"/>
            <w:vAlign w:val="top"/>
          </w:tcPr>
          <w:p w14:paraId="1F08001A">
            <w:pPr>
              <w:spacing w:line="242" w:lineRule="auto"/>
              <w:rPr>
                <w:rFonts w:ascii="Arial"/>
                <w:sz w:val="21"/>
              </w:rPr>
            </w:pPr>
          </w:p>
          <w:p w14:paraId="6E06C04B">
            <w:pPr>
              <w:pStyle w:val="6"/>
              <w:spacing w:before="65" w:line="229" w:lineRule="auto"/>
              <w:ind w:left="746"/>
            </w:pPr>
            <w:r>
              <w:rPr>
                <w:spacing w:val="8"/>
              </w:rPr>
              <w:t>饲料加工设备密闭</w:t>
            </w:r>
          </w:p>
        </w:tc>
        <w:tc>
          <w:tcPr>
            <w:tcW w:w="2737" w:type="dxa"/>
            <w:vAlign w:val="top"/>
          </w:tcPr>
          <w:p w14:paraId="1747DCFC">
            <w:pPr>
              <w:pStyle w:val="6"/>
              <w:spacing w:before="37" w:line="222" w:lineRule="auto"/>
              <w:ind w:left="115"/>
            </w:pPr>
            <w:r>
              <w:rPr>
                <w:spacing w:val="9"/>
              </w:rPr>
              <w:t>广东省《大气污染物排放限</w:t>
            </w:r>
          </w:p>
          <w:p w14:paraId="0EB6369A">
            <w:pPr>
              <w:pStyle w:val="6"/>
              <w:spacing w:line="274" w:lineRule="exact"/>
              <w:ind w:left="115"/>
            </w:pPr>
            <w:r>
              <w:rPr>
                <w:spacing w:val="7"/>
                <w:position w:val="1"/>
              </w:rPr>
              <w:t>值》（</w:t>
            </w:r>
            <w:r>
              <w:rPr>
                <w:rFonts w:ascii="Times New Roman" w:hAnsi="Times New Roman" w:eastAsia="Times New Roman" w:cs="Times New Roman"/>
                <w:position w:val="1"/>
              </w:rPr>
              <w:t>DB</w:t>
            </w:r>
            <w:r>
              <w:rPr>
                <w:rFonts w:ascii="Times New Roman" w:hAnsi="Times New Roman" w:eastAsia="Times New Roman" w:cs="Times New Roman"/>
                <w:spacing w:val="7"/>
                <w:position w:val="1"/>
              </w:rPr>
              <w:t>44/27-2001</w:t>
            </w:r>
            <w:r>
              <w:rPr>
                <w:spacing w:val="7"/>
                <w:position w:val="1"/>
              </w:rPr>
              <w:t>）第二</w:t>
            </w:r>
          </w:p>
          <w:p w14:paraId="5C015071">
            <w:pPr>
              <w:pStyle w:val="6"/>
              <w:spacing w:before="28" w:line="213" w:lineRule="auto"/>
              <w:ind w:left="440"/>
            </w:pPr>
            <w:r>
              <w:rPr>
                <w:spacing w:val="7"/>
              </w:rPr>
              <w:t>时段无组织排放标准</w:t>
            </w:r>
          </w:p>
        </w:tc>
        <w:tc>
          <w:tcPr>
            <w:tcW w:w="1551" w:type="dxa"/>
            <w:vAlign w:val="top"/>
          </w:tcPr>
          <w:p w14:paraId="103045FB">
            <w:pPr>
              <w:spacing w:before="277" w:line="275"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2B1B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35" w:type="dxa"/>
            <w:vMerge w:val="continue"/>
            <w:tcBorders>
              <w:top w:val="nil"/>
              <w:bottom w:val="nil"/>
            </w:tcBorders>
            <w:textDirection w:val="tbRlV"/>
            <w:vAlign w:val="top"/>
          </w:tcPr>
          <w:p w14:paraId="07819E1E">
            <w:pPr>
              <w:rPr>
                <w:rFonts w:ascii="Arial"/>
                <w:sz w:val="21"/>
              </w:rPr>
            </w:pPr>
          </w:p>
        </w:tc>
        <w:tc>
          <w:tcPr>
            <w:tcW w:w="944" w:type="dxa"/>
            <w:vMerge w:val="restart"/>
            <w:tcBorders>
              <w:bottom w:val="nil"/>
            </w:tcBorders>
            <w:vAlign w:val="top"/>
          </w:tcPr>
          <w:p w14:paraId="7C393187">
            <w:pPr>
              <w:pStyle w:val="6"/>
              <w:spacing w:before="190" w:line="229" w:lineRule="auto"/>
              <w:ind w:left="161"/>
            </w:pPr>
            <w:r>
              <w:rPr>
                <w:spacing w:val="6"/>
              </w:rPr>
              <w:t>备用发</w:t>
            </w:r>
          </w:p>
          <w:p w14:paraId="02FA9830">
            <w:pPr>
              <w:pStyle w:val="6"/>
              <w:spacing w:before="25" w:line="228" w:lineRule="auto"/>
              <w:ind w:left="183"/>
            </w:pPr>
            <w:r>
              <w:rPr>
                <w:spacing w:val="-2"/>
              </w:rPr>
              <w:t>电机房</w:t>
            </w:r>
          </w:p>
        </w:tc>
        <w:tc>
          <w:tcPr>
            <w:tcW w:w="2277" w:type="dxa"/>
            <w:gridSpan w:val="2"/>
            <w:vAlign w:val="top"/>
          </w:tcPr>
          <w:p w14:paraId="4ADFA698">
            <w:pPr>
              <w:spacing w:before="75" w:line="204" w:lineRule="auto"/>
              <w:ind w:left="979"/>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sz w:val="13"/>
                <w:szCs w:val="13"/>
              </w:rPr>
              <w:t>2</w:t>
            </w:r>
          </w:p>
        </w:tc>
        <w:tc>
          <w:tcPr>
            <w:tcW w:w="1560" w:type="dxa"/>
            <w:vAlign w:val="top"/>
          </w:tcPr>
          <w:p w14:paraId="0F64667B">
            <w:pPr>
              <w:spacing w:before="8" w:line="262" w:lineRule="exact"/>
              <w:ind w:left="67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35</w:t>
            </w:r>
          </w:p>
        </w:tc>
        <w:tc>
          <w:tcPr>
            <w:tcW w:w="1557" w:type="dxa"/>
            <w:vAlign w:val="top"/>
          </w:tcPr>
          <w:p w14:paraId="1C58819E">
            <w:pPr>
              <w:spacing w:line="266" w:lineRule="exact"/>
              <w:ind w:left="44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0.00056</w:t>
            </w:r>
          </w:p>
        </w:tc>
        <w:tc>
          <w:tcPr>
            <w:tcW w:w="3161" w:type="dxa"/>
            <w:vMerge w:val="restart"/>
            <w:tcBorders>
              <w:bottom w:val="nil"/>
            </w:tcBorders>
            <w:vAlign w:val="top"/>
          </w:tcPr>
          <w:p w14:paraId="2B48018E">
            <w:pPr>
              <w:spacing w:line="261" w:lineRule="auto"/>
              <w:rPr>
                <w:rFonts w:ascii="Arial"/>
                <w:sz w:val="21"/>
              </w:rPr>
            </w:pPr>
          </w:p>
          <w:p w14:paraId="14B6DFA8">
            <w:pPr>
              <w:pStyle w:val="6"/>
              <w:spacing w:before="65" w:line="228" w:lineRule="auto"/>
              <w:ind w:left="749"/>
            </w:pPr>
            <w:r>
              <w:rPr>
                <w:spacing w:val="8"/>
              </w:rPr>
              <w:t>经专用排气筒排放</w:t>
            </w:r>
          </w:p>
        </w:tc>
        <w:tc>
          <w:tcPr>
            <w:tcW w:w="2737" w:type="dxa"/>
            <w:vMerge w:val="restart"/>
            <w:tcBorders>
              <w:bottom w:val="nil"/>
            </w:tcBorders>
            <w:vAlign w:val="top"/>
          </w:tcPr>
          <w:p w14:paraId="5C1AAB1F">
            <w:pPr>
              <w:pStyle w:val="6"/>
              <w:spacing w:before="54" w:line="224" w:lineRule="auto"/>
              <w:ind w:left="115"/>
            </w:pPr>
            <w:r>
              <w:rPr>
                <w:spacing w:val="9"/>
              </w:rPr>
              <w:t>广东省《大气污染物排放限</w:t>
            </w:r>
          </w:p>
          <w:p w14:paraId="4FE1F66C">
            <w:pPr>
              <w:pStyle w:val="6"/>
              <w:spacing w:line="274" w:lineRule="exact"/>
              <w:ind w:left="115"/>
            </w:pPr>
            <w:r>
              <w:rPr>
                <w:spacing w:val="7"/>
                <w:position w:val="1"/>
              </w:rPr>
              <w:t>值》（</w:t>
            </w:r>
            <w:r>
              <w:rPr>
                <w:rFonts w:ascii="Times New Roman" w:hAnsi="Times New Roman" w:eastAsia="Times New Roman" w:cs="Times New Roman"/>
                <w:position w:val="1"/>
              </w:rPr>
              <w:t>DB</w:t>
            </w:r>
            <w:r>
              <w:rPr>
                <w:rFonts w:ascii="Times New Roman" w:hAnsi="Times New Roman" w:eastAsia="Times New Roman" w:cs="Times New Roman"/>
                <w:spacing w:val="7"/>
                <w:position w:val="1"/>
              </w:rPr>
              <w:t>44/27-2001</w:t>
            </w:r>
            <w:r>
              <w:rPr>
                <w:spacing w:val="7"/>
                <w:position w:val="1"/>
              </w:rPr>
              <w:t>）第二</w:t>
            </w:r>
          </w:p>
          <w:p w14:paraId="41A36246">
            <w:pPr>
              <w:pStyle w:val="6"/>
              <w:spacing w:before="28" w:line="228" w:lineRule="auto"/>
              <w:ind w:left="545"/>
            </w:pPr>
            <w:r>
              <w:rPr>
                <w:spacing w:val="7"/>
              </w:rPr>
              <w:t>时段二级标准限值</w:t>
            </w:r>
          </w:p>
        </w:tc>
        <w:tc>
          <w:tcPr>
            <w:tcW w:w="1551" w:type="dxa"/>
            <w:vMerge w:val="restart"/>
            <w:tcBorders>
              <w:bottom w:val="nil"/>
            </w:tcBorders>
            <w:vAlign w:val="top"/>
          </w:tcPr>
          <w:p w14:paraId="6C4F0B9F">
            <w:pPr>
              <w:spacing w:before="296"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086DA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35" w:type="dxa"/>
            <w:vMerge w:val="continue"/>
            <w:tcBorders>
              <w:top w:val="nil"/>
              <w:bottom w:val="nil"/>
            </w:tcBorders>
            <w:textDirection w:val="tbRlV"/>
            <w:vAlign w:val="top"/>
          </w:tcPr>
          <w:p w14:paraId="3BBD37D0">
            <w:pPr>
              <w:rPr>
                <w:rFonts w:ascii="Arial"/>
                <w:sz w:val="21"/>
              </w:rPr>
            </w:pPr>
          </w:p>
        </w:tc>
        <w:tc>
          <w:tcPr>
            <w:tcW w:w="944" w:type="dxa"/>
            <w:vMerge w:val="continue"/>
            <w:tcBorders>
              <w:top w:val="nil"/>
              <w:bottom w:val="nil"/>
            </w:tcBorders>
            <w:vAlign w:val="top"/>
          </w:tcPr>
          <w:p w14:paraId="24644D84">
            <w:pPr>
              <w:rPr>
                <w:rFonts w:ascii="Arial"/>
                <w:sz w:val="21"/>
              </w:rPr>
            </w:pPr>
          </w:p>
        </w:tc>
        <w:tc>
          <w:tcPr>
            <w:tcW w:w="2277" w:type="dxa"/>
            <w:gridSpan w:val="2"/>
            <w:vAlign w:val="top"/>
          </w:tcPr>
          <w:p w14:paraId="181A4B60">
            <w:pPr>
              <w:spacing w:before="77" w:line="202" w:lineRule="auto"/>
              <w:ind w:left="932"/>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560" w:type="dxa"/>
            <w:vAlign w:val="top"/>
          </w:tcPr>
          <w:p w14:paraId="37025FCA">
            <w:pPr>
              <w:spacing w:before="10" w:line="260" w:lineRule="exact"/>
              <w:ind w:left="6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83</w:t>
            </w:r>
          </w:p>
        </w:tc>
        <w:tc>
          <w:tcPr>
            <w:tcW w:w="1557" w:type="dxa"/>
            <w:vAlign w:val="top"/>
          </w:tcPr>
          <w:p w14:paraId="0AB5990E">
            <w:pPr>
              <w:spacing w:line="268" w:lineRule="exact"/>
              <w:ind w:left="44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0.00133</w:t>
            </w:r>
          </w:p>
        </w:tc>
        <w:tc>
          <w:tcPr>
            <w:tcW w:w="3161" w:type="dxa"/>
            <w:vMerge w:val="continue"/>
            <w:tcBorders>
              <w:top w:val="nil"/>
              <w:bottom w:val="nil"/>
            </w:tcBorders>
            <w:vAlign w:val="top"/>
          </w:tcPr>
          <w:p w14:paraId="0BD9C75E">
            <w:pPr>
              <w:rPr>
                <w:rFonts w:ascii="Arial"/>
                <w:sz w:val="21"/>
              </w:rPr>
            </w:pPr>
          </w:p>
        </w:tc>
        <w:tc>
          <w:tcPr>
            <w:tcW w:w="2737" w:type="dxa"/>
            <w:vMerge w:val="continue"/>
            <w:tcBorders>
              <w:top w:val="nil"/>
              <w:bottom w:val="nil"/>
            </w:tcBorders>
            <w:vAlign w:val="top"/>
          </w:tcPr>
          <w:p w14:paraId="519BB8F6">
            <w:pPr>
              <w:rPr>
                <w:rFonts w:ascii="Arial"/>
                <w:sz w:val="21"/>
              </w:rPr>
            </w:pPr>
          </w:p>
        </w:tc>
        <w:tc>
          <w:tcPr>
            <w:tcW w:w="1551" w:type="dxa"/>
            <w:vMerge w:val="continue"/>
            <w:tcBorders>
              <w:top w:val="nil"/>
              <w:bottom w:val="nil"/>
            </w:tcBorders>
            <w:vAlign w:val="top"/>
          </w:tcPr>
          <w:p w14:paraId="56051020">
            <w:pPr>
              <w:rPr>
                <w:rFonts w:ascii="Arial"/>
                <w:sz w:val="21"/>
              </w:rPr>
            </w:pPr>
          </w:p>
        </w:tc>
      </w:tr>
      <w:tr w14:paraId="58859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435" w:type="dxa"/>
            <w:vMerge w:val="continue"/>
            <w:tcBorders>
              <w:top w:val="nil"/>
            </w:tcBorders>
            <w:textDirection w:val="tbRlV"/>
            <w:vAlign w:val="top"/>
          </w:tcPr>
          <w:p w14:paraId="307D5576">
            <w:pPr>
              <w:rPr>
                <w:rFonts w:ascii="Arial"/>
                <w:sz w:val="21"/>
              </w:rPr>
            </w:pPr>
          </w:p>
        </w:tc>
        <w:tc>
          <w:tcPr>
            <w:tcW w:w="944" w:type="dxa"/>
            <w:vMerge w:val="continue"/>
            <w:tcBorders>
              <w:top w:val="nil"/>
            </w:tcBorders>
            <w:vAlign w:val="top"/>
          </w:tcPr>
          <w:p w14:paraId="14945772">
            <w:pPr>
              <w:rPr>
                <w:rFonts w:ascii="Arial"/>
                <w:sz w:val="21"/>
              </w:rPr>
            </w:pPr>
          </w:p>
        </w:tc>
        <w:tc>
          <w:tcPr>
            <w:tcW w:w="2277" w:type="dxa"/>
            <w:gridSpan w:val="2"/>
            <w:vAlign w:val="top"/>
          </w:tcPr>
          <w:p w14:paraId="42727F2E">
            <w:pPr>
              <w:pStyle w:val="6"/>
              <w:spacing w:before="43" w:line="213" w:lineRule="auto"/>
              <w:ind w:left="931"/>
            </w:pPr>
            <w:r>
              <w:rPr>
                <w:spacing w:val="4"/>
              </w:rPr>
              <w:t>烟尘</w:t>
            </w:r>
          </w:p>
        </w:tc>
        <w:tc>
          <w:tcPr>
            <w:tcW w:w="1560" w:type="dxa"/>
            <w:vAlign w:val="top"/>
          </w:tcPr>
          <w:p w14:paraId="46F145C4">
            <w:pPr>
              <w:spacing w:before="82" w:line="192" w:lineRule="auto"/>
              <w:ind w:left="73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57" w:type="dxa"/>
            <w:vAlign w:val="top"/>
          </w:tcPr>
          <w:p w14:paraId="0BC2BBA1">
            <w:pPr>
              <w:spacing w:line="267" w:lineRule="exact"/>
              <w:ind w:left="44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0.00008</w:t>
            </w:r>
          </w:p>
        </w:tc>
        <w:tc>
          <w:tcPr>
            <w:tcW w:w="3161" w:type="dxa"/>
            <w:vMerge w:val="continue"/>
            <w:tcBorders>
              <w:top w:val="nil"/>
            </w:tcBorders>
            <w:vAlign w:val="top"/>
          </w:tcPr>
          <w:p w14:paraId="3C35752D">
            <w:pPr>
              <w:rPr>
                <w:rFonts w:ascii="Arial"/>
                <w:sz w:val="21"/>
              </w:rPr>
            </w:pPr>
          </w:p>
        </w:tc>
        <w:tc>
          <w:tcPr>
            <w:tcW w:w="2737" w:type="dxa"/>
            <w:vMerge w:val="continue"/>
            <w:tcBorders>
              <w:top w:val="nil"/>
            </w:tcBorders>
            <w:vAlign w:val="top"/>
          </w:tcPr>
          <w:p w14:paraId="0B30541D">
            <w:pPr>
              <w:rPr>
                <w:rFonts w:ascii="Arial"/>
                <w:sz w:val="21"/>
              </w:rPr>
            </w:pPr>
          </w:p>
        </w:tc>
        <w:tc>
          <w:tcPr>
            <w:tcW w:w="1551" w:type="dxa"/>
            <w:vMerge w:val="continue"/>
            <w:tcBorders>
              <w:top w:val="nil"/>
            </w:tcBorders>
            <w:vAlign w:val="top"/>
          </w:tcPr>
          <w:p w14:paraId="55DAD969">
            <w:pPr>
              <w:rPr>
                <w:rFonts w:ascii="Arial"/>
                <w:sz w:val="21"/>
              </w:rPr>
            </w:pPr>
          </w:p>
        </w:tc>
      </w:tr>
      <w:tr w14:paraId="3695C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435" w:type="dxa"/>
            <w:vMerge w:val="restart"/>
            <w:tcBorders>
              <w:bottom w:val="nil"/>
            </w:tcBorders>
            <w:textDirection w:val="tbRlV"/>
            <w:vAlign w:val="top"/>
          </w:tcPr>
          <w:p w14:paraId="305667EE">
            <w:pPr>
              <w:pStyle w:val="6"/>
              <w:spacing w:before="109" w:line="216" w:lineRule="auto"/>
              <w:ind w:left="443"/>
            </w:pPr>
            <w:r>
              <w:rPr>
                <w:spacing w:val="9"/>
              </w:rPr>
              <w:t>水</w:t>
            </w:r>
            <w:r>
              <w:rPr>
                <w:spacing w:val="-37"/>
              </w:rPr>
              <w:t xml:space="preserve"> </w:t>
            </w:r>
            <w:r>
              <w:rPr>
                <w:spacing w:val="9"/>
              </w:rPr>
              <w:t>污</w:t>
            </w:r>
            <w:r>
              <w:rPr>
                <w:spacing w:val="-39"/>
              </w:rPr>
              <w:t xml:space="preserve"> </w:t>
            </w:r>
            <w:r>
              <w:rPr>
                <w:spacing w:val="9"/>
              </w:rPr>
              <w:t>染</w:t>
            </w:r>
            <w:r>
              <w:rPr>
                <w:spacing w:val="-36"/>
              </w:rPr>
              <w:t xml:space="preserve"> </w:t>
            </w:r>
            <w:r>
              <w:rPr>
                <w:spacing w:val="9"/>
              </w:rPr>
              <w:t>物</w:t>
            </w:r>
          </w:p>
        </w:tc>
        <w:tc>
          <w:tcPr>
            <w:tcW w:w="944" w:type="dxa"/>
            <w:vMerge w:val="restart"/>
            <w:tcBorders>
              <w:bottom w:val="nil"/>
            </w:tcBorders>
            <w:vAlign w:val="top"/>
          </w:tcPr>
          <w:p w14:paraId="7AD04E94">
            <w:pPr>
              <w:spacing w:line="322" w:lineRule="auto"/>
              <w:rPr>
                <w:rFonts w:ascii="Arial"/>
                <w:sz w:val="21"/>
              </w:rPr>
            </w:pPr>
          </w:p>
          <w:p w14:paraId="78A74CD5">
            <w:pPr>
              <w:spacing w:line="323" w:lineRule="auto"/>
              <w:rPr>
                <w:rFonts w:ascii="Arial"/>
                <w:sz w:val="21"/>
              </w:rPr>
            </w:pPr>
          </w:p>
          <w:p w14:paraId="719E36D0">
            <w:pPr>
              <w:pStyle w:val="6"/>
              <w:spacing w:before="65" w:line="229" w:lineRule="auto"/>
              <w:ind w:left="161"/>
            </w:pPr>
            <w:r>
              <w:rPr>
                <w:spacing w:val="6"/>
              </w:rPr>
              <w:t>综合废</w:t>
            </w:r>
          </w:p>
          <w:p w14:paraId="74C60835">
            <w:pPr>
              <w:pStyle w:val="6"/>
              <w:spacing w:before="23" w:line="228" w:lineRule="auto"/>
              <w:ind w:left="372"/>
            </w:pPr>
            <w:r>
              <w:t>水</w:t>
            </w:r>
          </w:p>
        </w:tc>
        <w:tc>
          <w:tcPr>
            <w:tcW w:w="1213" w:type="dxa"/>
            <w:vMerge w:val="restart"/>
            <w:tcBorders>
              <w:bottom w:val="nil"/>
            </w:tcBorders>
            <w:vAlign w:val="top"/>
          </w:tcPr>
          <w:p w14:paraId="3DDF3E84">
            <w:pPr>
              <w:spacing w:line="252" w:lineRule="auto"/>
              <w:rPr>
                <w:rFonts w:ascii="Arial"/>
                <w:sz w:val="21"/>
              </w:rPr>
            </w:pPr>
          </w:p>
          <w:p w14:paraId="523F5160">
            <w:pPr>
              <w:spacing w:line="253" w:lineRule="auto"/>
              <w:rPr>
                <w:rFonts w:ascii="Arial"/>
                <w:sz w:val="21"/>
              </w:rPr>
            </w:pPr>
          </w:p>
          <w:p w14:paraId="45144366">
            <w:pPr>
              <w:spacing w:line="253" w:lineRule="auto"/>
              <w:rPr>
                <w:rFonts w:ascii="Arial"/>
                <w:sz w:val="21"/>
              </w:rPr>
            </w:pPr>
          </w:p>
          <w:p w14:paraId="16504F9E">
            <w:pPr>
              <w:spacing w:before="57" w:line="275"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8908.26t/a</w:t>
            </w:r>
          </w:p>
        </w:tc>
        <w:tc>
          <w:tcPr>
            <w:tcW w:w="1064" w:type="dxa"/>
            <w:vAlign w:val="top"/>
          </w:tcPr>
          <w:p w14:paraId="420E91C0">
            <w:pPr>
              <w:spacing w:before="54" w:line="184" w:lineRule="auto"/>
              <w:ind w:left="245"/>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1560" w:type="dxa"/>
            <w:vAlign w:val="top"/>
          </w:tcPr>
          <w:p w14:paraId="39ECAC5C">
            <w:pPr>
              <w:spacing w:line="241"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23962B57">
            <w:pPr>
              <w:spacing w:line="241"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161" w:type="dxa"/>
            <w:vMerge w:val="restart"/>
            <w:tcBorders>
              <w:bottom w:val="nil"/>
            </w:tcBorders>
            <w:vAlign w:val="top"/>
          </w:tcPr>
          <w:p w14:paraId="2EA0526D">
            <w:pPr>
              <w:spacing w:line="323" w:lineRule="auto"/>
              <w:rPr>
                <w:rFonts w:ascii="Arial"/>
                <w:sz w:val="21"/>
              </w:rPr>
            </w:pPr>
          </w:p>
          <w:p w14:paraId="40840C63">
            <w:pPr>
              <w:spacing w:line="323" w:lineRule="auto"/>
              <w:rPr>
                <w:rFonts w:ascii="Arial"/>
                <w:sz w:val="21"/>
              </w:rPr>
            </w:pPr>
          </w:p>
          <w:p w14:paraId="3EAA9FBF">
            <w:pPr>
              <w:pStyle w:val="6"/>
              <w:spacing w:before="65" w:line="251" w:lineRule="auto"/>
              <w:ind w:left="119" w:right="110"/>
            </w:pPr>
            <w:r>
              <w:rPr>
                <w:spacing w:val="8"/>
              </w:rPr>
              <w:t>与猪只粪便一起收集后，经异位</w:t>
            </w:r>
            <w:r>
              <w:rPr>
                <w:spacing w:val="12"/>
              </w:rPr>
              <w:t xml:space="preserve"> </w:t>
            </w:r>
            <w:r>
              <w:rPr>
                <w:spacing w:val="9"/>
              </w:rPr>
              <w:t>发酵床发酵成有机肥半成品外售</w:t>
            </w:r>
          </w:p>
        </w:tc>
        <w:tc>
          <w:tcPr>
            <w:tcW w:w="2737" w:type="dxa"/>
            <w:vMerge w:val="restart"/>
            <w:tcBorders>
              <w:bottom w:val="nil"/>
            </w:tcBorders>
            <w:vAlign w:val="top"/>
          </w:tcPr>
          <w:p w14:paraId="40699226">
            <w:pPr>
              <w:spacing w:line="375" w:lineRule="auto"/>
              <w:rPr>
                <w:rFonts w:ascii="Arial"/>
                <w:sz w:val="21"/>
              </w:rPr>
            </w:pPr>
          </w:p>
          <w:p w14:paraId="25F3E6A4">
            <w:pPr>
              <w:pStyle w:val="6"/>
              <w:spacing w:before="65" w:line="222" w:lineRule="auto"/>
              <w:ind w:left="121"/>
            </w:pPr>
            <w:r>
              <w:rPr>
                <w:spacing w:val="8"/>
              </w:rPr>
              <w:t>《畜禽养殖业污染物排放标</w:t>
            </w:r>
          </w:p>
          <w:p w14:paraId="6E1FADB6">
            <w:pPr>
              <w:pStyle w:val="6"/>
              <w:spacing w:line="274" w:lineRule="exact"/>
              <w:ind w:left="117"/>
            </w:pPr>
            <w:r>
              <w:rPr>
                <w:position w:val="1"/>
              </w:rPr>
              <w:t>准》（</w:t>
            </w:r>
            <w:r>
              <w:rPr>
                <w:rFonts w:ascii="Times New Roman" w:hAnsi="Times New Roman" w:eastAsia="Times New Roman" w:cs="Times New Roman"/>
                <w:position w:val="1"/>
              </w:rPr>
              <w:t>DB44/613-2009</w:t>
            </w:r>
            <w:r>
              <w:rPr>
                <w:position w:val="1"/>
              </w:rPr>
              <w:t>）中的</w:t>
            </w:r>
          </w:p>
          <w:p w14:paraId="22A82EB3">
            <w:pPr>
              <w:pStyle w:val="6"/>
              <w:spacing w:before="28" w:line="228" w:lineRule="auto"/>
              <w:ind w:left="129"/>
            </w:pPr>
            <w:r>
              <w:rPr>
                <w:spacing w:val="8"/>
              </w:rPr>
              <w:t>畜禽养殖业废渣无害化环境</w:t>
            </w:r>
          </w:p>
          <w:p w14:paraId="52F56EC3">
            <w:pPr>
              <w:pStyle w:val="6"/>
              <w:spacing w:before="26" w:line="229" w:lineRule="auto"/>
              <w:ind w:left="1165"/>
            </w:pPr>
            <w:r>
              <w:rPr>
                <w:spacing w:val="4"/>
              </w:rPr>
              <w:t>标准</w:t>
            </w:r>
          </w:p>
        </w:tc>
        <w:tc>
          <w:tcPr>
            <w:tcW w:w="1551" w:type="dxa"/>
            <w:vMerge w:val="restart"/>
            <w:tcBorders>
              <w:bottom w:val="nil"/>
            </w:tcBorders>
            <w:vAlign w:val="top"/>
          </w:tcPr>
          <w:p w14:paraId="361B2D19">
            <w:pPr>
              <w:pStyle w:val="6"/>
              <w:spacing w:before="34" w:line="228" w:lineRule="auto"/>
              <w:ind w:left="150"/>
            </w:pPr>
            <w:r>
              <w:rPr>
                <w:spacing w:val="8"/>
              </w:rPr>
              <w:t>对生产的有机</w:t>
            </w:r>
          </w:p>
          <w:p w14:paraId="5A953F05">
            <w:pPr>
              <w:pStyle w:val="6"/>
              <w:spacing w:before="24" w:line="228" w:lineRule="auto"/>
              <w:ind w:left="150"/>
            </w:pPr>
            <w:r>
              <w:rPr>
                <w:spacing w:val="8"/>
              </w:rPr>
              <w:t>肥半成品进行</w:t>
            </w:r>
          </w:p>
          <w:p w14:paraId="01412446">
            <w:pPr>
              <w:pStyle w:val="6"/>
              <w:spacing w:before="24" w:line="224" w:lineRule="auto"/>
              <w:ind w:left="150"/>
            </w:pPr>
            <w:r>
              <w:rPr>
                <w:spacing w:val="6"/>
              </w:rPr>
              <w:t>每半年一次，</w:t>
            </w:r>
          </w:p>
          <w:p w14:paraId="09367F70">
            <w:pPr>
              <w:pStyle w:val="6"/>
              <w:spacing w:line="260" w:lineRule="auto"/>
              <w:ind w:left="151" w:right="145" w:hanging="1"/>
              <w:jc w:val="both"/>
            </w:pPr>
            <w:r>
              <w:rPr>
                <w:spacing w:val="4"/>
              </w:rPr>
              <w:t>全年共</w:t>
            </w:r>
            <w:r>
              <w:rPr>
                <w:spacing w:val="-41"/>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15"/>
                <w:w w:val="101"/>
              </w:rPr>
              <w:t xml:space="preserve"> </w:t>
            </w:r>
            <w:r>
              <w:rPr>
                <w:spacing w:val="4"/>
              </w:rPr>
              <w:t>次的</w:t>
            </w:r>
            <w:r>
              <w:t xml:space="preserve"> </w:t>
            </w:r>
            <w:r>
              <w:rPr>
                <w:spacing w:val="28"/>
              </w:rPr>
              <w:t>蛔虫卵死亡</w:t>
            </w:r>
            <w:r>
              <w:rPr>
                <w:spacing w:val="1"/>
              </w:rPr>
              <w:t xml:space="preserve">  </w:t>
            </w:r>
            <w:r>
              <w:rPr>
                <w:spacing w:val="7"/>
              </w:rPr>
              <w:t>率、粪大肠菌</w:t>
            </w:r>
          </w:p>
          <w:p w14:paraId="1A0E7D34">
            <w:pPr>
              <w:pStyle w:val="6"/>
              <w:spacing w:before="1" w:line="211" w:lineRule="auto"/>
              <w:ind w:left="465"/>
            </w:pPr>
            <w:r>
              <w:rPr>
                <w:spacing w:val="6"/>
              </w:rPr>
              <w:t>值监测</w:t>
            </w:r>
          </w:p>
        </w:tc>
      </w:tr>
      <w:tr w14:paraId="511F0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435" w:type="dxa"/>
            <w:vMerge w:val="continue"/>
            <w:tcBorders>
              <w:top w:val="nil"/>
              <w:bottom w:val="nil"/>
            </w:tcBorders>
            <w:textDirection w:val="tbRlV"/>
            <w:vAlign w:val="top"/>
          </w:tcPr>
          <w:p w14:paraId="3DDAD6F9">
            <w:pPr>
              <w:rPr>
                <w:rFonts w:ascii="Arial"/>
                <w:sz w:val="21"/>
              </w:rPr>
            </w:pPr>
          </w:p>
        </w:tc>
        <w:tc>
          <w:tcPr>
            <w:tcW w:w="944" w:type="dxa"/>
            <w:vMerge w:val="continue"/>
            <w:tcBorders>
              <w:top w:val="nil"/>
              <w:bottom w:val="nil"/>
            </w:tcBorders>
            <w:vAlign w:val="top"/>
          </w:tcPr>
          <w:p w14:paraId="1B0CD3CD">
            <w:pPr>
              <w:rPr>
                <w:rFonts w:ascii="Arial"/>
                <w:sz w:val="21"/>
              </w:rPr>
            </w:pPr>
          </w:p>
        </w:tc>
        <w:tc>
          <w:tcPr>
            <w:tcW w:w="1213" w:type="dxa"/>
            <w:vMerge w:val="continue"/>
            <w:tcBorders>
              <w:top w:val="nil"/>
              <w:bottom w:val="nil"/>
            </w:tcBorders>
            <w:vAlign w:val="top"/>
          </w:tcPr>
          <w:p w14:paraId="1542143E">
            <w:pPr>
              <w:rPr>
                <w:rFonts w:ascii="Arial"/>
                <w:sz w:val="21"/>
              </w:rPr>
            </w:pPr>
          </w:p>
        </w:tc>
        <w:tc>
          <w:tcPr>
            <w:tcW w:w="1064" w:type="dxa"/>
            <w:vAlign w:val="top"/>
          </w:tcPr>
          <w:p w14:paraId="6A85D100">
            <w:pPr>
              <w:spacing w:before="55" w:line="184" w:lineRule="auto"/>
              <w:ind w:left="277"/>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560" w:type="dxa"/>
            <w:vAlign w:val="top"/>
          </w:tcPr>
          <w:p w14:paraId="71ED8094">
            <w:pPr>
              <w:spacing w:line="242"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23E07DED">
            <w:pPr>
              <w:spacing w:line="242"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161" w:type="dxa"/>
            <w:vMerge w:val="continue"/>
            <w:tcBorders>
              <w:top w:val="nil"/>
              <w:bottom w:val="nil"/>
            </w:tcBorders>
            <w:vAlign w:val="top"/>
          </w:tcPr>
          <w:p w14:paraId="4DB71A3E">
            <w:pPr>
              <w:rPr>
                <w:rFonts w:ascii="Arial"/>
                <w:sz w:val="21"/>
              </w:rPr>
            </w:pPr>
          </w:p>
        </w:tc>
        <w:tc>
          <w:tcPr>
            <w:tcW w:w="2737" w:type="dxa"/>
            <w:vMerge w:val="continue"/>
            <w:tcBorders>
              <w:top w:val="nil"/>
              <w:bottom w:val="nil"/>
            </w:tcBorders>
            <w:vAlign w:val="top"/>
          </w:tcPr>
          <w:p w14:paraId="1FA262E5">
            <w:pPr>
              <w:rPr>
                <w:rFonts w:ascii="Arial"/>
                <w:sz w:val="21"/>
              </w:rPr>
            </w:pPr>
          </w:p>
        </w:tc>
        <w:tc>
          <w:tcPr>
            <w:tcW w:w="1551" w:type="dxa"/>
            <w:vMerge w:val="continue"/>
            <w:tcBorders>
              <w:top w:val="nil"/>
              <w:bottom w:val="nil"/>
            </w:tcBorders>
            <w:vAlign w:val="top"/>
          </w:tcPr>
          <w:p w14:paraId="58D82597">
            <w:pPr>
              <w:rPr>
                <w:rFonts w:ascii="Arial"/>
                <w:sz w:val="21"/>
              </w:rPr>
            </w:pPr>
          </w:p>
        </w:tc>
      </w:tr>
      <w:tr w14:paraId="63836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435" w:type="dxa"/>
            <w:vMerge w:val="continue"/>
            <w:tcBorders>
              <w:top w:val="nil"/>
              <w:bottom w:val="nil"/>
            </w:tcBorders>
            <w:textDirection w:val="tbRlV"/>
            <w:vAlign w:val="top"/>
          </w:tcPr>
          <w:p w14:paraId="38531A96">
            <w:pPr>
              <w:rPr>
                <w:rFonts w:ascii="Arial"/>
                <w:sz w:val="21"/>
              </w:rPr>
            </w:pPr>
          </w:p>
        </w:tc>
        <w:tc>
          <w:tcPr>
            <w:tcW w:w="944" w:type="dxa"/>
            <w:vMerge w:val="continue"/>
            <w:tcBorders>
              <w:top w:val="nil"/>
              <w:bottom w:val="nil"/>
            </w:tcBorders>
            <w:vAlign w:val="top"/>
          </w:tcPr>
          <w:p w14:paraId="254F14EE">
            <w:pPr>
              <w:rPr>
                <w:rFonts w:ascii="Arial"/>
                <w:sz w:val="21"/>
              </w:rPr>
            </w:pPr>
          </w:p>
        </w:tc>
        <w:tc>
          <w:tcPr>
            <w:tcW w:w="1213" w:type="dxa"/>
            <w:vMerge w:val="continue"/>
            <w:tcBorders>
              <w:top w:val="nil"/>
              <w:bottom w:val="nil"/>
            </w:tcBorders>
            <w:vAlign w:val="top"/>
          </w:tcPr>
          <w:p w14:paraId="6412647E">
            <w:pPr>
              <w:rPr>
                <w:rFonts w:ascii="Arial"/>
                <w:sz w:val="21"/>
              </w:rPr>
            </w:pPr>
          </w:p>
        </w:tc>
        <w:tc>
          <w:tcPr>
            <w:tcW w:w="1064" w:type="dxa"/>
            <w:vAlign w:val="top"/>
          </w:tcPr>
          <w:p w14:paraId="421066B3">
            <w:pPr>
              <w:spacing w:before="55" w:line="183"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560" w:type="dxa"/>
            <w:vAlign w:val="top"/>
          </w:tcPr>
          <w:p w14:paraId="360C8E8E">
            <w:pPr>
              <w:spacing w:line="241"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312DC4F3">
            <w:pPr>
              <w:spacing w:line="241"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161" w:type="dxa"/>
            <w:vMerge w:val="continue"/>
            <w:tcBorders>
              <w:top w:val="nil"/>
              <w:bottom w:val="nil"/>
            </w:tcBorders>
            <w:vAlign w:val="top"/>
          </w:tcPr>
          <w:p w14:paraId="45D92AAA">
            <w:pPr>
              <w:rPr>
                <w:rFonts w:ascii="Arial"/>
                <w:sz w:val="21"/>
              </w:rPr>
            </w:pPr>
          </w:p>
        </w:tc>
        <w:tc>
          <w:tcPr>
            <w:tcW w:w="2737" w:type="dxa"/>
            <w:vMerge w:val="continue"/>
            <w:tcBorders>
              <w:top w:val="nil"/>
              <w:bottom w:val="nil"/>
            </w:tcBorders>
            <w:vAlign w:val="top"/>
          </w:tcPr>
          <w:p w14:paraId="2DE03187">
            <w:pPr>
              <w:rPr>
                <w:rFonts w:ascii="Arial"/>
                <w:sz w:val="21"/>
              </w:rPr>
            </w:pPr>
          </w:p>
        </w:tc>
        <w:tc>
          <w:tcPr>
            <w:tcW w:w="1551" w:type="dxa"/>
            <w:vMerge w:val="continue"/>
            <w:tcBorders>
              <w:top w:val="nil"/>
              <w:bottom w:val="nil"/>
            </w:tcBorders>
            <w:vAlign w:val="top"/>
          </w:tcPr>
          <w:p w14:paraId="78224D53">
            <w:pPr>
              <w:rPr>
                <w:rFonts w:ascii="Arial"/>
                <w:sz w:val="21"/>
              </w:rPr>
            </w:pPr>
          </w:p>
        </w:tc>
      </w:tr>
      <w:tr w14:paraId="5291A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35" w:type="dxa"/>
            <w:vMerge w:val="continue"/>
            <w:tcBorders>
              <w:top w:val="nil"/>
              <w:bottom w:val="nil"/>
            </w:tcBorders>
            <w:textDirection w:val="tbRlV"/>
            <w:vAlign w:val="top"/>
          </w:tcPr>
          <w:p w14:paraId="218ACF4B">
            <w:pPr>
              <w:rPr>
                <w:rFonts w:ascii="Arial"/>
                <w:sz w:val="21"/>
              </w:rPr>
            </w:pPr>
          </w:p>
        </w:tc>
        <w:tc>
          <w:tcPr>
            <w:tcW w:w="944" w:type="dxa"/>
            <w:vMerge w:val="continue"/>
            <w:tcBorders>
              <w:top w:val="nil"/>
              <w:bottom w:val="nil"/>
            </w:tcBorders>
            <w:vAlign w:val="top"/>
          </w:tcPr>
          <w:p w14:paraId="640C7461">
            <w:pPr>
              <w:rPr>
                <w:rFonts w:ascii="Arial"/>
                <w:sz w:val="21"/>
              </w:rPr>
            </w:pPr>
          </w:p>
        </w:tc>
        <w:tc>
          <w:tcPr>
            <w:tcW w:w="1213" w:type="dxa"/>
            <w:vMerge w:val="continue"/>
            <w:tcBorders>
              <w:top w:val="nil"/>
              <w:bottom w:val="nil"/>
            </w:tcBorders>
            <w:vAlign w:val="top"/>
          </w:tcPr>
          <w:p w14:paraId="122775FA">
            <w:pPr>
              <w:rPr>
                <w:rFonts w:ascii="Arial"/>
                <w:sz w:val="21"/>
              </w:rPr>
            </w:pPr>
          </w:p>
        </w:tc>
        <w:tc>
          <w:tcPr>
            <w:tcW w:w="1064" w:type="dxa"/>
            <w:vAlign w:val="top"/>
          </w:tcPr>
          <w:p w14:paraId="42269242">
            <w:pPr>
              <w:pStyle w:val="6"/>
              <w:spacing w:before="35" w:line="209" w:lineRule="auto"/>
              <w:ind w:left="325"/>
            </w:pPr>
            <w:r>
              <w:rPr>
                <w:spacing w:val="4"/>
              </w:rPr>
              <w:t>氨氮</w:t>
            </w:r>
          </w:p>
        </w:tc>
        <w:tc>
          <w:tcPr>
            <w:tcW w:w="1560" w:type="dxa"/>
            <w:vAlign w:val="top"/>
          </w:tcPr>
          <w:p w14:paraId="60403116">
            <w:pPr>
              <w:spacing w:before="4" w:line="258"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14:paraId="4100697B">
            <w:pPr>
              <w:spacing w:before="4" w:line="258"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61" w:type="dxa"/>
            <w:vMerge w:val="continue"/>
            <w:tcBorders>
              <w:top w:val="nil"/>
              <w:bottom w:val="nil"/>
            </w:tcBorders>
            <w:vAlign w:val="top"/>
          </w:tcPr>
          <w:p w14:paraId="0848E748">
            <w:pPr>
              <w:rPr>
                <w:rFonts w:ascii="Arial"/>
                <w:sz w:val="21"/>
              </w:rPr>
            </w:pPr>
          </w:p>
        </w:tc>
        <w:tc>
          <w:tcPr>
            <w:tcW w:w="2737" w:type="dxa"/>
            <w:vMerge w:val="continue"/>
            <w:tcBorders>
              <w:top w:val="nil"/>
              <w:bottom w:val="nil"/>
            </w:tcBorders>
            <w:vAlign w:val="top"/>
          </w:tcPr>
          <w:p w14:paraId="6B096A27">
            <w:pPr>
              <w:rPr>
                <w:rFonts w:ascii="Arial"/>
                <w:sz w:val="21"/>
              </w:rPr>
            </w:pPr>
          </w:p>
        </w:tc>
        <w:tc>
          <w:tcPr>
            <w:tcW w:w="1551" w:type="dxa"/>
            <w:vMerge w:val="continue"/>
            <w:tcBorders>
              <w:top w:val="nil"/>
              <w:bottom w:val="nil"/>
            </w:tcBorders>
            <w:vAlign w:val="top"/>
          </w:tcPr>
          <w:p w14:paraId="77FFE5C8">
            <w:pPr>
              <w:rPr>
                <w:rFonts w:ascii="Arial"/>
                <w:sz w:val="21"/>
              </w:rPr>
            </w:pPr>
          </w:p>
        </w:tc>
      </w:tr>
      <w:tr w14:paraId="44924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435" w:type="dxa"/>
            <w:vMerge w:val="continue"/>
            <w:tcBorders>
              <w:top w:val="nil"/>
            </w:tcBorders>
            <w:textDirection w:val="tbRlV"/>
            <w:vAlign w:val="top"/>
          </w:tcPr>
          <w:p w14:paraId="121D45A0">
            <w:pPr>
              <w:rPr>
                <w:rFonts w:ascii="Arial"/>
                <w:sz w:val="21"/>
              </w:rPr>
            </w:pPr>
          </w:p>
        </w:tc>
        <w:tc>
          <w:tcPr>
            <w:tcW w:w="944" w:type="dxa"/>
            <w:vMerge w:val="continue"/>
            <w:tcBorders>
              <w:top w:val="nil"/>
            </w:tcBorders>
            <w:vAlign w:val="top"/>
          </w:tcPr>
          <w:p w14:paraId="66C43F2F">
            <w:pPr>
              <w:rPr>
                <w:rFonts w:ascii="Arial"/>
                <w:sz w:val="21"/>
              </w:rPr>
            </w:pPr>
          </w:p>
        </w:tc>
        <w:tc>
          <w:tcPr>
            <w:tcW w:w="1213" w:type="dxa"/>
            <w:vMerge w:val="continue"/>
            <w:tcBorders>
              <w:top w:val="nil"/>
            </w:tcBorders>
            <w:vAlign w:val="top"/>
          </w:tcPr>
          <w:p w14:paraId="6E22F64F">
            <w:pPr>
              <w:rPr>
                <w:rFonts w:ascii="Arial"/>
                <w:sz w:val="21"/>
              </w:rPr>
            </w:pPr>
          </w:p>
        </w:tc>
        <w:tc>
          <w:tcPr>
            <w:tcW w:w="1064" w:type="dxa"/>
            <w:vAlign w:val="top"/>
          </w:tcPr>
          <w:p w14:paraId="2FE78022">
            <w:pPr>
              <w:spacing w:line="323" w:lineRule="auto"/>
              <w:rPr>
                <w:rFonts w:ascii="Arial"/>
                <w:sz w:val="21"/>
              </w:rPr>
            </w:pPr>
          </w:p>
          <w:p w14:paraId="3E7CA83B">
            <w:pPr>
              <w:spacing w:before="57" w:line="192"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c>
          <w:tcPr>
            <w:tcW w:w="1560" w:type="dxa"/>
            <w:vAlign w:val="top"/>
          </w:tcPr>
          <w:p w14:paraId="69CF20E7">
            <w:pPr>
              <w:spacing w:line="254" w:lineRule="auto"/>
              <w:rPr>
                <w:rFonts w:ascii="Arial"/>
                <w:sz w:val="21"/>
              </w:rPr>
            </w:pPr>
          </w:p>
          <w:p w14:paraId="6F1EECBA">
            <w:pPr>
              <w:spacing w:before="57" w:line="274"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14:paraId="15102830">
            <w:pPr>
              <w:spacing w:line="254" w:lineRule="auto"/>
              <w:rPr>
                <w:rFonts w:ascii="Arial"/>
                <w:sz w:val="21"/>
              </w:rPr>
            </w:pPr>
          </w:p>
          <w:p w14:paraId="38D084D7">
            <w:pPr>
              <w:spacing w:before="57" w:line="274"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161" w:type="dxa"/>
            <w:vMerge w:val="continue"/>
            <w:tcBorders>
              <w:top w:val="nil"/>
            </w:tcBorders>
            <w:vAlign w:val="top"/>
          </w:tcPr>
          <w:p w14:paraId="6891DFC1">
            <w:pPr>
              <w:rPr>
                <w:rFonts w:ascii="Arial"/>
                <w:sz w:val="21"/>
              </w:rPr>
            </w:pPr>
          </w:p>
        </w:tc>
        <w:tc>
          <w:tcPr>
            <w:tcW w:w="2737" w:type="dxa"/>
            <w:vMerge w:val="continue"/>
            <w:tcBorders>
              <w:top w:val="nil"/>
            </w:tcBorders>
            <w:vAlign w:val="top"/>
          </w:tcPr>
          <w:p w14:paraId="5CB4DAA8">
            <w:pPr>
              <w:rPr>
                <w:rFonts w:ascii="Arial"/>
                <w:sz w:val="21"/>
              </w:rPr>
            </w:pPr>
          </w:p>
        </w:tc>
        <w:tc>
          <w:tcPr>
            <w:tcW w:w="1551" w:type="dxa"/>
            <w:vMerge w:val="continue"/>
            <w:tcBorders>
              <w:top w:val="nil"/>
            </w:tcBorders>
            <w:vAlign w:val="top"/>
          </w:tcPr>
          <w:p w14:paraId="1754CC77">
            <w:pPr>
              <w:rPr>
                <w:rFonts w:ascii="Arial"/>
                <w:sz w:val="21"/>
              </w:rPr>
            </w:pPr>
          </w:p>
        </w:tc>
      </w:tr>
      <w:tr w14:paraId="625A1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435" w:type="dxa"/>
            <w:textDirection w:val="tbRlV"/>
            <w:vAlign w:val="top"/>
          </w:tcPr>
          <w:p w14:paraId="5CCF3022">
            <w:pPr>
              <w:pStyle w:val="6"/>
              <w:spacing w:before="109" w:line="213" w:lineRule="auto"/>
              <w:ind w:left="305"/>
            </w:pPr>
            <w:r>
              <w:rPr>
                <w:spacing w:val="9"/>
              </w:rPr>
              <w:t>噪</w:t>
            </w:r>
            <w:r>
              <w:rPr>
                <w:spacing w:val="-36"/>
              </w:rPr>
              <w:t xml:space="preserve"> </w:t>
            </w:r>
            <w:r>
              <w:rPr>
                <w:spacing w:val="9"/>
              </w:rPr>
              <w:t>声</w:t>
            </w:r>
          </w:p>
        </w:tc>
        <w:tc>
          <w:tcPr>
            <w:tcW w:w="944" w:type="dxa"/>
            <w:vAlign w:val="top"/>
          </w:tcPr>
          <w:p w14:paraId="32DBEFE6">
            <w:pPr>
              <w:pStyle w:val="6"/>
              <w:spacing w:before="169" w:line="229" w:lineRule="auto"/>
              <w:ind w:left="158"/>
            </w:pPr>
            <w:r>
              <w:rPr>
                <w:spacing w:val="3"/>
              </w:rPr>
              <w:t>猪舍、</w:t>
            </w:r>
          </w:p>
          <w:p w14:paraId="37221246">
            <w:pPr>
              <w:pStyle w:val="6"/>
              <w:spacing w:before="23" w:line="255" w:lineRule="auto"/>
              <w:ind w:left="266" w:right="159" w:hanging="106"/>
            </w:pPr>
            <w:r>
              <w:rPr>
                <w:spacing w:val="6"/>
              </w:rPr>
              <w:t>污水处</w:t>
            </w:r>
            <w:r>
              <w:t xml:space="preserve"> </w:t>
            </w:r>
            <w:r>
              <w:rPr>
                <w:spacing w:val="3"/>
              </w:rPr>
              <w:t>理站</w:t>
            </w:r>
          </w:p>
        </w:tc>
        <w:tc>
          <w:tcPr>
            <w:tcW w:w="2277" w:type="dxa"/>
            <w:gridSpan w:val="2"/>
            <w:vAlign w:val="top"/>
          </w:tcPr>
          <w:p w14:paraId="478451A6">
            <w:pPr>
              <w:pStyle w:val="6"/>
              <w:spacing w:before="304" w:line="254" w:lineRule="auto"/>
              <w:ind w:left="304" w:right="104" w:hanging="192"/>
            </w:pPr>
            <w:r>
              <w:rPr>
                <w:spacing w:val="5"/>
              </w:rPr>
              <w:t>水泵噪声、风机噪声、</w:t>
            </w:r>
            <w:r>
              <w:rPr>
                <w:spacing w:val="3"/>
              </w:rPr>
              <w:t xml:space="preserve"> </w:t>
            </w:r>
            <w:r>
              <w:rPr>
                <w:spacing w:val="8"/>
              </w:rPr>
              <w:t>发电机、猪只叫声</w:t>
            </w:r>
          </w:p>
        </w:tc>
        <w:tc>
          <w:tcPr>
            <w:tcW w:w="3117" w:type="dxa"/>
            <w:gridSpan w:val="2"/>
            <w:vAlign w:val="top"/>
          </w:tcPr>
          <w:p w14:paraId="58D6693A">
            <w:pPr>
              <w:spacing w:line="352" w:lineRule="auto"/>
              <w:rPr>
                <w:rFonts w:ascii="Arial"/>
                <w:sz w:val="21"/>
              </w:rPr>
            </w:pPr>
          </w:p>
          <w:p w14:paraId="56297BEF">
            <w:pPr>
              <w:spacing w:before="57" w:line="274" w:lineRule="exact"/>
              <w:ind w:left="12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70~90</w:t>
            </w:r>
          </w:p>
        </w:tc>
        <w:tc>
          <w:tcPr>
            <w:tcW w:w="3161" w:type="dxa"/>
            <w:vAlign w:val="top"/>
          </w:tcPr>
          <w:p w14:paraId="4EC31127">
            <w:pPr>
              <w:pStyle w:val="6"/>
              <w:spacing w:before="169" w:line="228" w:lineRule="auto"/>
              <w:ind w:left="115"/>
            </w:pPr>
            <w:r>
              <w:rPr>
                <w:spacing w:val="9"/>
              </w:rPr>
              <w:t>选择低噪设备，安装时基础做减</w:t>
            </w:r>
          </w:p>
          <w:p w14:paraId="304CF2F3">
            <w:pPr>
              <w:pStyle w:val="6"/>
              <w:spacing w:before="24" w:line="228" w:lineRule="auto"/>
              <w:ind w:left="117"/>
            </w:pPr>
            <w:r>
              <w:rPr>
                <w:spacing w:val="9"/>
              </w:rPr>
              <w:t>震；水泵底部安装减震垫，将水</w:t>
            </w:r>
          </w:p>
          <w:p w14:paraId="2E80A0F5">
            <w:pPr>
              <w:pStyle w:val="6"/>
              <w:spacing w:before="26" w:line="228" w:lineRule="auto"/>
              <w:ind w:left="222"/>
            </w:pPr>
            <w:r>
              <w:rPr>
                <w:spacing w:val="9"/>
              </w:rPr>
              <w:t>泵设置于独立密封的水泵房内</w:t>
            </w:r>
          </w:p>
        </w:tc>
        <w:tc>
          <w:tcPr>
            <w:tcW w:w="2737" w:type="dxa"/>
            <w:vAlign w:val="top"/>
          </w:tcPr>
          <w:p w14:paraId="32889D25">
            <w:pPr>
              <w:pStyle w:val="6"/>
              <w:spacing w:before="275" w:line="270" w:lineRule="auto"/>
              <w:ind w:left="978" w:right="76" w:hanging="863"/>
            </w:pPr>
            <w:r>
              <w:rPr>
                <w:spacing w:val="5"/>
              </w:rPr>
              <w:t>边界符合（</w:t>
            </w:r>
            <w:r>
              <w:rPr>
                <w:rFonts w:ascii="Times New Roman" w:hAnsi="Times New Roman" w:eastAsia="Times New Roman" w:cs="Times New Roman"/>
              </w:rPr>
              <w:t>GB</w:t>
            </w:r>
            <w:r>
              <w:rPr>
                <w:rFonts w:ascii="Times New Roman" w:hAnsi="Times New Roman" w:eastAsia="Times New Roman" w:cs="Times New Roman"/>
                <w:spacing w:val="5"/>
              </w:rPr>
              <w:t>22337-2008</w:t>
            </w:r>
            <w:r>
              <w:rPr>
                <w:spacing w:val="5"/>
              </w:rPr>
              <w:t>）</w:t>
            </w:r>
            <w:r>
              <w:rPr>
                <w:spacing w:val="14"/>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9"/>
              </w:rPr>
              <w:t xml:space="preserve"> </w:t>
            </w:r>
            <w:r>
              <w:rPr>
                <w:spacing w:val="5"/>
              </w:rPr>
              <w:t>类标准</w:t>
            </w:r>
          </w:p>
        </w:tc>
        <w:tc>
          <w:tcPr>
            <w:tcW w:w="1551" w:type="dxa"/>
            <w:vAlign w:val="top"/>
          </w:tcPr>
          <w:p w14:paraId="04C058C3">
            <w:pPr>
              <w:pStyle w:val="6"/>
              <w:spacing w:before="34" w:line="229" w:lineRule="auto"/>
              <w:ind w:left="150"/>
            </w:pPr>
            <w:r>
              <w:rPr>
                <w:spacing w:val="8"/>
              </w:rPr>
              <w:t>对各厂界进行</w:t>
            </w:r>
          </w:p>
          <w:p w14:paraId="618CC98A">
            <w:pPr>
              <w:pStyle w:val="6"/>
              <w:spacing w:before="23" w:line="224" w:lineRule="auto"/>
              <w:ind w:left="150"/>
            </w:pPr>
            <w:r>
              <w:rPr>
                <w:spacing w:val="6"/>
              </w:rPr>
              <w:t>每季度一次，</w:t>
            </w:r>
          </w:p>
          <w:p w14:paraId="15D3CC5F">
            <w:pPr>
              <w:pStyle w:val="6"/>
              <w:spacing w:before="1" w:line="244" w:lineRule="auto"/>
              <w:ind w:left="261" w:right="119" w:hanging="137"/>
            </w:pPr>
            <w:r>
              <w:rPr>
                <w:spacing w:val="5"/>
              </w:rPr>
              <w:t xml:space="preserve">每年 </w:t>
            </w:r>
            <w:r>
              <w:rPr>
                <w:rFonts w:ascii="Times New Roman" w:hAnsi="Times New Roman" w:eastAsia="Times New Roman" w:cs="Times New Roman"/>
                <w:spacing w:val="5"/>
              </w:rPr>
              <w:t>4</w:t>
            </w:r>
            <w:r>
              <w:rPr>
                <w:rFonts w:ascii="Times New Roman" w:hAnsi="Times New Roman" w:eastAsia="Times New Roman" w:cs="Times New Roman"/>
                <w:spacing w:val="16"/>
              </w:rPr>
              <w:t xml:space="preserve"> </w:t>
            </w:r>
            <w:r>
              <w:rPr>
                <w:spacing w:val="5"/>
              </w:rPr>
              <w:t>次的场</w:t>
            </w:r>
            <w:r>
              <w:t xml:space="preserve"> </w:t>
            </w:r>
            <w:r>
              <w:rPr>
                <w:spacing w:val="7"/>
              </w:rPr>
              <w:t>界噪声监测</w:t>
            </w:r>
          </w:p>
        </w:tc>
      </w:tr>
      <w:tr w14:paraId="010DC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435" w:type="dxa"/>
            <w:vMerge w:val="restart"/>
            <w:tcBorders>
              <w:bottom w:val="nil"/>
            </w:tcBorders>
            <w:textDirection w:val="tbRlV"/>
            <w:vAlign w:val="top"/>
          </w:tcPr>
          <w:p w14:paraId="15A371D4">
            <w:pPr>
              <w:pStyle w:val="6"/>
              <w:spacing w:before="110" w:line="217" w:lineRule="auto"/>
              <w:ind w:left="37"/>
            </w:pPr>
            <w:r>
              <w:rPr>
                <w:spacing w:val="9"/>
              </w:rPr>
              <w:t>固</w:t>
            </w:r>
            <w:r>
              <w:rPr>
                <w:spacing w:val="-37"/>
              </w:rPr>
              <w:t xml:space="preserve"> </w:t>
            </w:r>
            <w:r>
              <w:rPr>
                <w:spacing w:val="9"/>
              </w:rPr>
              <w:t>体</w:t>
            </w:r>
            <w:r>
              <w:rPr>
                <w:spacing w:val="-36"/>
              </w:rPr>
              <w:t xml:space="preserve"> </w:t>
            </w:r>
            <w:r>
              <w:rPr>
                <w:spacing w:val="9"/>
              </w:rPr>
              <w:t>废</w:t>
            </w:r>
            <w:r>
              <w:rPr>
                <w:spacing w:val="-39"/>
              </w:rPr>
              <w:t xml:space="preserve"> </w:t>
            </w:r>
            <w:r>
              <w:rPr>
                <w:spacing w:val="9"/>
              </w:rPr>
              <w:t>物</w:t>
            </w:r>
          </w:p>
        </w:tc>
        <w:tc>
          <w:tcPr>
            <w:tcW w:w="944" w:type="dxa"/>
            <w:vAlign w:val="top"/>
          </w:tcPr>
          <w:p w14:paraId="343D5F7B">
            <w:pPr>
              <w:pStyle w:val="6"/>
              <w:spacing w:before="34" w:line="231" w:lineRule="auto"/>
              <w:ind w:left="267" w:right="159" w:hanging="104"/>
            </w:pPr>
            <w:r>
              <w:rPr>
                <w:spacing w:val="5"/>
              </w:rPr>
              <w:t>办公生</w:t>
            </w:r>
            <w:r>
              <w:t xml:space="preserve"> </w:t>
            </w:r>
            <w:r>
              <w:rPr>
                <w:spacing w:val="3"/>
              </w:rPr>
              <w:t>活区</w:t>
            </w:r>
          </w:p>
        </w:tc>
        <w:tc>
          <w:tcPr>
            <w:tcW w:w="2277" w:type="dxa"/>
            <w:gridSpan w:val="2"/>
            <w:vAlign w:val="top"/>
          </w:tcPr>
          <w:p w14:paraId="706F38B5">
            <w:pPr>
              <w:pStyle w:val="6"/>
              <w:spacing w:before="169" w:line="229" w:lineRule="auto"/>
              <w:ind w:left="723"/>
            </w:pPr>
            <w:r>
              <w:rPr>
                <w:spacing w:val="6"/>
              </w:rPr>
              <w:t>生活垃圾</w:t>
            </w:r>
          </w:p>
        </w:tc>
        <w:tc>
          <w:tcPr>
            <w:tcW w:w="3117" w:type="dxa"/>
            <w:gridSpan w:val="2"/>
            <w:vAlign w:val="top"/>
          </w:tcPr>
          <w:p w14:paraId="1C107605">
            <w:pPr>
              <w:spacing w:before="141" w:line="274" w:lineRule="exact"/>
              <w:ind w:left="13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3161" w:type="dxa"/>
            <w:vAlign w:val="top"/>
          </w:tcPr>
          <w:p w14:paraId="1D4C412F">
            <w:pPr>
              <w:pStyle w:val="6"/>
              <w:spacing w:before="169" w:line="228" w:lineRule="auto"/>
              <w:ind w:left="540"/>
            </w:pPr>
            <w:r>
              <w:rPr>
                <w:spacing w:val="8"/>
              </w:rPr>
              <w:t>交由环卫部门清运处理</w:t>
            </w:r>
          </w:p>
        </w:tc>
        <w:tc>
          <w:tcPr>
            <w:tcW w:w="2737" w:type="dxa"/>
            <w:vAlign w:val="top"/>
          </w:tcPr>
          <w:p w14:paraId="65AF3303">
            <w:pPr>
              <w:spacing w:before="141" w:line="274" w:lineRule="exact"/>
              <w:ind w:left="13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1" w:type="dxa"/>
            <w:vAlign w:val="top"/>
          </w:tcPr>
          <w:p w14:paraId="71643605">
            <w:pPr>
              <w:spacing w:before="141"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C068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435" w:type="dxa"/>
            <w:vMerge w:val="continue"/>
            <w:tcBorders>
              <w:top w:val="nil"/>
            </w:tcBorders>
            <w:textDirection w:val="tbRlV"/>
            <w:vAlign w:val="top"/>
          </w:tcPr>
          <w:p w14:paraId="1B3E87FD">
            <w:pPr>
              <w:rPr>
                <w:rFonts w:ascii="Arial"/>
                <w:sz w:val="21"/>
              </w:rPr>
            </w:pPr>
          </w:p>
        </w:tc>
        <w:tc>
          <w:tcPr>
            <w:tcW w:w="944" w:type="dxa"/>
            <w:vAlign w:val="top"/>
          </w:tcPr>
          <w:p w14:paraId="65E09014">
            <w:pPr>
              <w:pStyle w:val="6"/>
              <w:spacing w:before="171" w:line="229" w:lineRule="auto"/>
              <w:ind w:left="264"/>
            </w:pPr>
            <w:r>
              <w:rPr>
                <w:spacing w:val="4"/>
              </w:rPr>
              <w:t>猪舍</w:t>
            </w:r>
          </w:p>
        </w:tc>
        <w:tc>
          <w:tcPr>
            <w:tcW w:w="2277" w:type="dxa"/>
            <w:gridSpan w:val="2"/>
            <w:vAlign w:val="top"/>
          </w:tcPr>
          <w:p w14:paraId="18823E57">
            <w:pPr>
              <w:pStyle w:val="6"/>
              <w:spacing w:before="171" w:line="228" w:lineRule="auto"/>
              <w:ind w:left="930"/>
            </w:pPr>
            <w:r>
              <w:rPr>
                <w:spacing w:val="4"/>
              </w:rPr>
              <w:t>猪粪</w:t>
            </w:r>
          </w:p>
        </w:tc>
        <w:tc>
          <w:tcPr>
            <w:tcW w:w="3117" w:type="dxa"/>
            <w:gridSpan w:val="2"/>
            <w:vAlign w:val="top"/>
          </w:tcPr>
          <w:p w14:paraId="05BF7A95">
            <w:pPr>
              <w:spacing w:before="140" w:line="274" w:lineRule="exact"/>
              <w:ind w:left="135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5110</w:t>
            </w:r>
          </w:p>
        </w:tc>
        <w:tc>
          <w:tcPr>
            <w:tcW w:w="3161" w:type="dxa"/>
            <w:vAlign w:val="top"/>
          </w:tcPr>
          <w:p w14:paraId="04BA761A">
            <w:pPr>
              <w:pStyle w:val="6"/>
              <w:spacing w:before="35" w:line="231" w:lineRule="auto"/>
              <w:ind w:left="116" w:right="110" w:firstLine="4"/>
            </w:pPr>
            <w:r>
              <w:rPr>
                <w:spacing w:val="8"/>
              </w:rPr>
              <w:t>与猪只尿液、猪舍冲洗水一起收</w:t>
            </w:r>
            <w:r>
              <w:rPr>
                <w:spacing w:val="12"/>
              </w:rPr>
              <w:t xml:space="preserve"> </w:t>
            </w:r>
            <w:r>
              <w:rPr>
                <w:spacing w:val="9"/>
              </w:rPr>
              <w:t>集后，经异位发酵床发酵成有机</w:t>
            </w:r>
          </w:p>
        </w:tc>
        <w:tc>
          <w:tcPr>
            <w:tcW w:w="2737" w:type="dxa"/>
            <w:vAlign w:val="top"/>
          </w:tcPr>
          <w:p w14:paraId="49019DF6">
            <w:pPr>
              <w:pStyle w:val="6"/>
              <w:spacing w:before="35" w:line="231" w:lineRule="auto"/>
              <w:ind w:left="117" w:right="104" w:firstLine="3"/>
            </w:pPr>
            <w:r>
              <w:rPr>
                <w:spacing w:val="8"/>
              </w:rPr>
              <w:t>《畜禽养殖业污染物排放标</w:t>
            </w:r>
            <w:r>
              <w:rPr>
                <w:spacing w:val="7"/>
              </w:rPr>
              <w:t xml:space="preserve"> </w:t>
            </w:r>
            <w:r>
              <w:t>准》（</w:t>
            </w:r>
            <w:r>
              <w:rPr>
                <w:rFonts w:ascii="Times New Roman" w:hAnsi="Times New Roman" w:eastAsia="Times New Roman" w:cs="Times New Roman"/>
              </w:rPr>
              <w:t>DB44/613-2009</w:t>
            </w:r>
            <w:r>
              <w:t>）中的</w:t>
            </w:r>
          </w:p>
        </w:tc>
        <w:tc>
          <w:tcPr>
            <w:tcW w:w="1551" w:type="dxa"/>
            <w:vAlign w:val="top"/>
          </w:tcPr>
          <w:p w14:paraId="576BC7D8">
            <w:pPr>
              <w:pStyle w:val="6"/>
              <w:spacing w:before="34" w:line="228" w:lineRule="auto"/>
              <w:ind w:left="150"/>
            </w:pPr>
            <w:r>
              <w:rPr>
                <w:spacing w:val="8"/>
              </w:rPr>
              <w:t>对生产的有机</w:t>
            </w:r>
          </w:p>
          <w:p w14:paraId="1D0E0FD0">
            <w:pPr>
              <w:pStyle w:val="6"/>
              <w:spacing w:before="27" w:line="210" w:lineRule="auto"/>
              <w:ind w:left="150"/>
            </w:pPr>
            <w:r>
              <w:rPr>
                <w:spacing w:val="8"/>
              </w:rPr>
              <w:t>肥半成品进行</w:t>
            </w:r>
          </w:p>
        </w:tc>
      </w:tr>
    </w:tbl>
    <w:p w14:paraId="5B4F1D55">
      <w:pPr>
        <w:pStyle w:val="2"/>
      </w:pPr>
    </w:p>
    <w:p w14:paraId="73D23F04">
      <w:pPr>
        <w:sectPr>
          <w:footerReference r:id="rId175" w:type="default"/>
          <w:pgSz w:w="16839" w:h="11906"/>
          <w:pgMar w:top="400" w:right="1305" w:bottom="1485" w:left="1305" w:header="0" w:footer="1249" w:gutter="0"/>
          <w:cols w:space="720" w:num="1"/>
        </w:sectPr>
      </w:pPr>
    </w:p>
    <w:p w14:paraId="0F2EC803">
      <w:pPr>
        <w:spacing w:before="56"/>
      </w:pPr>
    </w:p>
    <w:p w14:paraId="09A451C3">
      <w:pPr>
        <w:spacing w:before="56"/>
      </w:pPr>
    </w:p>
    <w:p w14:paraId="2A0467B0">
      <w:pPr>
        <w:spacing w:before="55"/>
      </w:pPr>
    </w:p>
    <w:p w14:paraId="38D974AF">
      <w:pPr>
        <w:spacing w:before="55"/>
      </w:pPr>
    </w:p>
    <w:tbl>
      <w:tblPr>
        <w:tblStyle w:val="5"/>
        <w:tblW w:w="14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944"/>
        <w:gridCol w:w="2277"/>
        <w:gridCol w:w="1560"/>
        <w:gridCol w:w="1557"/>
        <w:gridCol w:w="3161"/>
        <w:gridCol w:w="2737"/>
        <w:gridCol w:w="1551"/>
      </w:tblGrid>
      <w:tr w14:paraId="18453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35" w:type="dxa"/>
            <w:vMerge w:val="restart"/>
            <w:tcBorders>
              <w:bottom w:val="nil"/>
            </w:tcBorders>
            <w:textDirection w:val="tbRlV"/>
            <w:vAlign w:val="top"/>
          </w:tcPr>
          <w:p w14:paraId="66CEAAC7">
            <w:pPr>
              <w:pStyle w:val="6"/>
              <w:spacing w:before="109" w:line="216" w:lineRule="auto"/>
              <w:ind w:left="40"/>
            </w:pPr>
            <w:r>
              <w:rPr>
                <w:b/>
                <w:bCs/>
                <w:spacing w:val="7"/>
              </w:rPr>
              <w:t>类</w:t>
            </w:r>
            <w:r>
              <w:rPr>
                <w:spacing w:val="-39"/>
              </w:rPr>
              <w:t xml:space="preserve"> </w:t>
            </w:r>
            <w:r>
              <w:rPr>
                <w:b/>
                <w:bCs/>
                <w:spacing w:val="7"/>
              </w:rPr>
              <w:t>别</w:t>
            </w:r>
          </w:p>
        </w:tc>
        <w:tc>
          <w:tcPr>
            <w:tcW w:w="944" w:type="dxa"/>
            <w:vMerge w:val="restart"/>
            <w:tcBorders>
              <w:bottom w:val="nil"/>
            </w:tcBorders>
            <w:vAlign w:val="top"/>
          </w:tcPr>
          <w:p w14:paraId="7DCB1388">
            <w:pPr>
              <w:pStyle w:val="6"/>
              <w:spacing w:before="177" w:line="229" w:lineRule="auto"/>
              <w:ind w:left="160"/>
            </w:pPr>
            <w:r>
              <w:rPr>
                <w:b/>
                <w:bCs/>
                <w:spacing w:val="5"/>
              </w:rPr>
              <w:t>污染源</w:t>
            </w:r>
          </w:p>
        </w:tc>
        <w:tc>
          <w:tcPr>
            <w:tcW w:w="2277" w:type="dxa"/>
            <w:vMerge w:val="restart"/>
            <w:tcBorders>
              <w:bottom w:val="nil"/>
            </w:tcBorders>
            <w:vAlign w:val="top"/>
          </w:tcPr>
          <w:p w14:paraId="334EB76C">
            <w:pPr>
              <w:pStyle w:val="6"/>
              <w:spacing w:before="177" w:line="229" w:lineRule="auto"/>
              <w:ind w:left="618"/>
            </w:pPr>
            <w:r>
              <w:rPr>
                <w:b/>
                <w:bCs/>
                <w:spacing w:val="6"/>
              </w:rPr>
              <w:t>污染物名称</w:t>
            </w:r>
          </w:p>
        </w:tc>
        <w:tc>
          <w:tcPr>
            <w:tcW w:w="3117" w:type="dxa"/>
            <w:gridSpan w:val="2"/>
            <w:vAlign w:val="top"/>
          </w:tcPr>
          <w:p w14:paraId="330DE12D">
            <w:pPr>
              <w:pStyle w:val="6"/>
              <w:spacing w:before="35" w:line="217" w:lineRule="auto"/>
              <w:ind w:left="1038"/>
            </w:pPr>
            <w:r>
              <w:rPr>
                <w:b/>
                <w:bCs/>
                <w:spacing w:val="6"/>
              </w:rPr>
              <w:t>污染物排放</w:t>
            </w:r>
          </w:p>
        </w:tc>
        <w:tc>
          <w:tcPr>
            <w:tcW w:w="3161" w:type="dxa"/>
            <w:vMerge w:val="restart"/>
            <w:tcBorders>
              <w:bottom w:val="nil"/>
            </w:tcBorders>
            <w:vAlign w:val="top"/>
          </w:tcPr>
          <w:p w14:paraId="7FE0A3DE">
            <w:pPr>
              <w:pStyle w:val="6"/>
              <w:spacing w:before="176" w:line="228" w:lineRule="auto"/>
              <w:ind w:left="536"/>
            </w:pPr>
            <w:r>
              <w:rPr>
                <w:b/>
                <w:bCs/>
                <w:spacing w:val="7"/>
              </w:rPr>
              <w:t>拟采取的环境保护措施</w:t>
            </w:r>
          </w:p>
        </w:tc>
        <w:tc>
          <w:tcPr>
            <w:tcW w:w="2737" w:type="dxa"/>
            <w:vMerge w:val="restart"/>
            <w:tcBorders>
              <w:bottom w:val="nil"/>
            </w:tcBorders>
            <w:vAlign w:val="top"/>
          </w:tcPr>
          <w:p w14:paraId="7EA3F596">
            <w:pPr>
              <w:pStyle w:val="6"/>
              <w:spacing w:before="177" w:line="228" w:lineRule="auto"/>
              <w:ind w:left="641"/>
            </w:pPr>
            <w:r>
              <w:rPr>
                <w:b/>
                <w:bCs/>
                <w:spacing w:val="7"/>
              </w:rPr>
              <w:t>执行的环境标准</w:t>
            </w:r>
          </w:p>
        </w:tc>
        <w:tc>
          <w:tcPr>
            <w:tcW w:w="1551" w:type="dxa"/>
            <w:vMerge w:val="restart"/>
            <w:tcBorders>
              <w:bottom w:val="nil"/>
            </w:tcBorders>
            <w:vAlign w:val="top"/>
          </w:tcPr>
          <w:p w14:paraId="63ADD217">
            <w:pPr>
              <w:pStyle w:val="6"/>
              <w:spacing w:before="177" w:line="229" w:lineRule="auto"/>
              <w:ind w:left="359"/>
            </w:pPr>
            <w:r>
              <w:rPr>
                <w:b/>
                <w:bCs/>
                <w:spacing w:val="6"/>
              </w:rPr>
              <w:t>环境监测</w:t>
            </w:r>
          </w:p>
        </w:tc>
      </w:tr>
      <w:tr w14:paraId="3085A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35" w:type="dxa"/>
            <w:vMerge w:val="continue"/>
            <w:tcBorders>
              <w:top w:val="nil"/>
            </w:tcBorders>
            <w:textDirection w:val="tbRlV"/>
            <w:vAlign w:val="top"/>
          </w:tcPr>
          <w:p w14:paraId="511EAE49">
            <w:pPr>
              <w:rPr>
                <w:rFonts w:ascii="Arial"/>
                <w:sz w:val="21"/>
              </w:rPr>
            </w:pPr>
          </w:p>
        </w:tc>
        <w:tc>
          <w:tcPr>
            <w:tcW w:w="944" w:type="dxa"/>
            <w:vMerge w:val="continue"/>
            <w:tcBorders>
              <w:top w:val="nil"/>
            </w:tcBorders>
            <w:vAlign w:val="top"/>
          </w:tcPr>
          <w:p w14:paraId="55E1289C">
            <w:pPr>
              <w:rPr>
                <w:rFonts w:ascii="Arial"/>
                <w:sz w:val="21"/>
              </w:rPr>
            </w:pPr>
          </w:p>
        </w:tc>
        <w:tc>
          <w:tcPr>
            <w:tcW w:w="2277" w:type="dxa"/>
            <w:vMerge w:val="continue"/>
            <w:tcBorders>
              <w:top w:val="nil"/>
            </w:tcBorders>
            <w:vAlign w:val="top"/>
          </w:tcPr>
          <w:p w14:paraId="15080743">
            <w:pPr>
              <w:rPr>
                <w:rFonts w:ascii="Arial"/>
                <w:sz w:val="21"/>
              </w:rPr>
            </w:pPr>
          </w:p>
        </w:tc>
        <w:tc>
          <w:tcPr>
            <w:tcW w:w="1560" w:type="dxa"/>
            <w:vAlign w:val="top"/>
          </w:tcPr>
          <w:p w14:paraId="58194963">
            <w:pPr>
              <w:pStyle w:val="6"/>
              <w:spacing w:before="32" w:line="217" w:lineRule="auto"/>
              <w:ind w:left="125"/>
            </w:pPr>
            <w:r>
              <w:rPr>
                <w:b/>
                <w:bCs/>
                <w:spacing w:val="-1"/>
              </w:rPr>
              <w:t>浓度（</w:t>
            </w:r>
            <w:r>
              <w:rPr>
                <w:spacing w:val="-57"/>
              </w:rPr>
              <w:t xml:space="preserve"> </w:t>
            </w:r>
            <w:r>
              <w:rPr>
                <w:rFonts w:ascii="Times New Roman" w:hAnsi="Times New Roman" w:eastAsia="Times New Roman" w:cs="Times New Roman"/>
                <w:b/>
                <w:bCs/>
                <w:spacing w:val="-1"/>
              </w:rPr>
              <w:t>mg/L</w:t>
            </w:r>
            <w:r>
              <w:rPr>
                <w:b/>
                <w:bCs/>
                <w:spacing w:val="-1"/>
              </w:rPr>
              <w:t>）</w:t>
            </w:r>
          </w:p>
        </w:tc>
        <w:tc>
          <w:tcPr>
            <w:tcW w:w="1557" w:type="dxa"/>
            <w:vAlign w:val="top"/>
          </w:tcPr>
          <w:p w14:paraId="02CFEBAF">
            <w:pPr>
              <w:pStyle w:val="6"/>
              <w:spacing w:before="32" w:line="217" w:lineRule="auto"/>
              <w:ind w:left="141"/>
            </w:pPr>
            <w:r>
              <w:rPr>
                <w:b/>
                <w:bCs/>
                <w:spacing w:val="4"/>
              </w:rPr>
              <w:t>排放量（</w:t>
            </w:r>
            <w:r>
              <w:rPr>
                <w:rFonts w:ascii="Times New Roman" w:hAnsi="Times New Roman" w:eastAsia="Times New Roman" w:cs="Times New Roman"/>
                <w:b/>
                <w:bCs/>
                <w:spacing w:val="4"/>
              </w:rPr>
              <w:t>t/a</w:t>
            </w:r>
            <w:r>
              <w:rPr>
                <w:b/>
                <w:bCs/>
                <w:spacing w:val="4"/>
              </w:rPr>
              <w:t>）</w:t>
            </w:r>
          </w:p>
        </w:tc>
        <w:tc>
          <w:tcPr>
            <w:tcW w:w="3161" w:type="dxa"/>
            <w:vMerge w:val="continue"/>
            <w:tcBorders>
              <w:top w:val="nil"/>
            </w:tcBorders>
            <w:vAlign w:val="top"/>
          </w:tcPr>
          <w:p w14:paraId="4638A6EE">
            <w:pPr>
              <w:rPr>
                <w:rFonts w:ascii="Arial"/>
                <w:sz w:val="21"/>
              </w:rPr>
            </w:pPr>
          </w:p>
        </w:tc>
        <w:tc>
          <w:tcPr>
            <w:tcW w:w="2737" w:type="dxa"/>
            <w:vMerge w:val="continue"/>
            <w:tcBorders>
              <w:top w:val="nil"/>
            </w:tcBorders>
            <w:vAlign w:val="top"/>
          </w:tcPr>
          <w:p w14:paraId="4CA819AC">
            <w:pPr>
              <w:rPr>
                <w:rFonts w:ascii="Arial"/>
                <w:sz w:val="21"/>
              </w:rPr>
            </w:pPr>
          </w:p>
        </w:tc>
        <w:tc>
          <w:tcPr>
            <w:tcW w:w="1551" w:type="dxa"/>
            <w:vMerge w:val="continue"/>
            <w:tcBorders>
              <w:top w:val="nil"/>
            </w:tcBorders>
            <w:vAlign w:val="top"/>
          </w:tcPr>
          <w:p w14:paraId="7770CBAB">
            <w:pPr>
              <w:rPr>
                <w:rFonts w:ascii="Arial"/>
                <w:sz w:val="21"/>
              </w:rPr>
            </w:pPr>
          </w:p>
        </w:tc>
      </w:tr>
      <w:tr w14:paraId="51F98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7" w:hRule="atLeast"/>
        </w:trPr>
        <w:tc>
          <w:tcPr>
            <w:tcW w:w="435" w:type="dxa"/>
            <w:vMerge w:val="restart"/>
            <w:tcBorders>
              <w:bottom w:val="nil"/>
            </w:tcBorders>
            <w:vAlign w:val="top"/>
          </w:tcPr>
          <w:p w14:paraId="0E731812">
            <w:pPr>
              <w:rPr>
                <w:rFonts w:ascii="Arial"/>
                <w:sz w:val="21"/>
              </w:rPr>
            </w:pPr>
          </w:p>
        </w:tc>
        <w:tc>
          <w:tcPr>
            <w:tcW w:w="944" w:type="dxa"/>
            <w:vAlign w:val="top"/>
          </w:tcPr>
          <w:p w14:paraId="09E1E90B">
            <w:pPr>
              <w:rPr>
                <w:rFonts w:ascii="Arial"/>
                <w:sz w:val="21"/>
              </w:rPr>
            </w:pPr>
          </w:p>
        </w:tc>
        <w:tc>
          <w:tcPr>
            <w:tcW w:w="2277" w:type="dxa"/>
            <w:vAlign w:val="top"/>
          </w:tcPr>
          <w:p w14:paraId="545C516A">
            <w:pPr>
              <w:rPr>
                <w:rFonts w:ascii="Arial"/>
                <w:sz w:val="21"/>
              </w:rPr>
            </w:pPr>
          </w:p>
        </w:tc>
        <w:tc>
          <w:tcPr>
            <w:tcW w:w="3117" w:type="dxa"/>
            <w:gridSpan w:val="2"/>
            <w:vAlign w:val="top"/>
          </w:tcPr>
          <w:p w14:paraId="21D243F8">
            <w:pPr>
              <w:rPr>
                <w:rFonts w:ascii="Arial"/>
                <w:sz w:val="21"/>
              </w:rPr>
            </w:pPr>
          </w:p>
        </w:tc>
        <w:tc>
          <w:tcPr>
            <w:tcW w:w="3161" w:type="dxa"/>
            <w:vAlign w:val="top"/>
          </w:tcPr>
          <w:p w14:paraId="5E5F0DBD">
            <w:pPr>
              <w:pStyle w:val="6"/>
              <w:spacing w:before="25" w:line="228" w:lineRule="auto"/>
              <w:ind w:left="956"/>
            </w:pPr>
            <w:r>
              <w:rPr>
                <w:spacing w:val="8"/>
              </w:rPr>
              <w:t>肥半成品外售</w:t>
            </w:r>
          </w:p>
        </w:tc>
        <w:tc>
          <w:tcPr>
            <w:tcW w:w="2737" w:type="dxa"/>
            <w:vAlign w:val="top"/>
          </w:tcPr>
          <w:p w14:paraId="74F6F6F3">
            <w:pPr>
              <w:pStyle w:val="6"/>
              <w:spacing w:before="26" w:line="228" w:lineRule="auto"/>
              <w:ind w:left="129"/>
            </w:pPr>
            <w:r>
              <w:rPr>
                <w:spacing w:val="8"/>
              </w:rPr>
              <w:t>畜禽养殖业废渣无害化环境</w:t>
            </w:r>
          </w:p>
          <w:p w14:paraId="6A690F5C">
            <w:pPr>
              <w:pStyle w:val="6"/>
              <w:spacing w:before="26" w:line="229" w:lineRule="auto"/>
              <w:ind w:left="1165"/>
            </w:pPr>
            <w:r>
              <w:rPr>
                <w:spacing w:val="4"/>
              </w:rPr>
              <w:t>标准</w:t>
            </w:r>
          </w:p>
        </w:tc>
        <w:tc>
          <w:tcPr>
            <w:tcW w:w="1551" w:type="dxa"/>
            <w:vAlign w:val="top"/>
          </w:tcPr>
          <w:p w14:paraId="084D8CC8">
            <w:pPr>
              <w:pStyle w:val="6"/>
              <w:spacing w:before="26" w:line="224" w:lineRule="auto"/>
              <w:ind w:left="150"/>
            </w:pPr>
            <w:r>
              <w:rPr>
                <w:spacing w:val="6"/>
              </w:rPr>
              <w:t>每半年一次，</w:t>
            </w:r>
          </w:p>
          <w:p w14:paraId="6E864E50">
            <w:pPr>
              <w:pStyle w:val="6"/>
              <w:spacing w:line="260" w:lineRule="auto"/>
              <w:ind w:left="151" w:right="145" w:hanging="1"/>
              <w:jc w:val="both"/>
            </w:pPr>
            <w:r>
              <w:rPr>
                <w:spacing w:val="4"/>
              </w:rPr>
              <w:t>全年共</w:t>
            </w:r>
            <w:r>
              <w:rPr>
                <w:spacing w:val="-41"/>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15"/>
                <w:w w:val="101"/>
              </w:rPr>
              <w:t xml:space="preserve"> </w:t>
            </w:r>
            <w:r>
              <w:rPr>
                <w:spacing w:val="4"/>
              </w:rPr>
              <w:t>次的</w:t>
            </w:r>
            <w:r>
              <w:t xml:space="preserve"> </w:t>
            </w:r>
            <w:r>
              <w:rPr>
                <w:spacing w:val="28"/>
              </w:rPr>
              <w:t>蛔虫卵死亡</w:t>
            </w:r>
            <w:r>
              <w:rPr>
                <w:spacing w:val="1"/>
              </w:rPr>
              <w:t xml:space="preserve">  </w:t>
            </w:r>
            <w:r>
              <w:rPr>
                <w:spacing w:val="7"/>
              </w:rPr>
              <w:t>率、粪大肠菌</w:t>
            </w:r>
          </w:p>
          <w:p w14:paraId="088FB204">
            <w:pPr>
              <w:pStyle w:val="6"/>
              <w:spacing w:line="214" w:lineRule="auto"/>
              <w:ind w:left="465"/>
            </w:pPr>
            <w:r>
              <w:rPr>
                <w:spacing w:val="6"/>
              </w:rPr>
              <w:t>值监测</w:t>
            </w:r>
          </w:p>
        </w:tc>
      </w:tr>
      <w:tr w14:paraId="373C9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435" w:type="dxa"/>
            <w:vMerge w:val="continue"/>
            <w:tcBorders>
              <w:top w:val="nil"/>
              <w:bottom w:val="nil"/>
            </w:tcBorders>
            <w:vAlign w:val="top"/>
          </w:tcPr>
          <w:p w14:paraId="77D5CC3A">
            <w:pPr>
              <w:rPr>
                <w:rFonts w:ascii="Arial"/>
                <w:sz w:val="21"/>
              </w:rPr>
            </w:pPr>
          </w:p>
        </w:tc>
        <w:tc>
          <w:tcPr>
            <w:tcW w:w="944" w:type="dxa"/>
            <w:vAlign w:val="top"/>
          </w:tcPr>
          <w:p w14:paraId="44CCB82F">
            <w:pPr>
              <w:pStyle w:val="6"/>
              <w:spacing w:before="303" w:line="229" w:lineRule="auto"/>
              <w:ind w:left="264"/>
            </w:pPr>
            <w:r>
              <w:rPr>
                <w:spacing w:val="4"/>
              </w:rPr>
              <w:t>猪舍</w:t>
            </w:r>
          </w:p>
        </w:tc>
        <w:tc>
          <w:tcPr>
            <w:tcW w:w="2277" w:type="dxa"/>
            <w:vAlign w:val="top"/>
          </w:tcPr>
          <w:p w14:paraId="5664583A">
            <w:pPr>
              <w:pStyle w:val="6"/>
              <w:spacing w:before="303" w:line="229" w:lineRule="auto"/>
              <w:ind w:left="615"/>
            </w:pPr>
            <w:r>
              <w:rPr>
                <w:spacing w:val="8"/>
              </w:rPr>
              <w:t>病死猪尸体</w:t>
            </w:r>
          </w:p>
        </w:tc>
        <w:tc>
          <w:tcPr>
            <w:tcW w:w="3117" w:type="dxa"/>
            <w:gridSpan w:val="2"/>
            <w:vAlign w:val="top"/>
          </w:tcPr>
          <w:p w14:paraId="2D97ED83">
            <w:pPr>
              <w:spacing w:before="272" w:line="274" w:lineRule="exact"/>
              <w:ind w:left="13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3.75</w:t>
            </w:r>
          </w:p>
        </w:tc>
        <w:tc>
          <w:tcPr>
            <w:tcW w:w="3161" w:type="dxa"/>
            <w:vAlign w:val="top"/>
          </w:tcPr>
          <w:p w14:paraId="123BED04">
            <w:pPr>
              <w:pStyle w:val="6"/>
              <w:spacing w:before="31" w:line="228" w:lineRule="auto"/>
              <w:ind w:left="117"/>
            </w:pPr>
            <w:r>
              <w:rPr>
                <w:spacing w:val="9"/>
              </w:rPr>
              <w:t>依托海丰县公平镇龙寨实成种养</w:t>
            </w:r>
          </w:p>
          <w:p w14:paraId="4236C4B8">
            <w:pPr>
              <w:pStyle w:val="6"/>
              <w:spacing w:before="24" w:line="228" w:lineRule="auto"/>
              <w:ind w:left="116"/>
            </w:pPr>
            <w:r>
              <w:rPr>
                <w:spacing w:val="9"/>
              </w:rPr>
              <w:t>专业合作社项目中的安全填埋井</w:t>
            </w:r>
          </w:p>
          <w:p w14:paraId="7F907816">
            <w:pPr>
              <w:pStyle w:val="6"/>
              <w:spacing w:before="23" w:line="214" w:lineRule="auto"/>
              <w:ind w:left="954"/>
            </w:pPr>
            <w:r>
              <w:rPr>
                <w:spacing w:val="8"/>
              </w:rPr>
              <w:t>进行填埋处理</w:t>
            </w:r>
          </w:p>
        </w:tc>
        <w:tc>
          <w:tcPr>
            <w:tcW w:w="2737" w:type="dxa"/>
            <w:vAlign w:val="top"/>
          </w:tcPr>
          <w:p w14:paraId="4571B992">
            <w:pPr>
              <w:pStyle w:val="6"/>
              <w:spacing w:before="31" w:line="222" w:lineRule="auto"/>
              <w:ind w:left="121"/>
            </w:pPr>
            <w:r>
              <w:rPr>
                <w:spacing w:val="8"/>
              </w:rPr>
              <w:t>《畜禽养殖业污染防治技术</w:t>
            </w:r>
          </w:p>
          <w:p w14:paraId="0E118742">
            <w:pPr>
              <w:pStyle w:val="6"/>
              <w:spacing w:line="274" w:lineRule="exact"/>
              <w:ind w:left="116"/>
            </w:pPr>
            <w:r>
              <w:rPr>
                <w:spacing w:val="2"/>
                <w:position w:val="1"/>
              </w:rPr>
              <w:t>规范》（</w:t>
            </w:r>
            <w:r>
              <w:rPr>
                <w:rFonts w:ascii="Times New Roman" w:hAnsi="Times New Roman" w:eastAsia="Times New Roman" w:cs="Times New Roman"/>
                <w:position w:val="1"/>
              </w:rPr>
              <w:t>HJ</w:t>
            </w:r>
            <w:r>
              <w:rPr>
                <w:rFonts w:ascii="Times New Roman" w:hAnsi="Times New Roman" w:eastAsia="Times New Roman" w:cs="Times New Roman"/>
                <w:spacing w:val="2"/>
                <w:position w:val="1"/>
              </w:rPr>
              <w:t>/T81-2001</w:t>
            </w:r>
            <w:r>
              <w:rPr>
                <w:spacing w:val="2"/>
                <w:position w:val="1"/>
              </w:rPr>
              <w:t>）相关</w:t>
            </w:r>
          </w:p>
          <w:p w14:paraId="11A15634">
            <w:pPr>
              <w:pStyle w:val="6"/>
              <w:spacing w:before="27" w:line="214" w:lineRule="auto"/>
              <w:ind w:left="1165"/>
            </w:pPr>
            <w:r>
              <w:rPr>
                <w:spacing w:val="4"/>
              </w:rPr>
              <w:t>要求</w:t>
            </w:r>
          </w:p>
        </w:tc>
        <w:tc>
          <w:tcPr>
            <w:tcW w:w="1551" w:type="dxa"/>
            <w:vAlign w:val="top"/>
          </w:tcPr>
          <w:p w14:paraId="535F9684">
            <w:pPr>
              <w:spacing w:before="272"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9B36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435" w:type="dxa"/>
            <w:vMerge w:val="continue"/>
            <w:tcBorders>
              <w:top w:val="nil"/>
              <w:bottom w:val="nil"/>
            </w:tcBorders>
            <w:vAlign w:val="top"/>
          </w:tcPr>
          <w:p w14:paraId="787B28BB">
            <w:pPr>
              <w:rPr>
                <w:rFonts w:ascii="Arial"/>
                <w:sz w:val="21"/>
              </w:rPr>
            </w:pPr>
          </w:p>
        </w:tc>
        <w:tc>
          <w:tcPr>
            <w:tcW w:w="944" w:type="dxa"/>
            <w:vAlign w:val="top"/>
          </w:tcPr>
          <w:p w14:paraId="0D8656DE">
            <w:pPr>
              <w:pStyle w:val="6"/>
              <w:spacing w:before="168" w:line="229" w:lineRule="auto"/>
              <w:ind w:left="159"/>
            </w:pPr>
            <w:r>
              <w:rPr>
                <w:spacing w:val="6"/>
              </w:rPr>
              <w:t>兽药仓</w:t>
            </w:r>
          </w:p>
        </w:tc>
        <w:tc>
          <w:tcPr>
            <w:tcW w:w="2277" w:type="dxa"/>
            <w:vAlign w:val="top"/>
          </w:tcPr>
          <w:p w14:paraId="78B4FB68">
            <w:pPr>
              <w:pStyle w:val="6"/>
              <w:spacing w:before="168" w:line="229" w:lineRule="auto"/>
              <w:ind w:left="731"/>
            </w:pPr>
            <w:r>
              <w:rPr>
                <w:spacing w:val="4"/>
              </w:rPr>
              <w:t>医疗废物</w:t>
            </w:r>
          </w:p>
        </w:tc>
        <w:tc>
          <w:tcPr>
            <w:tcW w:w="3117" w:type="dxa"/>
            <w:gridSpan w:val="2"/>
            <w:vAlign w:val="top"/>
          </w:tcPr>
          <w:p w14:paraId="1E99BF2D">
            <w:pPr>
              <w:spacing w:before="137" w:line="274" w:lineRule="exact"/>
              <w:ind w:left="14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0.2</w:t>
            </w:r>
          </w:p>
        </w:tc>
        <w:tc>
          <w:tcPr>
            <w:tcW w:w="3161" w:type="dxa"/>
            <w:vAlign w:val="top"/>
          </w:tcPr>
          <w:p w14:paraId="43EA50B4">
            <w:pPr>
              <w:pStyle w:val="6"/>
              <w:spacing w:before="168" w:line="228" w:lineRule="auto"/>
              <w:ind w:left="225"/>
            </w:pPr>
            <w:r>
              <w:rPr>
                <w:spacing w:val="8"/>
              </w:rPr>
              <w:t>交由有相关资质单位回收处置</w:t>
            </w:r>
          </w:p>
        </w:tc>
        <w:tc>
          <w:tcPr>
            <w:tcW w:w="2737" w:type="dxa"/>
            <w:vAlign w:val="top"/>
          </w:tcPr>
          <w:p w14:paraId="6D5FEB0A">
            <w:pPr>
              <w:pStyle w:val="6"/>
              <w:spacing w:before="31" w:line="232" w:lineRule="auto"/>
              <w:ind w:left="304" w:right="106" w:hanging="183"/>
            </w:pPr>
            <w:r>
              <w:rPr>
                <w:spacing w:val="8"/>
              </w:rPr>
              <w:t>《危险废物贮存污染控制标</w:t>
            </w:r>
            <w:r>
              <w:rPr>
                <w:spacing w:val="7"/>
              </w:rPr>
              <w:t xml:space="preserve"> </w:t>
            </w:r>
            <w:r>
              <w:rPr>
                <w:spacing w:val="5"/>
              </w:rPr>
              <w:t>准》（</w:t>
            </w:r>
            <w:r>
              <w:rPr>
                <w:rFonts w:ascii="Times New Roman" w:hAnsi="Times New Roman" w:eastAsia="Times New Roman" w:cs="Times New Roman"/>
              </w:rPr>
              <w:t>GB</w:t>
            </w:r>
            <w:r>
              <w:rPr>
                <w:rFonts w:ascii="Times New Roman" w:hAnsi="Times New Roman" w:eastAsia="Times New Roman" w:cs="Times New Roman"/>
                <w:spacing w:val="5"/>
              </w:rPr>
              <w:t>18597-2001</w:t>
            </w:r>
            <w:r>
              <w:rPr>
                <w:spacing w:val="5"/>
              </w:rPr>
              <w:t>）</w:t>
            </w:r>
          </w:p>
        </w:tc>
        <w:tc>
          <w:tcPr>
            <w:tcW w:w="1551" w:type="dxa"/>
            <w:vAlign w:val="top"/>
          </w:tcPr>
          <w:p w14:paraId="59D4155C">
            <w:pPr>
              <w:spacing w:before="137"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CF59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435" w:type="dxa"/>
            <w:vMerge w:val="continue"/>
            <w:tcBorders>
              <w:top w:val="nil"/>
            </w:tcBorders>
            <w:vAlign w:val="top"/>
          </w:tcPr>
          <w:p w14:paraId="0EDD4082">
            <w:pPr>
              <w:rPr>
                <w:rFonts w:ascii="Arial"/>
                <w:sz w:val="21"/>
              </w:rPr>
            </w:pPr>
          </w:p>
        </w:tc>
        <w:tc>
          <w:tcPr>
            <w:tcW w:w="944" w:type="dxa"/>
            <w:vAlign w:val="top"/>
          </w:tcPr>
          <w:p w14:paraId="7C30AA91">
            <w:pPr>
              <w:pStyle w:val="6"/>
              <w:spacing w:before="306" w:line="229" w:lineRule="auto"/>
              <w:ind w:left="264"/>
            </w:pPr>
            <w:r>
              <w:rPr>
                <w:spacing w:val="4"/>
              </w:rPr>
              <w:t>料塔</w:t>
            </w:r>
          </w:p>
        </w:tc>
        <w:tc>
          <w:tcPr>
            <w:tcW w:w="2277" w:type="dxa"/>
            <w:vAlign w:val="top"/>
          </w:tcPr>
          <w:p w14:paraId="395E00F4">
            <w:pPr>
              <w:pStyle w:val="6"/>
              <w:spacing w:before="306" w:line="229" w:lineRule="auto"/>
              <w:ind w:left="721"/>
            </w:pPr>
            <w:r>
              <w:rPr>
                <w:spacing w:val="7"/>
              </w:rPr>
              <w:t>废包装物</w:t>
            </w:r>
          </w:p>
        </w:tc>
        <w:tc>
          <w:tcPr>
            <w:tcW w:w="3117" w:type="dxa"/>
            <w:gridSpan w:val="2"/>
            <w:vAlign w:val="top"/>
          </w:tcPr>
          <w:p w14:paraId="4448518A">
            <w:pPr>
              <w:spacing w:before="275" w:line="274" w:lineRule="exact"/>
              <w:ind w:left="150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3161" w:type="dxa"/>
            <w:vAlign w:val="top"/>
          </w:tcPr>
          <w:p w14:paraId="112A6498">
            <w:pPr>
              <w:pStyle w:val="6"/>
              <w:spacing w:before="305" w:line="228" w:lineRule="auto"/>
              <w:ind w:left="543"/>
            </w:pPr>
            <w:r>
              <w:rPr>
                <w:spacing w:val="8"/>
              </w:rPr>
              <w:t>收集后交由供应商回收</w:t>
            </w:r>
          </w:p>
        </w:tc>
        <w:tc>
          <w:tcPr>
            <w:tcW w:w="2737" w:type="dxa"/>
            <w:vAlign w:val="top"/>
          </w:tcPr>
          <w:p w14:paraId="40A6FADB">
            <w:pPr>
              <w:pStyle w:val="6"/>
              <w:spacing w:before="32" w:line="228" w:lineRule="auto"/>
              <w:ind w:left="121"/>
            </w:pPr>
            <w:r>
              <w:rPr>
                <w:spacing w:val="7"/>
              </w:rPr>
              <w:t>《一般工业固体废物贮存、</w:t>
            </w:r>
          </w:p>
          <w:p w14:paraId="2CB1C092">
            <w:pPr>
              <w:pStyle w:val="6"/>
              <w:spacing w:before="26" w:line="222" w:lineRule="auto"/>
              <w:ind w:left="328"/>
            </w:pPr>
            <w:r>
              <w:rPr>
                <w:spacing w:val="7"/>
              </w:rPr>
              <w:t>处置场污染控制标准》</w:t>
            </w:r>
          </w:p>
          <w:p w14:paraId="4D90BC94">
            <w:pPr>
              <w:pStyle w:val="6"/>
              <w:spacing w:line="241" w:lineRule="auto"/>
              <w:ind w:left="522"/>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18599-2001</w:t>
            </w:r>
            <w:r>
              <w:rPr>
                <w:spacing w:val="4"/>
              </w:rPr>
              <w:t>）</w:t>
            </w:r>
          </w:p>
        </w:tc>
        <w:tc>
          <w:tcPr>
            <w:tcW w:w="1551" w:type="dxa"/>
            <w:vAlign w:val="top"/>
          </w:tcPr>
          <w:p w14:paraId="012E35EF">
            <w:pPr>
              <w:spacing w:before="275" w:line="274" w:lineRule="exact"/>
              <w:ind w:left="74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7A130F77">
      <w:pPr>
        <w:pStyle w:val="2"/>
      </w:pPr>
    </w:p>
    <w:p w14:paraId="19BA0E01">
      <w:pPr>
        <w:sectPr>
          <w:footerReference r:id="rId176" w:type="default"/>
          <w:pgSz w:w="16839" w:h="11906"/>
          <w:pgMar w:top="400" w:right="1305" w:bottom="1485" w:left="1305" w:header="0" w:footer="1249" w:gutter="0"/>
          <w:cols w:space="720" w:num="1"/>
        </w:sectPr>
      </w:pPr>
    </w:p>
    <w:p w14:paraId="5084294C">
      <w:pPr>
        <w:pStyle w:val="2"/>
        <w:spacing w:line="270" w:lineRule="auto"/>
      </w:pPr>
    </w:p>
    <w:p w14:paraId="3EA421DB">
      <w:pPr>
        <w:pStyle w:val="2"/>
        <w:spacing w:line="270" w:lineRule="auto"/>
      </w:pPr>
    </w:p>
    <w:p w14:paraId="77D94B2D">
      <w:pPr>
        <w:pStyle w:val="2"/>
        <w:spacing w:line="271" w:lineRule="auto"/>
      </w:pPr>
    </w:p>
    <w:p w14:paraId="0B5983A2">
      <w:pPr>
        <w:pStyle w:val="2"/>
        <w:spacing w:line="271" w:lineRule="auto"/>
      </w:pPr>
    </w:p>
    <w:p w14:paraId="65478578">
      <w:pPr>
        <w:pStyle w:val="2"/>
        <w:spacing w:line="271" w:lineRule="auto"/>
      </w:pPr>
    </w:p>
    <w:p w14:paraId="27CC4D85">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8.4.1</w:t>
      </w:r>
      <w:r>
        <w:rPr>
          <w:rFonts w:ascii="宋体" w:hAnsi="宋体" w:eastAsia="宋体" w:cs="宋体"/>
          <w:b/>
          <w:bCs/>
          <w:spacing w:val="-2"/>
          <w:sz w:val="24"/>
          <w:szCs w:val="24"/>
        </w:rPr>
        <w:t>建设单位应向社会公开的信息内容</w:t>
      </w:r>
    </w:p>
    <w:p w14:paraId="4C1AF457">
      <w:pPr>
        <w:pStyle w:val="2"/>
        <w:spacing w:line="246" w:lineRule="auto"/>
      </w:pPr>
    </w:p>
    <w:p w14:paraId="67FCEF23">
      <w:pPr>
        <w:spacing w:before="78" w:line="366" w:lineRule="auto"/>
        <w:ind w:left="3" w:right="59" w:firstLine="479"/>
        <w:rPr>
          <w:rFonts w:ascii="宋体" w:hAnsi="宋体" w:eastAsia="宋体" w:cs="宋体"/>
          <w:sz w:val="24"/>
          <w:szCs w:val="24"/>
        </w:rPr>
      </w:pPr>
      <w:r>
        <w:rPr>
          <w:rFonts w:ascii="宋体" w:hAnsi="宋体" w:eastAsia="宋体" w:cs="宋体"/>
          <w:spacing w:val="1"/>
          <w:sz w:val="24"/>
          <w:szCs w:val="24"/>
        </w:rPr>
        <w:t>参照《企业事业单位环境信息公开办法》（</w:t>
      </w:r>
      <w:r>
        <w:rPr>
          <w:rFonts w:ascii="宋体" w:hAnsi="宋体" w:eastAsia="宋体" w:cs="宋体"/>
          <w:sz w:val="24"/>
          <w:szCs w:val="24"/>
        </w:rPr>
        <w:t xml:space="preserve">环境保护部第 </w:t>
      </w:r>
      <w:r>
        <w:rPr>
          <w:rFonts w:ascii="Times New Roman" w:hAnsi="Times New Roman" w:eastAsia="Times New Roman" w:cs="Times New Roman"/>
          <w:sz w:val="24"/>
          <w:szCs w:val="24"/>
        </w:rPr>
        <w:t xml:space="preserve">31  </w:t>
      </w:r>
      <w:r>
        <w:rPr>
          <w:rFonts w:ascii="宋体" w:hAnsi="宋体" w:eastAsia="宋体" w:cs="宋体"/>
          <w:sz w:val="24"/>
          <w:szCs w:val="24"/>
        </w:rPr>
        <w:t>号令）的要求， 建设单位应公开本项目的环境信息。本项目建设单</w:t>
      </w:r>
      <w:r>
        <w:rPr>
          <w:rFonts w:ascii="宋体" w:hAnsi="宋体" w:eastAsia="宋体" w:cs="宋体"/>
          <w:spacing w:val="-1"/>
          <w:sz w:val="24"/>
          <w:szCs w:val="24"/>
        </w:rPr>
        <w:t>位向社会公开的信息内容如下：</w:t>
      </w:r>
    </w:p>
    <w:p w14:paraId="12E4F516">
      <w:pPr>
        <w:spacing w:before="24" w:line="312" w:lineRule="auto"/>
        <w:ind w:left="1" w:right="2"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）基础信息，包括单位名称、组织机构代码、法定代表人、生产地址、联系</w:t>
      </w:r>
      <w:r>
        <w:rPr>
          <w:rFonts w:ascii="宋体" w:hAnsi="宋体" w:eastAsia="宋体" w:cs="宋体"/>
          <w:spacing w:val="16"/>
          <w:sz w:val="24"/>
          <w:szCs w:val="24"/>
        </w:rPr>
        <w:t xml:space="preserve"> </w:t>
      </w:r>
      <w:r>
        <w:rPr>
          <w:rFonts w:ascii="宋体" w:hAnsi="宋体" w:eastAsia="宋体" w:cs="宋体"/>
          <w:spacing w:val="-1"/>
          <w:sz w:val="24"/>
          <w:szCs w:val="24"/>
        </w:rPr>
        <w:t>方式，以及生产经营和管理服务的主要内容、产品及规模；</w:t>
      </w:r>
    </w:p>
    <w:p w14:paraId="7EC29D78">
      <w:pPr>
        <w:spacing w:before="167" w:line="312" w:lineRule="auto"/>
        <w:ind w:left="1"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）排污信息，包括主要污染物及特征污</w:t>
      </w:r>
      <w:r>
        <w:rPr>
          <w:rFonts w:ascii="宋体" w:hAnsi="宋体" w:eastAsia="宋体" w:cs="宋体"/>
          <w:spacing w:val="-2"/>
          <w:sz w:val="24"/>
          <w:szCs w:val="24"/>
        </w:rPr>
        <w:t>染物的名称、排放方式、排放口数量</w:t>
      </w:r>
      <w:r>
        <w:rPr>
          <w:rFonts w:ascii="宋体" w:hAnsi="宋体" w:eastAsia="宋体" w:cs="宋体"/>
          <w:sz w:val="24"/>
          <w:szCs w:val="24"/>
        </w:rPr>
        <w:t xml:space="preserve"> 和分布情况、排放浓度和排放量、超标情况，以及</w:t>
      </w:r>
      <w:r>
        <w:rPr>
          <w:rFonts w:ascii="宋体" w:hAnsi="宋体" w:eastAsia="宋体" w:cs="宋体"/>
          <w:spacing w:val="-1"/>
          <w:sz w:val="24"/>
          <w:szCs w:val="24"/>
        </w:rPr>
        <w:t>执行的污染物排放标准等。</w:t>
      </w:r>
    </w:p>
    <w:p w14:paraId="477380C6">
      <w:pPr>
        <w:spacing w:before="166" w:line="361"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3</w:t>
      </w:r>
      <w:r>
        <w:rPr>
          <w:rFonts w:ascii="宋体" w:hAnsi="宋体" w:eastAsia="宋体" w:cs="宋体"/>
          <w:spacing w:val="-2"/>
          <w:position w:val="2"/>
          <w:sz w:val="24"/>
          <w:szCs w:val="24"/>
        </w:rPr>
        <w:t>）防治污染设施的建设和运行情况；</w:t>
      </w:r>
    </w:p>
    <w:p w14:paraId="164CA840">
      <w:pPr>
        <w:spacing w:before="128" w:line="359" w:lineRule="exact"/>
        <w:ind w:left="492"/>
        <w:rPr>
          <w:rFonts w:ascii="宋体" w:hAnsi="宋体" w:eastAsia="宋体" w:cs="宋体"/>
          <w:sz w:val="24"/>
          <w:szCs w:val="24"/>
        </w:rPr>
      </w:pP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4</w:t>
      </w:r>
      <w:r>
        <w:rPr>
          <w:rFonts w:ascii="宋体" w:hAnsi="宋体" w:eastAsia="宋体" w:cs="宋体"/>
          <w:spacing w:val="-1"/>
          <w:position w:val="2"/>
          <w:sz w:val="24"/>
          <w:szCs w:val="24"/>
        </w:rPr>
        <w:t>）建设项目环境影响评价及其他环境保护行政许可情况；</w:t>
      </w:r>
    </w:p>
    <w:p w14:paraId="0B82962E">
      <w:pPr>
        <w:spacing w:before="166" w:line="220"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）突发环境事件应急预案；</w:t>
      </w:r>
    </w:p>
    <w:p w14:paraId="42CBED61">
      <w:pPr>
        <w:spacing w:before="169" w:line="360" w:lineRule="exact"/>
        <w:ind w:left="492"/>
        <w:rPr>
          <w:rFonts w:ascii="宋体" w:hAnsi="宋体" w:eastAsia="宋体" w:cs="宋体"/>
          <w:sz w:val="24"/>
          <w:szCs w:val="24"/>
        </w:rPr>
      </w:pPr>
      <w:r>
        <w:rPr>
          <w:rFonts w:ascii="宋体" w:hAnsi="宋体" w:eastAsia="宋体" w:cs="宋体"/>
          <w:spacing w:val="-2"/>
          <w:position w:val="2"/>
          <w:sz w:val="24"/>
          <w:szCs w:val="24"/>
        </w:rPr>
        <w:t>（</w:t>
      </w:r>
      <w:r>
        <w:rPr>
          <w:rFonts w:ascii="Times New Roman" w:hAnsi="Times New Roman" w:eastAsia="Times New Roman" w:cs="Times New Roman"/>
          <w:spacing w:val="-2"/>
          <w:position w:val="2"/>
          <w:sz w:val="24"/>
          <w:szCs w:val="24"/>
        </w:rPr>
        <w:t>6</w:t>
      </w:r>
      <w:r>
        <w:rPr>
          <w:rFonts w:ascii="宋体" w:hAnsi="宋体" w:eastAsia="宋体" w:cs="宋体"/>
          <w:spacing w:val="-2"/>
          <w:position w:val="2"/>
          <w:sz w:val="24"/>
          <w:szCs w:val="24"/>
        </w:rPr>
        <w:t>）其他应当公开的环境信息</w:t>
      </w:r>
    </w:p>
    <w:p w14:paraId="0E46631C">
      <w:pPr>
        <w:pStyle w:val="2"/>
        <w:spacing w:line="364" w:lineRule="auto"/>
      </w:pPr>
    </w:p>
    <w:p w14:paraId="4B891ADB">
      <w:pPr>
        <w:spacing w:before="101" w:line="225" w:lineRule="auto"/>
        <w:ind w:left="5"/>
        <w:outlineLvl w:val="1"/>
        <w:rPr>
          <w:rFonts w:ascii="宋体" w:hAnsi="宋体" w:eastAsia="宋体" w:cs="宋体"/>
          <w:sz w:val="31"/>
          <w:szCs w:val="31"/>
        </w:rPr>
      </w:pPr>
      <w:bookmarkStart w:id="52" w:name="bookmark47"/>
      <w:bookmarkEnd w:id="52"/>
      <w:r>
        <w:rPr>
          <w:rFonts w:ascii="宋体" w:hAnsi="宋体" w:eastAsia="宋体" w:cs="宋体"/>
          <w:b/>
          <w:bCs/>
          <w:spacing w:val="5"/>
          <w:sz w:val="31"/>
          <w:szCs w:val="31"/>
        </w:rPr>
        <w:t>8.5环保设施</w:t>
      </w:r>
      <w:r>
        <w:rPr>
          <w:rFonts w:ascii="Times New Roman" w:hAnsi="Times New Roman" w:eastAsia="Times New Roman" w:cs="Times New Roman"/>
          <w:b/>
          <w:bCs/>
          <w:spacing w:val="5"/>
          <w:sz w:val="31"/>
          <w:szCs w:val="31"/>
        </w:rPr>
        <w:t>“</w:t>
      </w:r>
      <w:r>
        <w:rPr>
          <w:rFonts w:ascii="宋体" w:hAnsi="宋体" w:eastAsia="宋体" w:cs="宋体"/>
          <w:b/>
          <w:bCs/>
          <w:spacing w:val="5"/>
          <w:sz w:val="31"/>
          <w:szCs w:val="31"/>
        </w:rPr>
        <w:t>三同时</w:t>
      </w:r>
      <w:r>
        <w:rPr>
          <w:rFonts w:ascii="Times New Roman" w:hAnsi="Times New Roman" w:eastAsia="Times New Roman" w:cs="Times New Roman"/>
          <w:b/>
          <w:bCs/>
          <w:spacing w:val="5"/>
          <w:sz w:val="31"/>
          <w:szCs w:val="31"/>
        </w:rPr>
        <w:t>”</w:t>
      </w:r>
      <w:r>
        <w:rPr>
          <w:rFonts w:ascii="宋体" w:hAnsi="宋体" w:eastAsia="宋体" w:cs="宋体"/>
          <w:b/>
          <w:bCs/>
          <w:spacing w:val="5"/>
          <w:sz w:val="31"/>
          <w:szCs w:val="31"/>
        </w:rPr>
        <w:t>竣工验收汇总</w:t>
      </w:r>
    </w:p>
    <w:p w14:paraId="71D05086">
      <w:pPr>
        <w:pStyle w:val="2"/>
        <w:spacing w:line="406" w:lineRule="auto"/>
      </w:pPr>
    </w:p>
    <w:p w14:paraId="6AE325CC">
      <w:pPr>
        <w:spacing w:before="78" w:line="379" w:lineRule="auto"/>
        <w:ind w:left="1" w:right="2" w:firstLine="482"/>
        <w:jc w:val="both"/>
        <w:rPr>
          <w:rFonts w:ascii="宋体" w:hAnsi="宋体" w:eastAsia="宋体" w:cs="宋体"/>
          <w:sz w:val="24"/>
          <w:szCs w:val="24"/>
        </w:rPr>
      </w:pPr>
      <w:r>
        <w:rPr>
          <w:rFonts w:ascii="宋体" w:hAnsi="宋体" w:eastAsia="宋体" w:cs="宋体"/>
          <w:spacing w:val="2"/>
          <w:sz w:val="24"/>
          <w:szCs w:val="24"/>
        </w:rPr>
        <w:t>项目的环保设施应以生产设施同时设计、同时施工、同时竣工投入使用。根据</w:t>
      </w:r>
      <w:r>
        <w:rPr>
          <w:rFonts w:ascii="宋体" w:hAnsi="宋体" w:eastAsia="宋体" w:cs="宋体"/>
          <w:spacing w:val="6"/>
          <w:sz w:val="24"/>
          <w:szCs w:val="24"/>
        </w:rPr>
        <w:t xml:space="preserve"> </w:t>
      </w:r>
      <w:r>
        <w:rPr>
          <w:rFonts w:ascii="宋体" w:hAnsi="宋体" w:eastAsia="宋体" w:cs="宋体"/>
          <w:spacing w:val="-4"/>
          <w:sz w:val="24"/>
          <w:szCs w:val="24"/>
        </w:rPr>
        <w:t>国务院令第</w:t>
      </w:r>
      <w:r>
        <w:rPr>
          <w:rFonts w:ascii="Times New Roman" w:hAnsi="Times New Roman" w:eastAsia="Times New Roman" w:cs="Times New Roman"/>
          <w:spacing w:val="-4"/>
          <w:sz w:val="24"/>
          <w:szCs w:val="24"/>
        </w:rPr>
        <w:t xml:space="preserve">682  </w:t>
      </w:r>
      <w:r>
        <w:rPr>
          <w:rFonts w:ascii="宋体" w:hAnsi="宋体" w:eastAsia="宋体" w:cs="宋体"/>
          <w:spacing w:val="-4"/>
          <w:sz w:val="24"/>
          <w:szCs w:val="24"/>
        </w:rPr>
        <w:t>号《国务院关于修改〈建设项目环境保护管理条例〉的决定》</w:t>
      </w:r>
      <w:r>
        <w:rPr>
          <w:rFonts w:ascii="宋体" w:hAnsi="宋体" w:eastAsia="宋体" w:cs="宋体"/>
          <w:spacing w:val="-5"/>
          <w:sz w:val="24"/>
          <w:szCs w:val="24"/>
        </w:rPr>
        <w:t>和《建</w:t>
      </w:r>
      <w:r>
        <w:rPr>
          <w:rFonts w:ascii="宋体" w:hAnsi="宋体" w:eastAsia="宋体" w:cs="宋体"/>
          <w:sz w:val="24"/>
          <w:szCs w:val="24"/>
        </w:rPr>
        <w:t xml:space="preserve"> </w:t>
      </w:r>
      <w:r>
        <w:rPr>
          <w:rFonts w:ascii="宋体" w:hAnsi="宋体" w:eastAsia="宋体" w:cs="宋体"/>
          <w:spacing w:val="-3"/>
          <w:sz w:val="24"/>
          <w:szCs w:val="24"/>
        </w:rPr>
        <w:t>设项目竣工环境保护验收管理办法》（</w:t>
      </w:r>
      <w:r>
        <w:rPr>
          <w:rFonts w:ascii="Times New Roman" w:hAnsi="Times New Roman" w:eastAsia="Times New Roman" w:cs="Times New Roman"/>
          <w:spacing w:val="-3"/>
          <w:sz w:val="24"/>
          <w:szCs w:val="24"/>
        </w:rPr>
        <w:t xml:space="preserve">2010  </w:t>
      </w:r>
      <w:r>
        <w:rPr>
          <w:rFonts w:ascii="宋体" w:hAnsi="宋体" w:eastAsia="宋体" w:cs="宋体"/>
          <w:spacing w:val="-3"/>
          <w:sz w:val="24"/>
          <w:szCs w:val="24"/>
        </w:rPr>
        <w:t>年</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 xml:space="preserve">月 </w:t>
      </w:r>
      <w:r>
        <w:rPr>
          <w:rFonts w:ascii="Times New Roman" w:hAnsi="Times New Roman" w:eastAsia="Times New Roman" w:cs="Times New Roman"/>
          <w:spacing w:val="-3"/>
          <w:sz w:val="24"/>
          <w:szCs w:val="24"/>
        </w:rPr>
        <w:t xml:space="preserve">22   </w:t>
      </w:r>
      <w:r>
        <w:rPr>
          <w:rFonts w:ascii="宋体" w:hAnsi="宋体" w:eastAsia="宋体" w:cs="宋体"/>
          <w:spacing w:val="-3"/>
          <w:sz w:val="24"/>
          <w:szCs w:val="24"/>
        </w:rPr>
        <w:t>日修改）的规定和要求，</w:t>
      </w:r>
      <w:r>
        <w:rPr>
          <w:rFonts w:ascii="宋体" w:hAnsi="宋体" w:eastAsia="宋体" w:cs="宋体"/>
          <w:sz w:val="24"/>
          <w:szCs w:val="24"/>
        </w:rPr>
        <w:t xml:space="preserve"> </w:t>
      </w:r>
      <w:r>
        <w:rPr>
          <w:rFonts w:ascii="宋体" w:hAnsi="宋体" w:eastAsia="宋体" w:cs="宋体"/>
          <w:spacing w:val="2"/>
          <w:sz w:val="24"/>
          <w:szCs w:val="24"/>
        </w:rPr>
        <w:t>本建设项目竣工后，建设单位应当按照国环规环评〔</w:t>
      </w:r>
      <w:r>
        <w:rPr>
          <w:rFonts w:ascii="Times New Roman" w:hAnsi="Times New Roman" w:eastAsia="Times New Roman" w:cs="Times New Roman"/>
          <w:spacing w:val="2"/>
          <w:sz w:val="24"/>
          <w:szCs w:val="24"/>
        </w:rPr>
        <w:t>2017</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号《建设项目</w:t>
      </w:r>
      <w:r>
        <w:rPr>
          <w:rFonts w:ascii="宋体" w:hAnsi="宋体" w:eastAsia="宋体" w:cs="宋体"/>
          <w:spacing w:val="1"/>
          <w:sz w:val="24"/>
          <w:szCs w:val="24"/>
        </w:rPr>
        <w:t>竣工环</w:t>
      </w:r>
      <w:r>
        <w:rPr>
          <w:rFonts w:ascii="宋体" w:hAnsi="宋体" w:eastAsia="宋体" w:cs="宋体"/>
          <w:sz w:val="24"/>
          <w:szCs w:val="24"/>
        </w:rPr>
        <w:t xml:space="preserve"> </w:t>
      </w:r>
      <w:r>
        <w:rPr>
          <w:rFonts w:ascii="宋体" w:hAnsi="宋体" w:eastAsia="宋体" w:cs="宋体"/>
          <w:spacing w:val="2"/>
          <w:sz w:val="24"/>
          <w:szCs w:val="24"/>
        </w:rPr>
        <w:t>境保护验收暂行办法》和《建设项目竣工环境保护验收技术指南污染影响类》，同</w:t>
      </w:r>
      <w:r>
        <w:rPr>
          <w:rFonts w:ascii="宋体" w:hAnsi="宋体" w:eastAsia="宋体" w:cs="宋体"/>
          <w:spacing w:val="5"/>
          <w:sz w:val="24"/>
          <w:szCs w:val="24"/>
        </w:rPr>
        <w:t xml:space="preserve"> </w:t>
      </w:r>
      <w:r>
        <w:rPr>
          <w:rFonts w:ascii="宋体" w:hAnsi="宋体" w:eastAsia="宋体" w:cs="宋体"/>
          <w:spacing w:val="1"/>
          <w:sz w:val="24"/>
          <w:szCs w:val="24"/>
        </w:rPr>
        <w:t>时参考《建设项目竣工环境保护验收技术规范危</w:t>
      </w:r>
      <w:r>
        <w:rPr>
          <w:rFonts w:ascii="宋体" w:hAnsi="宋体" w:eastAsia="宋体" w:cs="宋体"/>
          <w:sz w:val="24"/>
          <w:szCs w:val="24"/>
        </w:rPr>
        <w:t>险废物处置》（征求意见稿</w:t>
      </w:r>
      <w:r>
        <w:rPr>
          <w:rFonts w:ascii="宋体" w:hAnsi="宋体" w:eastAsia="宋体" w:cs="宋体"/>
          <w:spacing w:val="3"/>
          <w:sz w:val="24"/>
          <w:szCs w:val="24"/>
        </w:rPr>
        <w:t>），</w:t>
      </w:r>
      <w:r>
        <w:rPr>
          <w:rFonts w:ascii="宋体" w:hAnsi="宋体" w:eastAsia="宋体" w:cs="宋体"/>
          <w:spacing w:val="-70"/>
          <w:sz w:val="24"/>
          <w:szCs w:val="24"/>
        </w:rPr>
        <w:t xml:space="preserve"> </w:t>
      </w:r>
      <w:r>
        <w:rPr>
          <w:rFonts w:ascii="宋体" w:hAnsi="宋体" w:eastAsia="宋体" w:cs="宋体"/>
          <w:sz w:val="24"/>
          <w:szCs w:val="24"/>
        </w:rPr>
        <w:t xml:space="preserve">自 </w:t>
      </w:r>
      <w:r>
        <w:rPr>
          <w:rFonts w:ascii="宋体" w:hAnsi="宋体" w:eastAsia="宋体" w:cs="宋体"/>
          <w:spacing w:val="2"/>
          <w:sz w:val="24"/>
          <w:szCs w:val="24"/>
        </w:rPr>
        <w:t>行组织对配套建设的环境保护设施进行验收，编制验收报告。并公开相关信息，接</w:t>
      </w:r>
      <w:r>
        <w:rPr>
          <w:rFonts w:ascii="宋体" w:hAnsi="宋体" w:eastAsia="宋体" w:cs="宋体"/>
          <w:spacing w:val="5"/>
          <w:sz w:val="24"/>
          <w:szCs w:val="24"/>
        </w:rPr>
        <w:t xml:space="preserve"> </w:t>
      </w:r>
      <w:r>
        <w:rPr>
          <w:rFonts w:ascii="宋体" w:hAnsi="宋体" w:eastAsia="宋体" w:cs="宋体"/>
          <w:spacing w:val="2"/>
          <w:sz w:val="24"/>
          <w:szCs w:val="24"/>
        </w:rPr>
        <w:t>受社会监督，确保建设项目需要配套建设的环境保护设施与主体工程同时投产或者</w:t>
      </w:r>
      <w:r>
        <w:rPr>
          <w:rFonts w:ascii="宋体" w:hAnsi="宋体" w:eastAsia="宋体" w:cs="宋体"/>
          <w:spacing w:val="5"/>
          <w:sz w:val="24"/>
          <w:szCs w:val="24"/>
        </w:rPr>
        <w:t xml:space="preserve"> </w:t>
      </w:r>
      <w:r>
        <w:rPr>
          <w:rFonts w:ascii="宋体" w:hAnsi="宋体" w:eastAsia="宋体" w:cs="宋体"/>
          <w:spacing w:val="-1"/>
          <w:sz w:val="24"/>
          <w:szCs w:val="24"/>
        </w:rPr>
        <w:t xml:space="preserve">使用。根据项目的特点，竣工环境保护验收一览表见表 </w:t>
      </w:r>
      <w:r>
        <w:rPr>
          <w:rFonts w:ascii="Times New Roman" w:hAnsi="Times New Roman" w:eastAsia="Times New Roman" w:cs="Times New Roman"/>
          <w:spacing w:val="-1"/>
          <w:sz w:val="24"/>
          <w:szCs w:val="24"/>
        </w:rPr>
        <w:t>8.5-1</w:t>
      </w:r>
      <w:r>
        <w:rPr>
          <w:rFonts w:ascii="宋体" w:hAnsi="宋体" w:eastAsia="宋体" w:cs="宋体"/>
          <w:spacing w:val="-1"/>
          <w:sz w:val="24"/>
          <w:szCs w:val="24"/>
        </w:rPr>
        <w:t>。</w:t>
      </w:r>
    </w:p>
    <w:p w14:paraId="038E96F8">
      <w:pPr>
        <w:spacing w:line="379" w:lineRule="auto"/>
        <w:rPr>
          <w:rFonts w:ascii="宋体" w:hAnsi="宋体" w:eastAsia="宋体" w:cs="宋体"/>
          <w:sz w:val="24"/>
          <w:szCs w:val="24"/>
        </w:rPr>
        <w:sectPr>
          <w:footerReference r:id="rId177" w:type="default"/>
          <w:pgSz w:w="11906" w:h="16839"/>
          <w:pgMar w:top="400" w:right="1585" w:bottom="1485" w:left="1597" w:header="0" w:footer="1249" w:gutter="0"/>
          <w:cols w:space="720" w:num="1"/>
        </w:sectPr>
      </w:pPr>
    </w:p>
    <w:p w14:paraId="2C901377">
      <w:pPr>
        <w:pStyle w:val="2"/>
        <w:spacing w:line="286" w:lineRule="auto"/>
      </w:pPr>
    </w:p>
    <w:p w14:paraId="348C9DF1">
      <w:pPr>
        <w:pStyle w:val="2"/>
        <w:spacing w:line="287" w:lineRule="auto"/>
      </w:pPr>
    </w:p>
    <w:p w14:paraId="33AE1EB3">
      <w:pPr>
        <w:pStyle w:val="2"/>
        <w:spacing w:line="287" w:lineRule="auto"/>
      </w:pPr>
    </w:p>
    <w:p w14:paraId="01E78118">
      <w:pPr>
        <w:pStyle w:val="2"/>
        <w:spacing w:line="287" w:lineRule="auto"/>
      </w:pPr>
    </w:p>
    <w:p w14:paraId="5869B094">
      <w:pPr>
        <w:spacing w:before="65" w:line="222" w:lineRule="auto"/>
        <w:ind w:left="4769"/>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31"/>
          <w:sz w:val="20"/>
          <w:szCs w:val="20"/>
        </w:rPr>
        <w:t xml:space="preserve"> </w:t>
      </w:r>
      <w:r>
        <w:rPr>
          <w:rFonts w:ascii="Times New Roman" w:hAnsi="Times New Roman" w:eastAsia="Times New Roman" w:cs="Times New Roman"/>
          <w:b/>
          <w:bCs/>
          <w:spacing w:val="5"/>
          <w:sz w:val="20"/>
          <w:szCs w:val="20"/>
        </w:rPr>
        <w:t xml:space="preserve">8.5-1  </w:t>
      </w:r>
      <w:r>
        <w:rPr>
          <w:rFonts w:ascii="宋体" w:hAnsi="宋体" w:eastAsia="宋体" w:cs="宋体"/>
          <w:b/>
          <w:bCs/>
          <w:spacing w:val="5"/>
          <w:sz w:val="20"/>
          <w:szCs w:val="20"/>
        </w:rPr>
        <w:t>本项目环保设施“三同时</w:t>
      </w:r>
      <w:r>
        <w:rPr>
          <w:rFonts w:ascii="宋体" w:hAnsi="宋体" w:eastAsia="宋体" w:cs="宋体"/>
          <w:spacing w:val="-72"/>
          <w:sz w:val="20"/>
          <w:szCs w:val="20"/>
        </w:rPr>
        <w:t xml:space="preserve"> </w:t>
      </w:r>
      <w:r>
        <w:rPr>
          <w:rFonts w:ascii="宋体" w:hAnsi="宋体" w:eastAsia="宋体" w:cs="宋体"/>
          <w:b/>
          <w:bCs/>
          <w:spacing w:val="5"/>
          <w:sz w:val="20"/>
          <w:szCs w:val="20"/>
        </w:rPr>
        <w:t>”验收一览表</w:t>
      </w:r>
    </w:p>
    <w:tbl>
      <w:tblPr>
        <w:tblStyle w:val="5"/>
        <w:tblW w:w="138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1295"/>
        <w:gridCol w:w="2958"/>
        <w:gridCol w:w="991"/>
        <w:gridCol w:w="1558"/>
        <w:gridCol w:w="859"/>
        <w:gridCol w:w="1973"/>
        <w:gridCol w:w="3556"/>
      </w:tblGrid>
      <w:tr w14:paraId="6CD66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01" w:type="dxa"/>
            <w:vAlign w:val="top"/>
          </w:tcPr>
          <w:p w14:paraId="0B96D740">
            <w:pPr>
              <w:pStyle w:val="6"/>
              <w:spacing w:before="37" w:line="228" w:lineRule="auto"/>
              <w:ind w:left="149"/>
            </w:pPr>
            <w:r>
              <w:rPr>
                <w:b/>
                <w:bCs/>
                <w:spacing w:val="4"/>
              </w:rPr>
              <w:t>验收</w:t>
            </w:r>
          </w:p>
          <w:p w14:paraId="3BDD0D2D">
            <w:pPr>
              <w:pStyle w:val="6"/>
              <w:spacing w:before="23" w:line="213" w:lineRule="auto"/>
              <w:ind w:left="150"/>
            </w:pPr>
            <w:r>
              <w:rPr>
                <w:b/>
                <w:bCs/>
                <w:spacing w:val="3"/>
              </w:rPr>
              <w:t>类别</w:t>
            </w:r>
          </w:p>
        </w:tc>
        <w:tc>
          <w:tcPr>
            <w:tcW w:w="1295" w:type="dxa"/>
            <w:vAlign w:val="top"/>
          </w:tcPr>
          <w:p w14:paraId="3349A924">
            <w:pPr>
              <w:pStyle w:val="6"/>
              <w:spacing w:before="36" w:line="232" w:lineRule="auto"/>
              <w:ind w:left="238" w:right="189" w:hanging="26"/>
            </w:pPr>
            <w:r>
              <w:rPr>
                <w:b/>
                <w:bCs/>
                <w:spacing w:val="4"/>
              </w:rPr>
              <w:t>治理对象</w:t>
            </w:r>
            <w:r>
              <w:rPr>
                <w:rFonts w:ascii="Times New Roman" w:hAnsi="Times New Roman" w:eastAsia="Times New Roman" w:cs="Times New Roman"/>
                <w:b/>
                <w:bCs/>
                <w:spacing w:val="4"/>
              </w:rPr>
              <w:t>/</w:t>
            </w:r>
            <w:r>
              <w:rPr>
                <w:rFonts w:ascii="Times New Roman" w:hAnsi="Times New Roman" w:eastAsia="Times New Roman" w:cs="Times New Roman"/>
                <w:b/>
                <w:bCs/>
                <w:spacing w:val="2"/>
              </w:rPr>
              <w:t xml:space="preserve"> </w:t>
            </w:r>
            <w:r>
              <w:rPr>
                <w:b/>
                <w:bCs/>
                <w:spacing w:val="5"/>
              </w:rPr>
              <w:t>建设内容</w:t>
            </w:r>
          </w:p>
        </w:tc>
        <w:tc>
          <w:tcPr>
            <w:tcW w:w="2958" w:type="dxa"/>
            <w:vAlign w:val="top"/>
          </w:tcPr>
          <w:p w14:paraId="18842199">
            <w:pPr>
              <w:pStyle w:val="6"/>
              <w:spacing w:before="171" w:line="229" w:lineRule="auto"/>
              <w:ind w:left="1065"/>
            </w:pPr>
            <w:r>
              <w:rPr>
                <w:b/>
                <w:bCs/>
                <w:spacing w:val="6"/>
              </w:rPr>
              <w:t>环保措施</w:t>
            </w:r>
          </w:p>
        </w:tc>
        <w:tc>
          <w:tcPr>
            <w:tcW w:w="991" w:type="dxa"/>
            <w:vAlign w:val="top"/>
          </w:tcPr>
          <w:p w14:paraId="3D87DD64">
            <w:pPr>
              <w:pStyle w:val="6"/>
              <w:spacing w:before="171" w:line="228" w:lineRule="auto"/>
              <w:ind w:left="190"/>
            </w:pPr>
            <w:r>
              <w:rPr>
                <w:b/>
                <w:bCs/>
                <w:spacing w:val="5"/>
              </w:rPr>
              <w:t>采样口</w:t>
            </w:r>
          </w:p>
        </w:tc>
        <w:tc>
          <w:tcPr>
            <w:tcW w:w="1558" w:type="dxa"/>
            <w:vAlign w:val="top"/>
          </w:tcPr>
          <w:p w14:paraId="42258657">
            <w:pPr>
              <w:pStyle w:val="6"/>
              <w:spacing w:before="172" w:line="228" w:lineRule="auto"/>
              <w:ind w:left="370"/>
            </w:pPr>
            <w:r>
              <w:rPr>
                <w:b/>
                <w:bCs/>
                <w:spacing w:val="6"/>
              </w:rPr>
              <w:t>验收项目</w:t>
            </w:r>
          </w:p>
        </w:tc>
        <w:tc>
          <w:tcPr>
            <w:tcW w:w="859" w:type="dxa"/>
            <w:vAlign w:val="top"/>
          </w:tcPr>
          <w:p w14:paraId="2B062F39">
            <w:pPr>
              <w:pStyle w:val="6"/>
              <w:spacing w:before="36" w:line="232" w:lineRule="auto"/>
              <w:ind w:left="334" w:right="107" w:hanging="207"/>
            </w:pPr>
            <w:r>
              <w:rPr>
                <w:b/>
                <w:bCs/>
                <w:spacing w:val="4"/>
              </w:rPr>
              <w:t>处理能</w:t>
            </w:r>
            <w:r>
              <w:t xml:space="preserve"> </w:t>
            </w:r>
            <w:r>
              <w:rPr>
                <w:b/>
                <w:bCs/>
                <w:spacing w:val="-3"/>
              </w:rPr>
              <w:t>力</w:t>
            </w:r>
          </w:p>
        </w:tc>
        <w:tc>
          <w:tcPr>
            <w:tcW w:w="1973" w:type="dxa"/>
            <w:vAlign w:val="top"/>
          </w:tcPr>
          <w:p w14:paraId="3642A758">
            <w:pPr>
              <w:pStyle w:val="6"/>
              <w:spacing w:before="172" w:line="228" w:lineRule="auto"/>
              <w:ind w:left="262"/>
            </w:pPr>
            <w:r>
              <w:rPr>
                <w:b/>
                <w:bCs/>
                <w:spacing w:val="7"/>
              </w:rPr>
              <w:t>执行标准和限值</w:t>
            </w:r>
          </w:p>
        </w:tc>
        <w:tc>
          <w:tcPr>
            <w:tcW w:w="3556" w:type="dxa"/>
            <w:vAlign w:val="top"/>
          </w:tcPr>
          <w:p w14:paraId="65C1284A">
            <w:pPr>
              <w:pStyle w:val="6"/>
              <w:spacing w:before="171" w:line="228" w:lineRule="auto"/>
              <w:ind w:left="1157"/>
            </w:pPr>
            <w:r>
              <w:rPr>
                <w:b/>
                <w:bCs/>
                <w:spacing w:val="7"/>
              </w:rPr>
              <w:t>验收基本要求</w:t>
            </w:r>
          </w:p>
        </w:tc>
      </w:tr>
      <w:tr w14:paraId="2245C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701" w:type="dxa"/>
            <w:vMerge w:val="restart"/>
            <w:tcBorders>
              <w:bottom w:val="nil"/>
            </w:tcBorders>
            <w:vAlign w:val="top"/>
          </w:tcPr>
          <w:p w14:paraId="7B70032D">
            <w:pPr>
              <w:spacing w:line="263" w:lineRule="auto"/>
              <w:rPr>
                <w:rFonts w:ascii="Arial"/>
                <w:sz w:val="21"/>
              </w:rPr>
            </w:pPr>
          </w:p>
          <w:p w14:paraId="2B6A0978">
            <w:pPr>
              <w:spacing w:line="263" w:lineRule="auto"/>
              <w:rPr>
                <w:rFonts w:ascii="Arial"/>
                <w:sz w:val="21"/>
              </w:rPr>
            </w:pPr>
          </w:p>
          <w:p w14:paraId="7B8EEA80">
            <w:pPr>
              <w:spacing w:line="263" w:lineRule="auto"/>
              <w:rPr>
                <w:rFonts w:ascii="Arial"/>
                <w:sz w:val="21"/>
              </w:rPr>
            </w:pPr>
          </w:p>
          <w:p w14:paraId="6644FD8C">
            <w:pPr>
              <w:spacing w:line="263" w:lineRule="auto"/>
              <w:rPr>
                <w:rFonts w:ascii="Arial"/>
                <w:sz w:val="21"/>
              </w:rPr>
            </w:pPr>
          </w:p>
          <w:p w14:paraId="17F3655B">
            <w:pPr>
              <w:spacing w:line="264" w:lineRule="auto"/>
              <w:rPr>
                <w:rFonts w:ascii="Arial"/>
                <w:sz w:val="21"/>
              </w:rPr>
            </w:pPr>
          </w:p>
          <w:p w14:paraId="2AE7BEE5">
            <w:pPr>
              <w:spacing w:line="264" w:lineRule="auto"/>
              <w:rPr>
                <w:rFonts w:ascii="Arial"/>
                <w:sz w:val="21"/>
              </w:rPr>
            </w:pPr>
          </w:p>
          <w:p w14:paraId="44D2E194">
            <w:pPr>
              <w:pStyle w:val="6"/>
              <w:spacing w:before="65" w:line="229" w:lineRule="auto"/>
              <w:ind w:left="149"/>
            </w:pPr>
            <w:r>
              <w:rPr>
                <w:spacing w:val="5"/>
              </w:rPr>
              <w:t>废气</w:t>
            </w:r>
          </w:p>
        </w:tc>
        <w:tc>
          <w:tcPr>
            <w:tcW w:w="1295" w:type="dxa"/>
            <w:vAlign w:val="top"/>
          </w:tcPr>
          <w:p w14:paraId="7F1D0BC1">
            <w:pPr>
              <w:spacing w:line="378" w:lineRule="auto"/>
              <w:rPr>
                <w:rFonts w:ascii="Arial"/>
                <w:sz w:val="21"/>
              </w:rPr>
            </w:pPr>
          </w:p>
          <w:p w14:paraId="244C9C26">
            <w:pPr>
              <w:pStyle w:val="6"/>
              <w:spacing w:before="65" w:line="228" w:lineRule="auto"/>
              <w:ind w:left="237"/>
            </w:pPr>
            <w:r>
              <w:rPr>
                <w:spacing w:val="7"/>
              </w:rPr>
              <w:t>养殖臭气</w:t>
            </w:r>
          </w:p>
        </w:tc>
        <w:tc>
          <w:tcPr>
            <w:tcW w:w="2958" w:type="dxa"/>
            <w:vAlign w:val="top"/>
          </w:tcPr>
          <w:p w14:paraId="191E7C35">
            <w:pPr>
              <w:pStyle w:val="6"/>
              <w:spacing w:before="37" w:line="239" w:lineRule="auto"/>
              <w:ind w:left="112" w:right="119"/>
              <w:jc w:val="both"/>
            </w:pPr>
            <w:r>
              <w:rPr>
                <w:spacing w:val="9"/>
              </w:rPr>
              <w:t>做好猪场粪便清理工作，加强</w:t>
            </w:r>
            <w:r>
              <w:rPr>
                <w:spacing w:val="2"/>
              </w:rPr>
              <w:t xml:space="preserve"> </w:t>
            </w:r>
            <w:r>
              <w:rPr>
                <w:spacing w:val="9"/>
              </w:rPr>
              <w:t>猪舍通风及消毒，合理设计日</w:t>
            </w:r>
            <w:r>
              <w:rPr>
                <w:spacing w:val="2"/>
              </w:rPr>
              <w:t xml:space="preserve"> </w:t>
            </w:r>
            <w:r>
              <w:rPr>
                <w:spacing w:val="9"/>
              </w:rPr>
              <w:t>粮，定期喷洒除臭剂，饲料中</w:t>
            </w:r>
            <w:r>
              <w:rPr>
                <w:spacing w:val="2"/>
              </w:rPr>
              <w:t xml:space="preserve"> </w:t>
            </w:r>
            <w:r>
              <w:rPr>
                <w:spacing w:val="8"/>
              </w:rPr>
              <w:t>添加益生菌，增加绿化</w:t>
            </w:r>
          </w:p>
        </w:tc>
        <w:tc>
          <w:tcPr>
            <w:tcW w:w="991" w:type="dxa"/>
            <w:vMerge w:val="restart"/>
            <w:tcBorders>
              <w:bottom w:val="nil"/>
            </w:tcBorders>
            <w:vAlign w:val="top"/>
          </w:tcPr>
          <w:p w14:paraId="21EF4183">
            <w:pPr>
              <w:spacing w:line="309" w:lineRule="auto"/>
              <w:rPr>
                <w:rFonts w:ascii="Arial"/>
                <w:sz w:val="21"/>
              </w:rPr>
            </w:pPr>
          </w:p>
          <w:p w14:paraId="0699E82F">
            <w:pPr>
              <w:spacing w:line="310" w:lineRule="auto"/>
              <w:rPr>
                <w:rFonts w:ascii="Arial"/>
                <w:sz w:val="21"/>
              </w:rPr>
            </w:pPr>
          </w:p>
          <w:p w14:paraId="7D5FBC4B">
            <w:pPr>
              <w:spacing w:line="310" w:lineRule="auto"/>
              <w:rPr>
                <w:rFonts w:ascii="Arial"/>
                <w:sz w:val="21"/>
              </w:rPr>
            </w:pPr>
          </w:p>
          <w:p w14:paraId="34AE32AC">
            <w:pPr>
              <w:pStyle w:val="6"/>
              <w:spacing w:before="65" w:line="229" w:lineRule="auto"/>
              <w:ind w:left="193"/>
            </w:pPr>
            <w:r>
              <w:rPr>
                <w:spacing w:val="6"/>
              </w:rPr>
              <w:t>厂区边</w:t>
            </w:r>
          </w:p>
          <w:p w14:paraId="00F47C7E">
            <w:pPr>
              <w:pStyle w:val="6"/>
              <w:spacing w:before="22" w:line="230" w:lineRule="auto"/>
              <w:ind w:left="407"/>
            </w:pPr>
            <w:r>
              <w:t>界</w:t>
            </w:r>
          </w:p>
        </w:tc>
        <w:tc>
          <w:tcPr>
            <w:tcW w:w="1558" w:type="dxa"/>
            <w:vMerge w:val="restart"/>
            <w:tcBorders>
              <w:bottom w:val="nil"/>
            </w:tcBorders>
            <w:vAlign w:val="top"/>
          </w:tcPr>
          <w:p w14:paraId="2FFC1D74">
            <w:pPr>
              <w:spacing w:line="259" w:lineRule="auto"/>
              <w:rPr>
                <w:rFonts w:ascii="Arial"/>
                <w:sz w:val="21"/>
              </w:rPr>
            </w:pPr>
          </w:p>
          <w:p w14:paraId="35F2A6A1">
            <w:pPr>
              <w:spacing w:line="260" w:lineRule="auto"/>
              <w:rPr>
                <w:rFonts w:ascii="Arial"/>
                <w:sz w:val="21"/>
              </w:rPr>
            </w:pPr>
          </w:p>
          <w:p w14:paraId="629C9F3A">
            <w:pPr>
              <w:pStyle w:val="6"/>
              <w:spacing w:before="65" w:line="229" w:lineRule="auto"/>
              <w:ind w:right="3"/>
              <w:jc w:val="right"/>
            </w:pPr>
            <w:r>
              <w:rPr>
                <w:spacing w:val="4"/>
              </w:rPr>
              <w:t>氨气、硫化氢、</w:t>
            </w:r>
          </w:p>
          <w:p w14:paraId="161586EA">
            <w:pPr>
              <w:pStyle w:val="6"/>
              <w:spacing w:before="23" w:line="228" w:lineRule="auto"/>
              <w:ind w:left="371"/>
            </w:pPr>
            <w:r>
              <w:rPr>
                <w:spacing w:val="7"/>
              </w:rPr>
              <w:t>臭气浓度</w:t>
            </w:r>
          </w:p>
        </w:tc>
        <w:tc>
          <w:tcPr>
            <w:tcW w:w="859" w:type="dxa"/>
            <w:vAlign w:val="top"/>
          </w:tcPr>
          <w:p w14:paraId="1EBE468E">
            <w:pPr>
              <w:spacing w:line="355" w:lineRule="auto"/>
              <w:rPr>
                <w:rFonts w:ascii="Arial"/>
                <w:sz w:val="21"/>
              </w:rPr>
            </w:pPr>
          </w:p>
          <w:p w14:paraId="1344268F">
            <w:pPr>
              <w:spacing w:before="57"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73" w:type="dxa"/>
            <w:vMerge w:val="restart"/>
            <w:tcBorders>
              <w:bottom w:val="nil"/>
            </w:tcBorders>
            <w:vAlign w:val="top"/>
          </w:tcPr>
          <w:p w14:paraId="34360976">
            <w:pPr>
              <w:spacing w:line="313" w:lineRule="auto"/>
              <w:rPr>
                <w:rFonts w:ascii="Arial"/>
                <w:sz w:val="21"/>
              </w:rPr>
            </w:pPr>
          </w:p>
          <w:p w14:paraId="2593C527">
            <w:pPr>
              <w:spacing w:line="313" w:lineRule="auto"/>
              <w:rPr>
                <w:rFonts w:ascii="Arial"/>
                <w:sz w:val="21"/>
              </w:rPr>
            </w:pPr>
          </w:p>
          <w:p w14:paraId="2742F514">
            <w:pPr>
              <w:pStyle w:val="6"/>
              <w:spacing w:before="65" w:line="274" w:lineRule="exact"/>
              <w:ind w:left="135"/>
            </w:pPr>
            <w:r>
              <w:rPr>
                <w:spacing w:val="4"/>
                <w:position w:val="2"/>
              </w:rPr>
              <w:t>氨</w:t>
            </w:r>
            <w:r>
              <w:rPr>
                <w:rFonts w:ascii="Times New Roman" w:hAnsi="Times New Roman" w:eastAsia="Times New Roman" w:cs="Times New Roman"/>
                <w:spacing w:val="4"/>
                <w:position w:val="2"/>
              </w:rPr>
              <w:t xml:space="preserve">≤0.06 </w:t>
            </w:r>
            <w:r>
              <w:rPr>
                <w:rFonts w:ascii="Times New Roman" w:hAnsi="Times New Roman" w:eastAsia="Times New Roman" w:cs="Times New Roman"/>
                <w:position w:val="2"/>
              </w:rPr>
              <w:t>mg</w:t>
            </w:r>
            <w:r>
              <w:rPr>
                <w:rFonts w:ascii="Times New Roman" w:hAnsi="Times New Roman" w:eastAsia="Times New Roman" w:cs="Times New Roman"/>
                <w:spacing w:val="4"/>
                <w:position w:val="2"/>
              </w:rPr>
              <w:t>/m</w:t>
            </w:r>
            <w:r>
              <w:rPr>
                <w:rFonts w:ascii="Times New Roman" w:hAnsi="Times New Roman" w:eastAsia="Times New Roman" w:cs="Times New Roman"/>
                <w:spacing w:val="4"/>
                <w:position w:val="8"/>
                <w:sz w:val="13"/>
                <w:szCs w:val="13"/>
              </w:rPr>
              <w:t>3</w:t>
            </w:r>
            <w:r>
              <w:rPr>
                <w:rFonts w:ascii="Times New Roman" w:hAnsi="Times New Roman" w:eastAsia="Times New Roman" w:cs="Times New Roman"/>
                <w:spacing w:val="-11"/>
                <w:position w:val="8"/>
                <w:sz w:val="13"/>
                <w:szCs w:val="13"/>
              </w:rPr>
              <w:t xml:space="preserve"> </w:t>
            </w:r>
            <w:r>
              <w:rPr>
                <w:spacing w:val="4"/>
                <w:position w:val="2"/>
              </w:rPr>
              <w:t>、硫</w:t>
            </w:r>
          </w:p>
          <w:p w14:paraId="78EA2611">
            <w:pPr>
              <w:pStyle w:val="6"/>
              <w:spacing w:line="272" w:lineRule="exact"/>
              <w:ind w:left="114"/>
            </w:pPr>
            <w:r>
              <w:rPr>
                <w:spacing w:val="1"/>
                <w:position w:val="2"/>
              </w:rPr>
              <w:t>化氢</w:t>
            </w:r>
            <w:r>
              <w:rPr>
                <w:rFonts w:ascii="Times New Roman" w:hAnsi="Times New Roman" w:eastAsia="Times New Roman" w:cs="Times New Roman"/>
                <w:spacing w:val="1"/>
                <w:position w:val="2"/>
              </w:rPr>
              <w:t xml:space="preserve">≤1.5 </w:t>
            </w:r>
            <w:r>
              <w:rPr>
                <w:rFonts w:ascii="Times New Roman" w:hAnsi="Times New Roman" w:eastAsia="Times New Roman" w:cs="Times New Roman"/>
                <w:position w:val="2"/>
              </w:rPr>
              <w:t>mg</w:t>
            </w:r>
            <w:r>
              <w:rPr>
                <w:rFonts w:ascii="Times New Roman" w:hAnsi="Times New Roman" w:eastAsia="Times New Roman" w:cs="Times New Roman"/>
                <w:spacing w:val="1"/>
                <w:position w:val="2"/>
              </w:rPr>
              <w:t>/m</w:t>
            </w:r>
            <w:r>
              <w:rPr>
                <w:rFonts w:ascii="Times New Roman" w:hAnsi="Times New Roman" w:eastAsia="Times New Roman" w:cs="Times New Roman"/>
                <w:spacing w:val="1"/>
                <w:position w:val="8"/>
                <w:sz w:val="13"/>
                <w:szCs w:val="13"/>
              </w:rPr>
              <w:t>3</w:t>
            </w:r>
            <w:r>
              <w:rPr>
                <w:spacing w:val="1"/>
                <w:position w:val="2"/>
              </w:rPr>
              <w:t>、臭</w:t>
            </w:r>
          </w:p>
          <w:p w14:paraId="4038D438">
            <w:pPr>
              <w:pStyle w:val="6"/>
              <w:spacing w:line="272" w:lineRule="exact"/>
              <w:ind w:left="203"/>
            </w:pPr>
            <w:r>
              <w:rPr>
                <w:spacing w:val="7"/>
                <w:position w:val="1"/>
              </w:rPr>
              <w:t>气浓度</w:t>
            </w:r>
            <w:r>
              <w:rPr>
                <w:rFonts w:ascii="Times New Roman" w:hAnsi="Times New Roman" w:eastAsia="Times New Roman" w:cs="Times New Roman"/>
                <w:spacing w:val="7"/>
                <w:position w:val="1"/>
              </w:rPr>
              <w:t>≤60</w:t>
            </w:r>
            <w:r>
              <w:rPr>
                <w:spacing w:val="7"/>
                <w:position w:val="1"/>
              </w:rPr>
              <w:t>（无量</w:t>
            </w:r>
          </w:p>
          <w:p w14:paraId="4F7919B4">
            <w:pPr>
              <w:pStyle w:val="6"/>
              <w:spacing w:before="30" w:line="231" w:lineRule="auto"/>
              <w:ind w:left="789"/>
            </w:pPr>
            <w:r>
              <w:rPr>
                <w:spacing w:val="-2"/>
              </w:rPr>
              <w:t>纲）</w:t>
            </w:r>
          </w:p>
        </w:tc>
        <w:tc>
          <w:tcPr>
            <w:tcW w:w="3556" w:type="dxa"/>
            <w:vMerge w:val="restart"/>
            <w:tcBorders>
              <w:bottom w:val="nil"/>
            </w:tcBorders>
            <w:vAlign w:val="top"/>
          </w:tcPr>
          <w:p w14:paraId="1B49FE6E">
            <w:pPr>
              <w:pStyle w:val="6"/>
              <w:spacing w:before="179" w:line="222" w:lineRule="auto"/>
              <w:ind w:left="637"/>
            </w:pPr>
            <w:r>
              <w:rPr>
                <w:spacing w:val="7"/>
              </w:rPr>
              <w:t>《恶臭污染物排放标准》</w:t>
            </w:r>
          </w:p>
          <w:p w14:paraId="1EB6D42F">
            <w:pPr>
              <w:pStyle w:val="6"/>
              <w:spacing w:line="274" w:lineRule="exact"/>
              <w:ind w:left="136"/>
            </w:pPr>
            <w:r>
              <w:rPr>
                <w:spacing w:val="6"/>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6"/>
                <w:position w:val="1"/>
              </w:rPr>
              <w:t>14554-93</w:t>
            </w:r>
            <w:r>
              <w:rPr>
                <w:spacing w:val="6"/>
                <w:position w:val="1"/>
              </w:rPr>
              <w:t>）中的厂界二级标准、</w:t>
            </w:r>
          </w:p>
          <w:p w14:paraId="063B3EB7">
            <w:pPr>
              <w:pStyle w:val="6"/>
              <w:spacing w:before="27" w:line="224" w:lineRule="auto"/>
              <w:ind w:left="323"/>
            </w:pPr>
            <w:r>
              <w:rPr>
                <w:spacing w:val="8"/>
              </w:rPr>
              <w:t>《畜禽养殖业污染物排放标准》</w:t>
            </w:r>
          </w:p>
          <w:p w14:paraId="1251240B">
            <w:pPr>
              <w:pStyle w:val="6"/>
              <w:spacing w:line="274" w:lineRule="exact"/>
              <w:ind w:left="172"/>
            </w:pPr>
            <w:r>
              <w:rPr>
                <w:spacing w:val="6"/>
                <w:position w:val="1"/>
              </w:rPr>
              <w:t>（</w:t>
            </w:r>
            <w:r>
              <w:rPr>
                <w:rFonts w:ascii="Times New Roman" w:hAnsi="Times New Roman" w:eastAsia="Times New Roman" w:cs="Times New Roman"/>
                <w:position w:val="1"/>
              </w:rPr>
              <w:t>DB</w:t>
            </w:r>
            <w:r>
              <w:rPr>
                <w:rFonts w:ascii="Times New Roman" w:hAnsi="Times New Roman" w:eastAsia="Times New Roman" w:cs="Times New Roman"/>
                <w:spacing w:val="6"/>
                <w:position w:val="1"/>
              </w:rPr>
              <w:t>44/613-2009</w:t>
            </w:r>
            <w:r>
              <w:rPr>
                <w:spacing w:val="6"/>
                <w:position w:val="1"/>
              </w:rPr>
              <w:t>）的集约化畜禽养</w:t>
            </w:r>
          </w:p>
          <w:p w14:paraId="37CAB3E9">
            <w:pPr>
              <w:pStyle w:val="6"/>
              <w:spacing w:before="28" w:line="228" w:lineRule="auto"/>
              <w:ind w:left="633"/>
            </w:pPr>
            <w:r>
              <w:rPr>
                <w:spacing w:val="9"/>
              </w:rPr>
              <w:t>殖业恶臭污染物排放标准</w:t>
            </w:r>
          </w:p>
        </w:tc>
      </w:tr>
      <w:tr w14:paraId="29203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01" w:type="dxa"/>
            <w:vMerge w:val="continue"/>
            <w:tcBorders>
              <w:top w:val="nil"/>
              <w:bottom w:val="nil"/>
            </w:tcBorders>
            <w:vAlign w:val="top"/>
          </w:tcPr>
          <w:p w14:paraId="3259D18D">
            <w:pPr>
              <w:rPr>
                <w:rFonts w:ascii="Arial"/>
                <w:sz w:val="21"/>
              </w:rPr>
            </w:pPr>
          </w:p>
        </w:tc>
        <w:tc>
          <w:tcPr>
            <w:tcW w:w="1295" w:type="dxa"/>
            <w:vAlign w:val="top"/>
          </w:tcPr>
          <w:p w14:paraId="3A564DB6">
            <w:pPr>
              <w:pStyle w:val="6"/>
              <w:spacing w:before="48" w:line="228" w:lineRule="auto"/>
              <w:ind w:left="131"/>
            </w:pPr>
            <w:r>
              <w:rPr>
                <w:spacing w:val="7"/>
              </w:rPr>
              <w:t>有机肥发酵</w:t>
            </w:r>
          </w:p>
          <w:p w14:paraId="50C455FF">
            <w:pPr>
              <w:pStyle w:val="6"/>
              <w:spacing w:before="24" w:line="197" w:lineRule="auto"/>
              <w:ind w:left="447"/>
            </w:pPr>
            <w:r>
              <w:rPr>
                <w:spacing w:val="3"/>
              </w:rPr>
              <w:t>车间</w:t>
            </w:r>
          </w:p>
        </w:tc>
        <w:tc>
          <w:tcPr>
            <w:tcW w:w="2958" w:type="dxa"/>
            <w:vAlign w:val="top"/>
          </w:tcPr>
          <w:p w14:paraId="54943732">
            <w:pPr>
              <w:pStyle w:val="6"/>
              <w:spacing w:before="49" w:line="223" w:lineRule="auto"/>
              <w:ind w:left="114" w:right="119" w:hanging="2"/>
            </w:pPr>
            <w:r>
              <w:rPr>
                <w:spacing w:val="9"/>
              </w:rPr>
              <w:t>集污池中加除臭剂，并定期喷</w:t>
            </w:r>
            <w:r>
              <w:rPr>
                <w:spacing w:val="2"/>
              </w:rPr>
              <w:t xml:space="preserve"> </w:t>
            </w:r>
            <w:r>
              <w:rPr>
                <w:spacing w:val="8"/>
              </w:rPr>
              <w:t>洒除臭剂，增加绿化</w:t>
            </w:r>
          </w:p>
        </w:tc>
        <w:tc>
          <w:tcPr>
            <w:tcW w:w="991" w:type="dxa"/>
            <w:vMerge w:val="continue"/>
            <w:tcBorders>
              <w:top w:val="nil"/>
              <w:bottom w:val="nil"/>
            </w:tcBorders>
            <w:vAlign w:val="top"/>
          </w:tcPr>
          <w:p w14:paraId="2A96EB4C">
            <w:pPr>
              <w:rPr>
                <w:rFonts w:ascii="Arial"/>
                <w:sz w:val="21"/>
              </w:rPr>
            </w:pPr>
          </w:p>
        </w:tc>
        <w:tc>
          <w:tcPr>
            <w:tcW w:w="1558" w:type="dxa"/>
            <w:vMerge w:val="continue"/>
            <w:tcBorders>
              <w:top w:val="nil"/>
            </w:tcBorders>
            <w:vAlign w:val="top"/>
          </w:tcPr>
          <w:p w14:paraId="561C686E">
            <w:pPr>
              <w:rPr>
                <w:rFonts w:ascii="Arial"/>
                <w:sz w:val="21"/>
              </w:rPr>
            </w:pPr>
          </w:p>
        </w:tc>
        <w:tc>
          <w:tcPr>
            <w:tcW w:w="859" w:type="dxa"/>
            <w:vAlign w:val="top"/>
          </w:tcPr>
          <w:p w14:paraId="23092C9A">
            <w:pPr>
              <w:spacing w:before="152"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73" w:type="dxa"/>
            <w:vMerge w:val="continue"/>
            <w:tcBorders>
              <w:top w:val="nil"/>
              <w:bottom w:val="nil"/>
            </w:tcBorders>
            <w:vAlign w:val="top"/>
          </w:tcPr>
          <w:p w14:paraId="3BA850E8">
            <w:pPr>
              <w:rPr>
                <w:rFonts w:ascii="Arial"/>
                <w:sz w:val="21"/>
              </w:rPr>
            </w:pPr>
          </w:p>
        </w:tc>
        <w:tc>
          <w:tcPr>
            <w:tcW w:w="3556" w:type="dxa"/>
            <w:vMerge w:val="continue"/>
            <w:tcBorders>
              <w:top w:val="nil"/>
            </w:tcBorders>
            <w:vAlign w:val="top"/>
          </w:tcPr>
          <w:p w14:paraId="65535B53">
            <w:pPr>
              <w:rPr>
                <w:rFonts w:ascii="Arial"/>
                <w:sz w:val="21"/>
              </w:rPr>
            </w:pPr>
          </w:p>
        </w:tc>
      </w:tr>
      <w:tr w14:paraId="52454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701" w:type="dxa"/>
            <w:vMerge w:val="continue"/>
            <w:tcBorders>
              <w:top w:val="nil"/>
              <w:bottom w:val="nil"/>
            </w:tcBorders>
            <w:vAlign w:val="top"/>
          </w:tcPr>
          <w:p w14:paraId="6AC27853">
            <w:pPr>
              <w:rPr>
                <w:rFonts w:ascii="Arial"/>
                <w:sz w:val="21"/>
              </w:rPr>
            </w:pPr>
          </w:p>
        </w:tc>
        <w:tc>
          <w:tcPr>
            <w:tcW w:w="1295" w:type="dxa"/>
            <w:vAlign w:val="top"/>
          </w:tcPr>
          <w:p w14:paraId="646E754D">
            <w:pPr>
              <w:spacing w:line="260" w:lineRule="auto"/>
              <w:rPr>
                <w:rFonts w:ascii="Arial"/>
                <w:sz w:val="21"/>
              </w:rPr>
            </w:pPr>
          </w:p>
          <w:p w14:paraId="3F4C34A2">
            <w:pPr>
              <w:pStyle w:val="6"/>
              <w:spacing w:before="65" w:line="229" w:lineRule="auto"/>
              <w:ind w:left="130"/>
            </w:pPr>
            <w:r>
              <w:rPr>
                <w:spacing w:val="8"/>
              </w:rPr>
              <w:t>饲料加工房</w:t>
            </w:r>
          </w:p>
        </w:tc>
        <w:tc>
          <w:tcPr>
            <w:tcW w:w="2958" w:type="dxa"/>
            <w:vAlign w:val="top"/>
          </w:tcPr>
          <w:p w14:paraId="56037795">
            <w:pPr>
              <w:spacing w:line="260" w:lineRule="auto"/>
              <w:rPr>
                <w:rFonts w:ascii="Arial"/>
                <w:sz w:val="21"/>
              </w:rPr>
            </w:pPr>
          </w:p>
          <w:p w14:paraId="39B3CD33">
            <w:pPr>
              <w:pStyle w:val="6"/>
              <w:spacing w:before="65" w:line="229" w:lineRule="auto"/>
              <w:ind w:left="112"/>
            </w:pPr>
            <w:r>
              <w:rPr>
                <w:spacing w:val="8"/>
              </w:rPr>
              <w:t>饲料加工设备密闭</w:t>
            </w:r>
          </w:p>
        </w:tc>
        <w:tc>
          <w:tcPr>
            <w:tcW w:w="991" w:type="dxa"/>
            <w:vMerge w:val="continue"/>
            <w:tcBorders>
              <w:top w:val="nil"/>
            </w:tcBorders>
            <w:vAlign w:val="top"/>
          </w:tcPr>
          <w:p w14:paraId="5517CF1C">
            <w:pPr>
              <w:rPr>
                <w:rFonts w:ascii="Arial"/>
                <w:sz w:val="21"/>
              </w:rPr>
            </w:pPr>
          </w:p>
        </w:tc>
        <w:tc>
          <w:tcPr>
            <w:tcW w:w="1558" w:type="dxa"/>
            <w:vAlign w:val="top"/>
          </w:tcPr>
          <w:p w14:paraId="5287C6F5">
            <w:pPr>
              <w:spacing w:line="302" w:lineRule="auto"/>
              <w:rPr>
                <w:rFonts w:ascii="Arial"/>
                <w:sz w:val="21"/>
              </w:rPr>
            </w:pPr>
          </w:p>
          <w:p w14:paraId="3CA868C8">
            <w:pPr>
              <w:spacing w:before="58"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859" w:type="dxa"/>
            <w:vAlign w:val="top"/>
          </w:tcPr>
          <w:p w14:paraId="7B7738A8">
            <w:pPr>
              <w:spacing w:before="295"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73" w:type="dxa"/>
            <w:vMerge w:val="continue"/>
            <w:tcBorders>
              <w:top w:val="nil"/>
            </w:tcBorders>
            <w:vAlign w:val="top"/>
          </w:tcPr>
          <w:p w14:paraId="00129471">
            <w:pPr>
              <w:rPr>
                <w:rFonts w:ascii="Arial"/>
                <w:sz w:val="21"/>
              </w:rPr>
            </w:pPr>
          </w:p>
        </w:tc>
        <w:tc>
          <w:tcPr>
            <w:tcW w:w="3556" w:type="dxa"/>
            <w:vAlign w:val="top"/>
          </w:tcPr>
          <w:p w14:paraId="2423E8E4">
            <w:pPr>
              <w:pStyle w:val="6"/>
              <w:spacing w:before="55" w:line="222" w:lineRule="auto"/>
              <w:ind w:left="317"/>
            </w:pPr>
            <w:r>
              <w:rPr>
                <w:spacing w:val="8"/>
              </w:rPr>
              <w:t>广东省《大气污染物排放限值》</w:t>
            </w:r>
          </w:p>
          <w:p w14:paraId="5BAC2058">
            <w:pPr>
              <w:pStyle w:val="6"/>
              <w:spacing w:line="274" w:lineRule="exact"/>
              <w:ind w:left="136"/>
            </w:pPr>
            <w:r>
              <w:rPr>
                <w:spacing w:val="5"/>
                <w:position w:val="1"/>
              </w:rPr>
              <w:t>（</w:t>
            </w:r>
            <w:r>
              <w:rPr>
                <w:rFonts w:ascii="Times New Roman" w:hAnsi="Times New Roman" w:eastAsia="Times New Roman" w:cs="Times New Roman"/>
                <w:position w:val="1"/>
              </w:rPr>
              <w:t>DB</w:t>
            </w:r>
            <w:r>
              <w:rPr>
                <w:rFonts w:ascii="Times New Roman" w:hAnsi="Times New Roman" w:eastAsia="Times New Roman" w:cs="Times New Roman"/>
                <w:spacing w:val="5"/>
                <w:position w:val="1"/>
              </w:rPr>
              <w:t>44/27-2001</w:t>
            </w:r>
            <w:r>
              <w:rPr>
                <w:spacing w:val="5"/>
                <w:position w:val="1"/>
              </w:rPr>
              <w:t>）第二时段无组织排</w:t>
            </w:r>
          </w:p>
          <w:p w14:paraId="75D6F507">
            <w:pPr>
              <w:pStyle w:val="6"/>
              <w:spacing w:before="30" w:line="187" w:lineRule="auto"/>
              <w:ind w:left="1472"/>
            </w:pPr>
            <w:r>
              <w:rPr>
                <w:spacing w:val="6"/>
              </w:rPr>
              <w:t>放标准</w:t>
            </w:r>
          </w:p>
        </w:tc>
      </w:tr>
      <w:tr w14:paraId="7BCA4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701" w:type="dxa"/>
            <w:vMerge w:val="continue"/>
            <w:tcBorders>
              <w:top w:val="nil"/>
            </w:tcBorders>
            <w:vAlign w:val="top"/>
          </w:tcPr>
          <w:p w14:paraId="633817C8">
            <w:pPr>
              <w:rPr>
                <w:rFonts w:ascii="Arial"/>
                <w:sz w:val="21"/>
              </w:rPr>
            </w:pPr>
          </w:p>
        </w:tc>
        <w:tc>
          <w:tcPr>
            <w:tcW w:w="1295" w:type="dxa"/>
            <w:vAlign w:val="top"/>
          </w:tcPr>
          <w:p w14:paraId="54B6EECD">
            <w:pPr>
              <w:pStyle w:val="6"/>
              <w:spacing w:before="304" w:line="228" w:lineRule="auto"/>
              <w:ind w:left="133"/>
            </w:pPr>
            <w:r>
              <w:rPr>
                <w:spacing w:val="7"/>
              </w:rPr>
              <w:t>备用发电机</w:t>
            </w:r>
          </w:p>
          <w:p w14:paraId="5484A864">
            <w:pPr>
              <w:pStyle w:val="6"/>
              <w:spacing w:before="24" w:line="229" w:lineRule="auto"/>
              <w:ind w:left="551"/>
            </w:pPr>
            <w:r>
              <w:t>房</w:t>
            </w:r>
          </w:p>
        </w:tc>
        <w:tc>
          <w:tcPr>
            <w:tcW w:w="2958" w:type="dxa"/>
            <w:vAlign w:val="top"/>
          </w:tcPr>
          <w:p w14:paraId="306AF1BA">
            <w:pPr>
              <w:spacing w:line="375" w:lineRule="auto"/>
              <w:rPr>
                <w:rFonts w:ascii="Arial"/>
                <w:sz w:val="21"/>
              </w:rPr>
            </w:pPr>
          </w:p>
          <w:p w14:paraId="2A59B6FE">
            <w:pPr>
              <w:pStyle w:val="6"/>
              <w:spacing w:before="65" w:line="228" w:lineRule="auto"/>
              <w:ind w:left="114"/>
            </w:pPr>
            <w:r>
              <w:rPr>
                <w:spacing w:val="8"/>
              </w:rPr>
              <w:t>经专用排气筒排放</w:t>
            </w:r>
          </w:p>
        </w:tc>
        <w:tc>
          <w:tcPr>
            <w:tcW w:w="991" w:type="dxa"/>
            <w:vAlign w:val="top"/>
          </w:tcPr>
          <w:p w14:paraId="05B412B4">
            <w:pPr>
              <w:spacing w:line="344" w:lineRule="auto"/>
              <w:rPr>
                <w:rFonts w:ascii="Arial"/>
                <w:sz w:val="21"/>
              </w:rPr>
            </w:pPr>
          </w:p>
          <w:p w14:paraId="12DC5FA4">
            <w:pPr>
              <w:pStyle w:val="6"/>
              <w:spacing w:before="65" w:line="274" w:lineRule="exact"/>
              <w:ind w:left="118"/>
              <w:rPr>
                <w:rFonts w:ascii="Times New Roman" w:hAnsi="Times New Roman" w:eastAsia="Times New Roman" w:cs="Times New Roman"/>
              </w:rPr>
            </w:pPr>
            <w:r>
              <w:rPr>
                <w:spacing w:val="5"/>
                <w:position w:val="1"/>
              </w:rPr>
              <w:t>排气筒</w:t>
            </w:r>
            <w:r>
              <w:rPr>
                <w:spacing w:val="-33"/>
                <w:position w:val="1"/>
              </w:rPr>
              <w:t xml:space="preserve"> </w:t>
            </w:r>
            <w:r>
              <w:rPr>
                <w:rFonts w:ascii="Times New Roman" w:hAnsi="Times New Roman" w:eastAsia="Times New Roman" w:cs="Times New Roman"/>
                <w:spacing w:val="5"/>
                <w:position w:val="1"/>
              </w:rPr>
              <w:t>1</w:t>
            </w:r>
          </w:p>
        </w:tc>
        <w:tc>
          <w:tcPr>
            <w:tcW w:w="1558" w:type="dxa"/>
            <w:vAlign w:val="top"/>
          </w:tcPr>
          <w:p w14:paraId="4E3ACB5D">
            <w:pPr>
              <w:pStyle w:val="6"/>
              <w:spacing w:before="305" w:line="271" w:lineRule="exact"/>
              <w:ind w:left="126"/>
            </w:pPr>
            <w:r>
              <w:rPr>
                <w:rFonts w:ascii="Times New Roman" w:hAnsi="Times New Roman" w:eastAsia="Times New Roman" w:cs="Times New Roman"/>
                <w:spacing w:val="-3"/>
                <w:position w:val="1"/>
              </w:rPr>
              <w:t>SO</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4"/>
                <w:sz w:val="13"/>
                <w:szCs w:val="13"/>
              </w:rPr>
              <w:t xml:space="preserve"> </w:t>
            </w:r>
            <w:r>
              <w:rPr>
                <w:spacing w:val="-3"/>
                <w:position w:val="1"/>
              </w:rPr>
              <w:t>、</w:t>
            </w:r>
            <w:r>
              <w:rPr>
                <w:rFonts w:ascii="Times New Roman" w:hAnsi="Times New Roman" w:eastAsia="Times New Roman" w:cs="Times New Roman"/>
                <w:spacing w:val="-3"/>
                <w:position w:val="1"/>
              </w:rPr>
              <w:t>NO</w:t>
            </w:r>
            <w:r>
              <w:rPr>
                <w:rFonts w:ascii="Times New Roman" w:hAnsi="Times New Roman" w:eastAsia="Times New Roman" w:cs="Times New Roman"/>
                <w:spacing w:val="-3"/>
                <w:sz w:val="13"/>
                <w:szCs w:val="13"/>
              </w:rPr>
              <w:t>X</w:t>
            </w:r>
            <w:r>
              <w:rPr>
                <w:rFonts w:ascii="Times New Roman" w:hAnsi="Times New Roman" w:eastAsia="Times New Roman" w:cs="Times New Roman"/>
                <w:spacing w:val="-10"/>
                <w:sz w:val="13"/>
                <w:szCs w:val="13"/>
              </w:rPr>
              <w:t xml:space="preserve"> </w:t>
            </w:r>
            <w:r>
              <w:rPr>
                <w:spacing w:val="-3"/>
                <w:position w:val="1"/>
              </w:rPr>
              <w:t>、烟</w:t>
            </w:r>
          </w:p>
          <w:p w14:paraId="3FB1DDE4">
            <w:pPr>
              <w:pStyle w:val="6"/>
              <w:spacing w:line="234" w:lineRule="auto"/>
              <w:ind w:left="687"/>
            </w:pPr>
            <w:r>
              <w:t>尘</w:t>
            </w:r>
          </w:p>
        </w:tc>
        <w:tc>
          <w:tcPr>
            <w:tcW w:w="859" w:type="dxa"/>
            <w:vAlign w:val="top"/>
          </w:tcPr>
          <w:p w14:paraId="39B3FDB2">
            <w:pPr>
              <w:spacing w:line="351" w:lineRule="auto"/>
              <w:rPr>
                <w:rFonts w:ascii="Arial"/>
                <w:sz w:val="21"/>
              </w:rPr>
            </w:pPr>
          </w:p>
          <w:p w14:paraId="549B345A">
            <w:pPr>
              <w:spacing w:before="58"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73" w:type="dxa"/>
            <w:vAlign w:val="top"/>
          </w:tcPr>
          <w:p w14:paraId="57635ADF">
            <w:pPr>
              <w:pStyle w:val="6"/>
              <w:spacing w:before="64" w:line="209" w:lineRule="auto"/>
              <w:ind w:left="157"/>
            </w:pPr>
            <w:r>
              <w:rPr>
                <w:spacing w:val="8"/>
              </w:rPr>
              <w:t>排放监控浓度限值</w:t>
            </w:r>
          </w:p>
          <w:p w14:paraId="4F6C6410">
            <w:pPr>
              <w:spacing w:line="257" w:lineRule="exact"/>
              <w:ind w:left="339"/>
              <w:rPr>
                <w:rFonts w:ascii="Times New Roman" w:hAnsi="Times New Roman" w:eastAsia="Times New Roman" w:cs="Times New Roman"/>
                <w:sz w:val="13"/>
                <w:szCs w:val="13"/>
              </w:rPr>
            </w:pPr>
            <w:r>
              <w:rPr>
                <w:rFonts w:ascii="Times New Roman" w:hAnsi="Times New Roman" w:eastAsia="Times New Roman" w:cs="Times New Roman"/>
                <w:position w:val="2"/>
                <w:sz w:val="20"/>
                <w:szCs w:val="20"/>
              </w:rPr>
              <w:t>SO</w:t>
            </w:r>
            <w:r>
              <w:rPr>
                <w:rFonts w:ascii="Times New Roman" w:hAnsi="Times New Roman" w:eastAsia="Times New Roman" w:cs="Times New Roman"/>
                <w:spacing w:val="6"/>
                <w:sz w:val="13"/>
                <w:szCs w:val="13"/>
              </w:rPr>
              <w:t>2</w:t>
            </w:r>
            <w:r>
              <w:rPr>
                <w:rFonts w:ascii="Times New Roman" w:hAnsi="Times New Roman" w:eastAsia="Times New Roman" w:cs="Times New Roman"/>
                <w:spacing w:val="6"/>
                <w:position w:val="2"/>
                <w:sz w:val="20"/>
                <w:szCs w:val="20"/>
              </w:rPr>
              <w:t>≤500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/m</w:t>
            </w:r>
            <w:r>
              <w:rPr>
                <w:rFonts w:ascii="Times New Roman" w:hAnsi="Times New Roman" w:eastAsia="Times New Roman" w:cs="Times New Roman"/>
                <w:spacing w:val="6"/>
                <w:position w:val="8"/>
                <w:sz w:val="13"/>
                <w:szCs w:val="13"/>
              </w:rPr>
              <w:t>3</w:t>
            </w:r>
          </w:p>
          <w:p w14:paraId="70909C7B">
            <w:pPr>
              <w:spacing w:line="248" w:lineRule="exact"/>
              <w:ind w:left="288"/>
              <w:rPr>
                <w:rFonts w:ascii="Times New Roman" w:hAnsi="Times New Roman" w:eastAsia="Times New Roman" w:cs="Times New Roman"/>
                <w:sz w:val="13"/>
                <w:szCs w:val="13"/>
              </w:rPr>
            </w:pPr>
            <w:r>
              <w:rPr>
                <w:rFonts w:ascii="Times New Roman" w:hAnsi="Times New Roman" w:eastAsia="Times New Roman" w:cs="Times New Roman"/>
                <w:position w:val="2"/>
                <w:sz w:val="20"/>
                <w:szCs w:val="20"/>
              </w:rPr>
              <w:t>NOx</w:t>
            </w:r>
            <w:r>
              <w:rPr>
                <w:rFonts w:ascii="Times New Roman" w:hAnsi="Times New Roman" w:eastAsia="Times New Roman" w:cs="Times New Roman"/>
                <w:spacing w:val="10"/>
                <w:position w:val="2"/>
                <w:sz w:val="20"/>
                <w:szCs w:val="20"/>
              </w:rPr>
              <w:t>≤120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10"/>
                <w:position w:val="2"/>
                <w:sz w:val="20"/>
                <w:szCs w:val="20"/>
              </w:rPr>
              <w:t>/m</w:t>
            </w:r>
            <w:r>
              <w:rPr>
                <w:rFonts w:ascii="Times New Roman" w:hAnsi="Times New Roman" w:eastAsia="Times New Roman" w:cs="Times New Roman"/>
                <w:spacing w:val="10"/>
                <w:position w:val="8"/>
                <w:sz w:val="13"/>
                <w:szCs w:val="13"/>
              </w:rPr>
              <w:t>3</w:t>
            </w:r>
          </w:p>
          <w:p w14:paraId="09F8A520">
            <w:pPr>
              <w:pStyle w:val="6"/>
              <w:spacing w:line="197" w:lineRule="auto"/>
              <w:ind w:left="246"/>
              <w:rPr>
                <w:rFonts w:ascii="Times New Roman" w:hAnsi="Times New Roman" w:eastAsia="Times New Roman" w:cs="Times New Roman"/>
                <w:sz w:val="13"/>
                <w:szCs w:val="13"/>
              </w:rPr>
            </w:pPr>
            <w:r>
              <w:rPr>
                <w:spacing w:val="7"/>
              </w:rPr>
              <w:t>烟尘≤</w:t>
            </w:r>
            <w:r>
              <w:rPr>
                <w:rFonts w:ascii="Times New Roman" w:hAnsi="Times New Roman" w:eastAsia="Times New Roman" w:cs="Times New Roman"/>
                <w:spacing w:val="7"/>
              </w:rPr>
              <w:t>120</w:t>
            </w:r>
            <w:r>
              <w:rPr>
                <w:rFonts w:ascii="Times New Roman" w:hAnsi="Times New Roman" w:eastAsia="Times New Roman" w:cs="Times New Roman"/>
              </w:rPr>
              <w:t>mg</w:t>
            </w:r>
            <w:r>
              <w:rPr>
                <w:rFonts w:ascii="Times New Roman" w:hAnsi="Times New Roman" w:eastAsia="Times New Roman" w:cs="Times New Roman"/>
                <w:spacing w:val="7"/>
              </w:rPr>
              <w:t>/m</w:t>
            </w:r>
            <w:r>
              <w:rPr>
                <w:rFonts w:ascii="Times New Roman" w:hAnsi="Times New Roman" w:eastAsia="Times New Roman" w:cs="Times New Roman"/>
                <w:spacing w:val="7"/>
                <w:position w:val="6"/>
                <w:sz w:val="13"/>
                <w:szCs w:val="13"/>
              </w:rPr>
              <w:t>3</w:t>
            </w:r>
          </w:p>
        </w:tc>
        <w:tc>
          <w:tcPr>
            <w:tcW w:w="3556" w:type="dxa"/>
            <w:vAlign w:val="top"/>
          </w:tcPr>
          <w:p w14:paraId="06F8282A">
            <w:pPr>
              <w:pStyle w:val="6"/>
              <w:spacing w:before="168" w:line="222" w:lineRule="auto"/>
              <w:ind w:left="317"/>
            </w:pPr>
            <w:r>
              <w:rPr>
                <w:spacing w:val="8"/>
              </w:rPr>
              <w:t>广东省《大气污染物排放限值》</w:t>
            </w:r>
          </w:p>
          <w:p w14:paraId="2B57ACC2">
            <w:pPr>
              <w:pStyle w:val="6"/>
              <w:spacing w:line="274" w:lineRule="exact"/>
              <w:ind w:left="136"/>
            </w:pPr>
            <w:r>
              <w:rPr>
                <w:spacing w:val="5"/>
                <w:position w:val="1"/>
              </w:rPr>
              <w:t>（</w:t>
            </w:r>
            <w:r>
              <w:rPr>
                <w:rFonts w:ascii="Times New Roman" w:hAnsi="Times New Roman" w:eastAsia="Times New Roman" w:cs="Times New Roman"/>
                <w:position w:val="1"/>
              </w:rPr>
              <w:t>DB</w:t>
            </w:r>
            <w:r>
              <w:rPr>
                <w:rFonts w:ascii="Times New Roman" w:hAnsi="Times New Roman" w:eastAsia="Times New Roman" w:cs="Times New Roman"/>
                <w:spacing w:val="5"/>
                <w:position w:val="1"/>
              </w:rPr>
              <w:t>44/27-2001</w:t>
            </w:r>
            <w:r>
              <w:rPr>
                <w:spacing w:val="5"/>
                <w:position w:val="1"/>
              </w:rPr>
              <w:t>）第二时段二级标准</w:t>
            </w:r>
          </w:p>
          <w:p w14:paraId="6A7DB8DA">
            <w:pPr>
              <w:pStyle w:val="6"/>
              <w:spacing w:before="30" w:line="228" w:lineRule="auto"/>
              <w:ind w:left="1592"/>
            </w:pPr>
            <w:r>
              <w:rPr>
                <w:spacing w:val="-3"/>
              </w:rPr>
              <w:t>限值</w:t>
            </w:r>
          </w:p>
        </w:tc>
      </w:tr>
      <w:tr w14:paraId="2D07C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701" w:type="dxa"/>
            <w:vAlign w:val="top"/>
          </w:tcPr>
          <w:p w14:paraId="0E1E8D29">
            <w:pPr>
              <w:spacing w:line="276" w:lineRule="auto"/>
              <w:rPr>
                <w:rFonts w:ascii="Arial"/>
                <w:sz w:val="21"/>
              </w:rPr>
            </w:pPr>
          </w:p>
          <w:p w14:paraId="7FD20D9F">
            <w:pPr>
              <w:pStyle w:val="6"/>
              <w:spacing w:before="65" w:line="228" w:lineRule="auto"/>
              <w:ind w:left="149"/>
            </w:pPr>
            <w:r>
              <w:rPr>
                <w:spacing w:val="5"/>
              </w:rPr>
              <w:t>废水</w:t>
            </w:r>
          </w:p>
        </w:tc>
        <w:tc>
          <w:tcPr>
            <w:tcW w:w="1295" w:type="dxa"/>
            <w:vAlign w:val="top"/>
          </w:tcPr>
          <w:p w14:paraId="3C92EF55">
            <w:pPr>
              <w:spacing w:line="276" w:lineRule="auto"/>
              <w:rPr>
                <w:rFonts w:ascii="Arial"/>
                <w:sz w:val="21"/>
              </w:rPr>
            </w:pPr>
          </w:p>
          <w:p w14:paraId="0AF2B4BF">
            <w:pPr>
              <w:pStyle w:val="6"/>
              <w:spacing w:before="65" w:line="228" w:lineRule="auto"/>
              <w:ind w:left="444"/>
            </w:pPr>
            <w:r>
              <w:rPr>
                <w:spacing w:val="5"/>
              </w:rPr>
              <w:t>废水</w:t>
            </w:r>
          </w:p>
        </w:tc>
        <w:tc>
          <w:tcPr>
            <w:tcW w:w="2958" w:type="dxa"/>
            <w:vAlign w:val="top"/>
          </w:tcPr>
          <w:p w14:paraId="38518C7F">
            <w:pPr>
              <w:pStyle w:val="6"/>
              <w:spacing w:before="71" w:line="224" w:lineRule="auto"/>
              <w:ind w:left="112" w:right="119" w:firstLine="4"/>
              <w:jc w:val="both"/>
            </w:pPr>
            <w:r>
              <w:rPr>
                <w:spacing w:val="8"/>
              </w:rPr>
              <w:t>与猪只粪便一起收集后，经异</w:t>
            </w:r>
            <w:r>
              <w:rPr>
                <w:spacing w:val="11"/>
              </w:rPr>
              <w:t xml:space="preserve"> </w:t>
            </w:r>
            <w:r>
              <w:rPr>
                <w:spacing w:val="9"/>
              </w:rPr>
              <w:t>位发酵床发酵成有机肥半成品</w:t>
            </w:r>
            <w:r>
              <w:rPr>
                <w:spacing w:val="2"/>
              </w:rPr>
              <w:t xml:space="preserve"> </w:t>
            </w:r>
            <w:r>
              <w:rPr>
                <w:spacing w:val="4"/>
              </w:rPr>
              <w:t>外售</w:t>
            </w:r>
          </w:p>
        </w:tc>
        <w:tc>
          <w:tcPr>
            <w:tcW w:w="991" w:type="dxa"/>
            <w:vAlign w:val="top"/>
          </w:tcPr>
          <w:p w14:paraId="79AA7F08">
            <w:pPr>
              <w:spacing w:line="252" w:lineRule="auto"/>
              <w:rPr>
                <w:rFonts w:ascii="Arial"/>
                <w:sz w:val="21"/>
              </w:rPr>
            </w:pPr>
          </w:p>
          <w:p w14:paraId="6D666E81">
            <w:pPr>
              <w:spacing w:before="58" w:line="274"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8" w:type="dxa"/>
            <w:vAlign w:val="top"/>
          </w:tcPr>
          <w:p w14:paraId="23FDF646">
            <w:pPr>
              <w:spacing w:line="252" w:lineRule="auto"/>
              <w:rPr>
                <w:rFonts w:ascii="Arial"/>
                <w:sz w:val="21"/>
              </w:rPr>
            </w:pPr>
          </w:p>
          <w:p w14:paraId="6C657A49">
            <w:pPr>
              <w:spacing w:before="58" w:line="274" w:lineRule="exact"/>
              <w:ind w:left="7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59" w:type="dxa"/>
            <w:vAlign w:val="top"/>
          </w:tcPr>
          <w:p w14:paraId="2E3FF82E">
            <w:pPr>
              <w:spacing w:line="252" w:lineRule="auto"/>
              <w:rPr>
                <w:rFonts w:ascii="Arial"/>
                <w:sz w:val="21"/>
              </w:rPr>
            </w:pPr>
          </w:p>
          <w:p w14:paraId="3E9ED039">
            <w:pPr>
              <w:spacing w:before="58"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73" w:type="dxa"/>
            <w:vAlign w:val="top"/>
          </w:tcPr>
          <w:p w14:paraId="0E18DCEF">
            <w:pPr>
              <w:spacing w:line="252" w:lineRule="auto"/>
              <w:rPr>
                <w:rFonts w:ascii="Arial"/>
                <w:sz w:val="21"/>
              </w:rPr>
            </w:pPr>
          </w:p>
          <w:p w14:paraId="2170CC9F">
            <w:pPr>
              <w:spacing w:before="58" w:line="274" w:lineRule="exact"/>
              <w:ind w:left="9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556" w:type="dxa"/>
            <w:vAlign w:val="top"/>
          </w:tcPr>
          <w:p w14:paraId="4483205E">
            <w:pPr>
              <w:pStyle w:val="6"/>
              <w:spacing w:before="71" w:line="222" w:lineRule="auto"/>
              <w:ind w:left="323"/>
            </w:pPr>
            <w:r>
              <w:rPr>
                <w:spacing w:val="8"/>
              </w:rPr>
              <w:t>《畜禽养殖业污染物排放标准》</w:t>
            </w:r>
          </w:p>
          <w:p w14:paraId="4465233C">
            <w:pPr>
              <w:pStyle w:val="6"/>
              <w:spacing w:line="274" w:lineRule="exact"/>
              <w:ind w:left="172"/>
            </w:pPr>
            <w:r>
              <w:rPr>
                <w:spacing w:val="6"/>
                <w:position w:val="1"/>
              </w:rPr>
              <w:t>（</w:t>
            </w:r>
            <w:r>
              <w:rPr>
                <w:rFonts w:ascii="Times New Roman" w:hAnsi="Times New Roman" w:eastAsia="Times New Roman" w:cs="Times New Roman"/>
                <w:position w:val="1"/>
              </w:rPr>
              <w:t>DB</w:t>
            </w:r>
            <w:r>
              <w:rPr>
                <w:rFonts w:ascii="Times New Roman" w:hAnsi="Times New Roman" w:eastAsia="Times New Roman" w:cs="Times New Roman"/>
                <w:spacing w:val="6"/>
                <w:position w:val="1"/>
              </w:rPr>
              <w:t>44/613-2009</w:t>
            </w:r>
            <w:r>
              <w:rPr>
                <w:spacing w:val="6"/>
                <w:position w:val="1"/>
              </w:rPr>
              <w:t>）中的畜禽养殖业</w:t>
            </w:r>
          </w:p>
          <w:p w14:paraId="3FDD7A8A">
            <w:pPr>
              <w:pStyle w:val="6"/>
              <w:spacing w:before="27" w:line="171" w:lineRule="auto"/>
              <w:ind w:left="842"/>
            </w:pPr>
            <w:r>
              <w:rPr>
                <w:spacing w:val="9"/>
              </w:rPr>
              <w:t>废渣无害化环境标准</w:t>
            </w:r>
          </w:p>
        </w:tc>
      </w:tr>
      <w:tr w14:paraId="1715B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8" w:hRule="atLeast"/>
        </w:trPr>
        <w:tc>
          <w:tcPr>
            <w:tcW w:w="701" w:type="dxa"/>
            <w:vAlign w:val="top"/>
          </w:tcPr>
          <w:p w14:paraId="3262A362">
            <w:pPr>
              <w:spacing w:line="344" w:lineRule="auto"/>
              <w:rPr>
                <w:rFonts w:ascii="Arial"/>
                <w:sz w:val="21"/>
              </w:rPr>
            </w:pPr>
          </w:p>
          <w:p w14:paraId="44C67138">
            <w:pPr>
              <w:spacing w:line="344" w:lineRule="auto"/>
              <w:rPr>
                <w:rFonts w:ascii="Arial"/>
                <w:sz w:val="21"/>
              </w:rPr>
            </w:pPr>
          </w:p>
          <w:p w14:paraId="5D5460E2">
            <w:pPr>
              <w:pStyle w:val="6"/>
              <w:spacing w:before="65" w:line="229" w:lineRule="auto"/>
              <w:ind w:left="160"/>
            </w:pPr>
            <w:r>
              <w:rPr>
                <w:spacing w:val="-1"/>
              </w:rPr>
              <w:t>噪声</w:t>
            </w:r>
          </w:p>
        </w:tc>
        <w:tc>
          <w:tcPr>
            <w:tcW w:w="1295" w:type="dxa"/>
            <w:vAlign w:val="top"/>
          </w:tcPr>
          <w:p w14:paraId="15C57DA8">
            <w:pPr>
              <w:pStyle w:val="6"/>
              <w:spacing w:before="78" w:line="228" w:lineRule="auto"/>
              <w:ind w:left="133"/>
            </w:pPr>
            <w:r>
              <w:rPr>
                <w:spacing w:val="7"/>
              </w:rPr>
              <w:t>水泵房、风</w:t>
            </w:r>
          </w:p>
          <w:p w14:paraId="6DA44E61">
            <w:pPr>
              <w:pStyle w:val="6"/>
              <w:spacing w:before="23" w:line="228" w:lineRule="auto"/>
              <w:ind w:left="130"/>
            </w:pPr>
            <w:r>
              <w:rPr>
                <w:spacing w:val="8"/>
              </w:rPr>
              <w:t>机噪声、无</w:t>
            </w:r>
          </w:p>
          <w:p w14:paraId="4BA8AC6A">
            <w:pPr>
              <w:pStyle w:val="6"/>
              <w:spacing w:before="26" w:line="228" w:lineRule="auto"/>
              <w:ind w:left="135"/>
            </w:pPr>
            <w:r>
              <w:rPr>
                <w:spacing w:val="7"/>
              </w:rPr>
              <w:t>害化降解机</w:t>
            </w:r>
          </w:p>
          <w:p w14:paraId="44C34D53">
            <w:pPr>
              <w:pStyle w:val="6"/>
              <w:spacing w:before="27" w:line="229" w:lineRule="auto"/>
              <w:ind w:left="140"/>
            </w:pPr>
            <w:r>
              <w:rPr>
                <w:spacing w:val="6"/>
              </w:rPr>
              <w:t>噪声、发电</w:t>
            </w:r>
          </w:p>
          <w:p w14:paraId="5EEB6F5E">
            <w:pPr>
              <w:pStyle w:val="6"/>
              <w:spacing w:before="22" w:line="228" w:lineRule="auto"/>
              <w:ind w:left="130"/>
            </w:pPr>
            <w:r>
              <w:rPr>
                <w:spacing w:val="8"/>
              </w:rPr>
              <w:t>机噪声、猪</w:t>
            </w:r>
          </w:p>
          <w:p w14:paraId="451C502D">
            <w:pPr>
              <w:pStyle w:val="6"/>
              <w:spacing w:before="24" w:line="169" w:lineRule="exact"/>
              <w:ind w:left="339"/>
            </w:pPr>
            <w:r>
              <w:rPr>
                <w:spacing w:val="6"/>
                <w:position w:val="-3"/>
              </w:rPr>
              <w:t>群叫声</w:t>
            </w:r>
          </w:p>
        </w:tc>
        <w:tc>
          <w:tcPr>
            <w:tcW w:w="2958" w:type="dxa"/>
            <w:vAlign w:val="top"/>
          </w:tcPr>
          <w:p w14:paraId="5DA07D0F">
            <w:pPr>
              <w:spacing w:line="277" w:lineRule="auto"/>
              <w:rPr>
                <w:rFonts w:ascii="Arial"/>
                <w:sz w:val="21"/>
              </w:rPr>
            </w:pPr>
          </w:p>
          <w:p w14:paraId="4FB95A17">
            <w:pPr>
              <w:spacing w:line="277" w:lineRule="auto"/>
              <w:rPr>
                <w:rFonts w:ascii="Arial"/>
                <w:sz w:val="21"/>
              </w:rPr>
            </w:pPr>
          </w:p>
          <w:p w14:paraId="7A85DAA0">
            <w:pPr>
              <w:pStyle w:val="6"/>
              <w:spacing w:before="65" w:line="252" w:lineRule="auto"/>
              <w:ind w:left="123" w:right="46" w:firstLine="1"/>
            </w:pPr>
            <w:r>
              <w:rPr>
                <w:spacing w:val="-2"/>
              </w:rPr>
              <w:t>隔声将降噪、选用低噪声设备，</w:t>
            </w:r>
            <w:r>
              <w:rPr>
                <w:spacing w:val="8"/>
              </w:rPr>
              <w:t xml:space="preserve"> 喂饱猪只，减少饥饿发出噪声</w:t>
            </w:r>
          </w:p>
        </w:tc>
        <w:tc>
          <w:tcPr>
            <w:tcW w:w="991" w:type="dxa"/>
            <w:vAlign w:val="top"/>
          </w:tcPr>
          <w:p w14:paraId="0C05698E">
            <w:pPr>
              <w:spacing w:line="432" w:lineRule="auto"/>
              <w:rPr>
                <w:rFonts w:ascii="Arial"/>
                <w:sz w:val="21"/>
              </w:rPr>
            </w:pPr>
          </w:p>
          <w:p w14:paraId="6A2E419B">
            <w:pPr>
              <w:pStyle w:val="6"/>
              <w:spacing w:before="65" w:line="229" w:lineRule="auto"/>
              <w:ind w:left="194"/>
            </w:pPr>
            <w:r>
              <w:rPr>
                <w:spacing w:val="5"/>
              </w:rPr>
              <w:t>项目四</w:t>
            </w:r>
          </w:p>
          <w:p w14:paraId="614AEAD0">
            <w:pPr>
              <w:pStyle w:val="6"/>
              <w:spacing w:before="25" w:line="266" w:lineRule="auto"/>
              <w:ind w:left="389" w:right="174" w:hanging="197"/>
              <w:rPr>
                <w:rFonts w:ascii="Times New Roman" w:hAnsi="Times New Roman" w:eastAsia="Times New Roman" w:cs="Times New Roman"/>
              </w:rPr>
            </w:pPr>
            <w:r>
              <w:rPr>
                <w:spacing w:val="6"/>
              </w:rPr>
              <w:t>至边界</w:t>
            </w:r>
            <w:r>
              <w:t xml:space="preserve"> </w:t>
            </w:r>
            <w:r>
              <w:rPr>
                <w:rFonts w:ascii="Times New Roman" w:hAnsi="Times New Roman" w:eastAsia="Times New Roman" w:cs="Times New Roman"/>
                <w:spacing w:val="-7"/>
              </w:rPr>
              <w:t>1m</w:t>
            </w:r>
          </w:p>
        </w:tc>
        <w:tc>
          <w:tcPr>
            <w:tcW w:w="1558" w:type="dxa"/>
            <w:vAlign w:val="top"/>
          </w:tcPr>
          <w:p w14:paraId="5B6F4721">
            <w:pPr>
              <w:spacing w:line="344" w:lineRule="auto"/>
              <w:rPr>
                <w:rFonts w:ascii="Arial"/>
                <w:sz w:val="21"/>
              </w:rPr>
            </w:pPr>
          </w:p>
          <w:p w14:paraId="3AD72DEA">
            <w:pPr>
              <w:spacing w:line="344" w:lineRule="auto"/>
              <w:rPr>
                <w:rFonts w:ascii="Arial"/>
                <w:sz w:val="21"/>
              </w:rPr>
            </w:pPr>
          </w:p>
          <w:p w14:paraId="566D6DDF">
            <w:pPr>
              <w:pStyle w:val="6"/>
              <w:spacing w:before="65" w:line="229" w:lineRule="auto"/>
              <w:ind w:left="589"/>
            </w:pPr>
            <w:r>
              <w:rPr>
                <w:spacing w:val="-1"/>
              </w:rPr>
              <w:t>噪声</w:t>
            </w:r>
          </w:p>
        </w:tc>
        <w:tc>
          <w:tcPr>
            <w:tcW w:w="2832" w:type="dxa"/>
            <w:gridSpan w:val="2"/>
            <w:vAlign w:val="top"/>
          </w:tcPr>
          <w:p w14:paraId="62A4E9E9">
            <w:pPr>
              <w:spacing w:line="387" w:lineRule="auto"/>
              <w:rPr>
                <w:rFonts w:ascii="Arial"/>
                <w:sz w:val="21"/>
              </w:rPr>
            </w:pPr>
          </w:p>
          <w:p w14:paraId="1007D91A">
            <w:pPr>
              <w:pStyle w:val="6"/>
              <w:spacing w:before="65" w:line="273" w:lineRule="exact"/>
              <w:ind w:left="928"/>
            </w:pPr>
            <w:r>
              <w:rPr>
                <w:rFonts w:ascii="Times New Roman" w:hAnsi="Times New Roman" w:eastAsia="Times New Roman" w:cs="Times New Roman"/>
                <w:spacing w:val="5"/>
                <w:position w:val="1"/>
              </w:rPr>
              <w:t xml:space="preserve">2 </w:t>
            </w:r>
            <w:r>
              <w:rPr>
                <w:spacing w:val="5"/>
                <w:position w:val="1"/>
              </w:rPr>
              <w:t>类标准：</w:t>
            </w:r>
          </w:p>
          <w:p w14:paraId="58533CD6">
            <w:pPr>
              <w:pStyle w:val="6"/>
              <w:spacing w:line="272" w:lineRule="exact"/>
              <w:ind w:left="545"/>
            </w:pPr>
            <w:r>
              <w:rPr>
                <w:spacing w:val="7"/>
                <w:position w:val="1"/>
              </w:rPr>
              <w:t>昼间：</w:t>
            </w:r>
            <w:r>
              <w:rPr>
                <w:rFonts w:ascii="Times New Roman" w:hAnsi="Times New Roman" w:eastAsia="Times New Roman" w:cs="Times New Roman"/>
                <w:spacing w:val="7"/>
                <w:position w:val="1"/>
              </w:rPr>
              <w:t>≤60</w:t>
            </w:r>
            <w:r>
              <w:rPr>
                <w:rFonts w:ascii="Times New Roman" w:hAnsi="Times New Roman" w:eastAsia="Times New Roman" w:cs="Times New Roman"/>
                <w:position w:val="1"/>
              </w:rPr>
              <w:t>dB</w:t>
            </w:r>
            <w:r>
              <w:rPr>
                <w:spacing w:val="7"/>
                <w:position w:val="1"/>
              </w:rPr>
              <w:t>（</w:t>
            </w:r>
            <w:r>
              <w:rPr>
                <w:rFonts w:ascii="Times New Roman" w:hAnsi="Times New Roman" w:eastAsia="Times New Roman" w:cs="Times New Roman"/>
                <w:spacing w:val="7"/>
                <w:position w:val="1"/>
              </w:rPr>
              <w:t>A</w:t>
            </w:r>
            <w:r>
              <w:rPr>
                <w:spacing w:val="7"/>
                <w:position w:val="1"/>
              </w:rPr>
              <w:t>）</w:t>
            </w:r>
          </w:p>
          <w:p w14:paraId="6AAC9C2E">
            <w:pPr>
              <w:pStyle w:val="6"/>
              <w:spacing w:line="273" w:lineRule="exact"/>
              <w:ind w:left="549"/>
            </w:pPr>
            <w:r>
              <w:rPr>
                <w:spacing w:val="6"/>
                <w:position w:val="1"/>
              </w:rPr>
              <w:t>夜间：</w:t>
            </w:r>
            <w:r>
              <w:rPr>
                <w:rFonts w:ascii="Times New Roman" w:hAnsi="Times New Roman" w:eastAsia="Times New Roman" w:cs="Times New Roman"/>
                <w:spacing w:val="6"/>
                <w:position w:val="1"/>
              </w:rPr>
              <w:t>≤50</w:t>
            </w:r>
            <w:r>
              <w:rPr>
                <w:rFonts w:ascii="Times New Roman" w:hAnsi="Times New Roman" w:eastAsia="Times New Roman" w:cs="Times New Roman"/>
                <w:position w:val="1"/>
              </w:rPr>
              <w:t>dB</w:t>
            </w:r>
            <w:r>
              <w:rPr>
                <w:spacing w:val="6"/>
                <w:position w:val="1"/>
              </w:rPr>
              <w:t>（</w:t>
            </w:r>
            <w:r>
              <w:rPr>
                <w:rFonts w:ascii="Times New Roman" w:hAnsi="Times New Roman" w:eastAsia="Times New Roman" w:cs="Times New Roman"/>
                <w:spacing w:val="6"/>
                <w:position w:val="1"/>
              </w:rPr>
              <w:t>A</w:t>
            </w:r>
            <w:r>
              <w:rPr>
                <w:spacing w:val="6"/>
                <w:position w:val="1"/>
              </w:rPr>
              <w:t>）</w:t>
            </w:r>
          </w:p>
        </w:tc>
        <w:tc>
          <w:tcPr>
            <w:tcW w:w="3556" w:type="dxa"/>
            <w:vAlign w:val="top"/>
          </w:tcPr>
          <w:p w14:paraId="5B7F51E2">
            <w:pPr>
              <w:spacing w:line="261" w:lineRule="auto"/>
              <w:rPr>
                <w:rFonts w:ascii="Arial"/>
                <w:sz w:val="21"/>
              </w:rPr>
            </w:pPr>
          </w:p>
          <w:p w14:paraId="51C11C3A">
            <w:pPr>
              <w:spacing w:line="262" w:lineRule="auto"/>
              <w:rPr>
                <w:rFonts w:ascii="Arial"/>
                <w:sz w:val="21"/>
              </w:rPr>
            </w:pPr>
          </w:p>
          <w:p w14:paraId="556E5D5E">
            <w:pPr>
              <w:pStyle w:val="6"/>
              <w:spacing w:before="65" w:line="275" w:lineRule="exact"/>
              <w:ind w:left="163"/>
            </w:pPr>
            <w:r>
              <w:rPr>
                <w:spacing w:val="6"/>
                <w:position w:val="1"/>
              </w:rPr>
              <w:t>边界符合（</w:t>
            </w:r>
            <w:r>
              <w:rPr>
                <w:rFonts w:ascii="Times New Roman" w:hAnsi="Times New Roman" w:eastAsia="Times New Roman" w:cs="Times New Roman"/>
                <w:position w:val="1"/>
              </w:rPr>
              <w:t>GB</w:t>
            </w:r>
            <w:r>
              <w:rPr>
                <w:rFonts w:ascii="Times New Roman" w:hAnsi="Times New Roman" w:eastAsia="Times New Roman" w:cs="Times New Roman"/>
                <w:spacing w:val="6"/>
                <w:position w:val="1"/>
              </w:rPr>
              <w:t>22337-2008</w:t>
            </w:r>
            <w:r>
              <w:rPr>
                <w:spacing w:val="6"/>
                <w:position w:val="1"/>
              </w:rPr>
              <w:t xml:space="preserve">） </w:t>
            </w:r>
            <w:r>
              <w:rPr>
                <w:rFonts w:ascii="Times New Roman" w:hAnsi="Times New Roman" w:eastAsia="Times New Roman" w:cs="Times New Roman"/>
                <w:spacing w:val="6"/>
                <w:position w:val="1"/>
              </w:rPr>
              <w:t xml:space="preserve">2 </w:t>
            </w:r>
            <w:r>
              <w:rPr>
                <w:spacing w:val="6"/>
                <w:position w:val="1"/>
              </w:rPr>
              <w:t>类标</w:t>
            </w:r>
          </w:p>
          <w:p w14:paraId="74EC3431">
            <w:pPr>
              <w:pStyle w:val="6"/>
              <w:spacing w:before="27" w:line="230" w:lineRule="auto"/>
              <w:ind w:left="1685"/>
            </w:pPr>
            <w:r>
              <w:t>准</w:t>
            </w:r>
          </w:p>
        </w:tc>
      </w:tr>
      <w:tr w14:paraId="5652F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701" w:type="dxa"/>
            <w:vMerge w:val="restart"/>
            <w:tcBorders>
              <w:bottom w:val="nil"/>
            </w:tcBorders>
            <w:vAlign w:val="top"/>
          </w:tcPr>
          <w:p w14:paraId="7A6C3427">
            <w:pPr>
              <w:spacing w:line="305" w:lineRule="auto"/>
              <w:rPr>
                <w:rFonts w:ascii="Arial"/>
                <w:sz w:val="21"/>
              </w:rPr>
            </w:pPr>
          </w:p>
          <w:p w14:paraId="4E7A635D">
            <w:pPr>
              <w:spacing w:line="306" w:lineRule="auto"/>
              <w:rPr>
                <w:rFonts w:ascii="Arial"/>
                <w:sz w:val="21"/>
              </w:rPr>
            </w:pPr>
          </w:p>
          <w:p w14:paraId="3EBB7DBE">
            <w:pPr>
              <w:pStyle w:val="6"/>
              <w:spacing w:before="65" w:line="229" w:lineRule="auto"/>
              <w:ind w:left="168"/>
            </w:pPr>
            <w:r>
              <w:rPr>
                <w:spacing w:val="-5"/>
              </w:rPr>
              <w:t>固体</w:t>
            </w:r>
          </w:p>
          <w:p w14:paraId="00045694">
            <w:pPr>
              <w:pStyle w:val="6"/>
              <w:spacing w:before="23" w:line="229" w:lineRule="auto"/>
              <w:ind w:left="149"/>
            </w:pPr>
            <w:r>
              <w:rPr>
                <w:spacing w:val="5"/>
              </w:rPr>
              <w:t>废物</w:t>
            </w:r>
          </w:p>
        </w:tc>
        <w:tc>
          <w:tcPr>
            <w:tcW w:w="1295" w:type="dxa"/>
            <w:vAlign w:val="top"/>
          </w:tcPr>
          <w:p w14:paraId="50A27BC3">
            <w:pPr>
              <w:pStyle w:val="6"/>
              <w:spacing w:before="228" w:line="229" w:lineRule="auto"/>
              <w:ind w:left="238"/>
            </w:pPr>
            <w:r>
              <w:rPr>
                <w:spacing w:val="6"/>
              </w:rPr>
              <w:t>生活垃圾</w:t>
            </w:r>
          </w:p>
        </w:tc>
        <w:tc>
          <w:tcPr>
            <w:tcW w:w="2958" w:type="dxa"/>
            <w:vAlign w:val="top"/>
          </w:tcPr>
          <w:p w14:paraId="7BB5C04D">
            <w:pPr>
              <w:pStyle w:val="6"/>
              <w:spacing w:before="229" w:line="228" w:lineRule="auto"/>
              <w:ind w:left="138"/>
            </w:pPr>
            <w:r>
              <w:rPr>
                <w:spacing w:val="6"/>
              </w:rPr>
              <w:t>由环卫部门收集处置</w:t>
            </w:r>
          </w:p>
        </w:tc>
        <w:tc>
          <w:tcPr>
            <w:tcW w:w="991" w:type="dxa"/>
            <w:vAlign w:val="top"/>
          </w:tcPr>
          <w:p w14:paraId="703A235C">
            <w:pPr>
              <w:spacing w:before="200" w:line="274"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8" w:type="dxa"/>
            <w:vAlign w:val="top"/>
          </w:tcPr>
          <w:p w14:paraId="0DF30329">
            <w:pPr>
              <w:pStyle w:val="6"/>
              <w:spacing w:before="93" w:line="201" w:lineRule="auto"/>
              <w:ind w:left="266" w:right="178" w:hanging="103"/>
            </w:pPr>
            <w:r>
              <w:rPr>
                <w:spacing w:val="1"/>
              </w:rPr>
              <w:t>设置垃圾桶、</w:t>
            </w:r>
            <w:r>
              <w:rPr>
                <w:spacing w:val="4"/>
              </w:rPr>
              <w:t xml:space="preserve"> </w:t>
            </w:r>
            <w:r>
              <w:rPr>
                <w:spacing w:val="7"/>
              </w:rPr>
              <w:t>垃圾暂存间</w:t>
            </w:r>
          </w:p>
        </w:tc>
        <w:tc>
          <w:tcPr>
            <w:tcW w:w="859" w:type="dxa"/>
            <w:vAlign w:val="top"/>
          </w:tcPr>
          <w:p w14:paraId="74396791">
            <w:pPr>
              <w:spacing w:before="200"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73" w:type="dxa"/>
            <w:vAlign w:val="top"/>
          </w:tcPr>
          <w:p w14:paraId="488BBC8A">
            <w:pPr>
              <w:pStyle w:val="6"/>
              <w:spacing w:before="229" w:line="228" w:lineRule="auto"/>
              <w:ind w:left="683"/>
            </w:pPr>
            <w:r>
              <w:rPr>
                <w:spacing w:val="6"/>
              </w:rPr>
              <w:t>零排放</w:t>
            </w:r>
          </w:p>
        </w:tc>
        <w:tc>
          <w:tcPr>
            <w:tcW w:w="3556" w:type="dxa"/>
            <w:vMerge w:val="restart"/>
            <w:tcBorders>
              <w:bottom w:val="nil"/>
            </w:tcBorders>
            <w:vAlign w:val="top"/>
          </w:tcPr>
          <w:p w14:paraId="21C0DDF2">
            <w:pPr>
              <w:spacing w:line="248" w:lineRule="auto"/>
              <w:rPr>
                <w:rFonts w:ascii="Arial"/>
                <w:sz w:val="21"/>
              </w:rPr>
            </w:pPr>
          </w:p>
          <w:p w14:paraId="31DDE3FF">
            <w:pPr>
              <w:spacing w:line="248" w:lineRule="auto"/>
              <w:rPr>
                <w:rFonts w:ascii="Arial"/>
                <w:sz w:val="21"/>
              </w:rPr>
            </w:pPr>
          </w:p>
          <w:p w14:paraId="6DD951C8">
            <w:pPr>
              <w:spacing w:line="249" w:lineRule="auto"/>
              <w:rPr>
                <w:rFonts w:ascii="Arial"/>
                <w:sz w:val="21"/>
              </w:rPr>
            </w:pPr>
          </w:p>
          <w:p w14:paraId="2132F8E4">
            <w:pPr>
              <w:pStyle w:val="6"/>
              <w:spacing w:before="65" w:line="228" w:lineRule="auto"/>
              <w:ind w:left="1159"/>
            </w:pPr>
            <w:r>
              <w:rPr>
                <w:spacing w:val="7"/>
              </w:rPr>
              <w:t>符合环保要求</w:t>
            </w:r>
          </w:p>
        </w:tc>
      </w:tr>
      <w:tr w14:paraId="6A0F2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701" w:type="dxa"/>
            <w:vMerge w:val="continue"/>
            <w:tcBorders>
              <w:top w:val="nil"/>
              <w:bottom w:val="nil"/>
            </w:tcBorders>
            <w:vAlign w:val="top"/>
          </w:tcPr>
          <w:p w14:paraId="4019C6B2">
            <w:pPr>
              <w:rPr>
                <w:rFonts w:ascii="Arial"/>
                <w:sz w:val="21"/>
              </w:rPr>
            </w:pPr>
          </w:p>
        </w:tc>
        <w:tc>
          <w:tcPr>
            <w:tcW w:w="1295" w:type="dxa"/>
            <w:vAlign w:val="top"/>
          </w:tcPr>
          <w:p w14:paraId="0BCF0396">
            <w:pPr>
              <w:spacing w:line="307" w:lineRule="auto"/>
              <w:rPr>
                <w:rFonts w:ascii="Arial"/>
                <w:sz w:val="21"/>
              </w:rPr>
            </w:pPr>
          </w:p>
          <w:p w14:paraId="084BE5EC">
            <w:pPr>
              <w:pStyle w:val="6"/>
              <w:spacing w:before="65" w:line="228" w:lineRule="auto"/>
              <w:ind w:left="445"/>
            </w:pPr>
            <w:r>
              <w:rPr>
                <w:spacing w:val="4"/>
              </w:rPr>
              <w:t>猪粪</w:t>
            </w:r>
          </w:p>
        </w:tc>
        <w:tc>
          <w:tcPr>
            <w:tcW w:w="2958" w:type="dxa"/>
            <w:vAlign w:val="top"/>
          </w:tcPr>
          <w:p w14:paraId="14942295">
            <w:pPr>
              <w:pStyle w:val="6"/>
              <w:spacing w:before="100" w:line="215" w:lineRule="auto"/>
              <w:ind w:left="113" w:right="119" w:firstLine="3"/>
              <w:jc w:val="both"/>
            </w:pPr>
            <w:r>
              <w:rPr>
                <w:spacing w:val="8"/>
              </w:rPr>
              <w:t>与猪只尿液、猪舍冲洗水一起</w:t>
            </w:r>
            <w:r>
              <w:rPr>
                <w:spacing w:val="11"/>
              </w:rPr>
              <w:t xml:space="preserve"> </w:t>
            </w:r>
            <w:r>
              <w:rPr>
                <w:spacing w:val="9"/>
              </w:rPr>
              <w:t>收集后，经异位发酵床发酵成</w:t>
            </w:r>
            <w:r>
              <w:rPr>
                <w:spacing w:val="1"/>
              </w:rPr>
              <w:t xml:space="preserve"> </w:t>
            </w:r>
            <w:r>
              <w:rPr>
                <w:spacing w:val="8"/>
              </w:rPr>
              <w:t>有机肥半成品外售</w:t>
            </w:r>
          </w:p>
        </w:tc>
        <w:tc>
          <w:tcPr>
            <w:tcW w:w="991" w:type="dxa"/>
            <w:vAlign w:val="top"/>
          </w:tcPr>
          <w:p w14:paraId="2CB6FE2C">
            <w:pPr>
              <w:spacing w:line="283" w:lineRule="auto"/>
              <w:rPr>
                <w:rFonts w:ascii="Arial"/>
                <w:sz w:val="21"/>
              </w:rPr>
            </w:pPr>
          </w:p>
          <w:p w14:paraId="7B7DE0A6">
            <w:pPr>
              <w:spacing w:before="58" w:line="274"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8" w:type="dxa"/>
            <w:vAlign w:val="top"/>
          </w:tcPr>
          <w:p w14:paraId="7152582D">
            <w:pPr>
              <w:spacing w:line="283" w:lineRule="auto"/>
              <w:rPr>
                <w:rFonts w:ascii="Arial"/>
                <w:sz w:val="21"/>
              </w:rPr>
            </w:pPr>
          </w:p>
          <w:p w14:paraId="089211C8">
            <w:pPr>
              <w:spacing w:before="58" w:line="274" w:lineRule="exact"/>
              <w:ind w:left="7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59" w:type="dxa"/>
            <w:vAlign w:val="top"/>
          </w:tcPr>
          <w:p w14:paraId="37973877">
            <w:pPr>
              <w:spacing w:line="283" w:lineRule="auto"/>
              <w:rPr>
                <w:rFonts w:ascii="Arial"/>
                <w:sz w:val="21"/>
              </w:rPr>
            </w:pPr>
          </w:p>
          <w:p w14:paraId="54A95688">
            <w:pPr>
              <w:spacing w:before="58"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73" w:type="dxa"/>
            <w:vAlign w:val="top"/>
          </w:tcPr>
          <w:p w14:paraId="5F9868EA">
            <w:pPr>
              <w:spacing w:line="307" w:lineRule="auto"/>
              <w:rPr>
                <w:rFonts w:ascii="Arial"/>
                <w:sz w:val="21"/>
              </w:rPr>
            </w:pPr>
          </w:p>
          <w:p w14:paraId="5B9C8BEE">
            <w:pPr>
              <w:pStyle w:val="6"/>
              <w:spacing w:before="65" w:line="228" w:lineRule="auto"/>
              <w:ind w:left="683"/>
            </w:pPr>
            <w:r>
              <w:rPr>
                <w:spacing w:val="6"/>
              </w:rPr>
              <w:t>零排放</w:t>
            </w:r>
          </w:p>
        </w:tc>
        <w:tc>
          <w:tcPr>
            <w:tcW w:w="3556" w:type="dxa"/>
            <w:vMerge w:val="continue"/>
            <w:tcBorders>
              <w:top w:val="nil"/>
              <w:bottom w:val="nil"/>
            </w:tcBorders>
            <w:vAlign w:val="top"/>
          </w:tcPr>
          <w:p w14:paraId="20FA6AA1">
            <w:pPr>
              <w:rPr>
                <w:rFonts w:ascii="Arial"/>
                <w:sz w:val="21"/>
              </w:rPr>
            </w:pPr>
          </w:p>
        </w:tc>
      </w:tr>
      <w:tr w14:paraId="677D9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01" w:type="dxa"/>
            <w:vMerge w:val="continue"/>
            <w:tcBorders>
              <w:top w:val="nil"/>
            </w:tcBorders>
            <w:vAlign w:val="top"/>
          </w:tcPr>
          <w:p w14:paraId="13978C56">
            <w:pPr>
              <w:rPr>
                <w:rFonts w:ascii="Arial"/>
                <w:sz w:val="21"/>
              </w:rPr>
            </w:pPr>
          </w:p>
        </w:tc>
        <w:tc>
          <w:tcPr>
            <w:tcW w:w="1295" w:type="dxa"/>
            <w:vAlign w:val="top"/>
          </w:tcPr>
          <w:p w14:paraId="73B20BB9">
            <w:pPr>
              <w:pStyle w:val="6"/>
              <w:spacing w:before="146" w:line="168" w:lineRule="auto"/>
              <w:ind w:left="130"/>
            </w:pPr>
            <w:r>
              <w:rPr>
                <w:spacing w:val="8"/>
              </w:rPr>
              <w:t>病死猪尸体</w:t>
            </w:r>
          </w:p>
        </w:tc>
        <w:tc>
          <w:tcPr>
            <w:tcW w:w="2958" w:type="dxa"/>
            <w:vAlign w:val="top"/>
          </w:tcPr>
          <w:p w14:paraId="5ADCE233">
            <w:pPr>
              <w:pStyle w:val="6"/>
              <w:spacing w:before="146" w:line="168" w:lineRule="auto"/>
              <w:ind w:left="114"/>
            </w:pPr>
            <w:r>
              <w:rPr>
                <w:spacing w:val="9"/>
              </w:rPr>
              <w:t>依托海丰县公平镇龙寨实成种</w:t>
            </w:r>
          </w:p>
        </w:tc>
        <w:tc>
          <w:tcPr>
            <w:tcW w:w="991" w:type="dxa"/>
            <w:vMerge w:val="restart"/>
            <w:tcBorders>
              <w:bottom w:val="nil"/>
            </w:tcBorders>
            <w:vAlign w:val="top"/>
          </w:tcPr>
          <w:p w14:paraId="3BCBE5D9">
            <w:pPr>
              <w:spacing w:before="116" w:line="274"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8" w:type="dxa"/>
            <w:vMerge w:val="restart"/>
            <w:tcBorders>
              <w:bottom w:val="nil"/>
            </w:tcBorders>
            <w:vAlign w:val="top"/>
          </w:tcPr>
          <w:p w14:paraId="2B35B063">
            <w:pPr>
              <w:spacing w:before="116" w:line="274" w:lineRule="exact"/>
              <w:ind w:left="7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59" w:type="dxa"/>
            <w:vAlign w:val="top"/>
          </w:tcPr>
          <w:p w14:paraId="05B14974">
            <w:pPr>
              <w:spacing w:before="116" w:line="222"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73" w:type="dxa"/>
            <w:vAlign w:val="top"/>
          </w:tcPr>
          <w:p w14:paraId="17962C6D">
            <w:pPr>
              <w:pStyle w:val="6"/>
              <w:spacing w:before="146" w:line="168" w:lineRule="auto"/>
              <w:ind w:left="581"/>
            </w:pPr>
            <w:r>
              <w:rPr>
                <w:spacing w:val="6"/>
              </w:rPr>
              <w:t>安全填埋</w:t>
            </w:r>
          </w:p>
        </w:tc>
        <w:tc>
          <w:tcPr>
            <w:tcW w:w="3556" w:type="dxa"/>
            <w:vMerge w:val="continue"/>
            <w:tcBorders>
              <w:top w:val="nil"/>
            </w:tcBorders>
            <w:vAlign w:val="top"/>
          </w:tcPr>
          <w:p w14:paraId="5A709708">
            <w:pPr>
              <w:rPr>
                <w:rFonts w:ascii="Arial"/>
                <w:sz w:val="21"/>
              </w:rPr>
            </w:pPr>
          </w:p>
        </w:tc>
      </w:tr>
      <w:tr w14:paraId="28DD8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 w:hRule="atLeast"/>
        </w:trPr>
        <w:tc>
          <w:tcPr>
            <w:tcW w:w="701" w:type="dxa"/>
            <w:tcBorders>
              <w:top w:val="nil"/>
              <w:left w:val="nil"/>
              <w:bottom w:val="nil"/>
              <w:right w:val="nil"/>
            </w:tcBorders>
            <w:vAlign w:val="top"/>
          </w:tcPr>
          <w:p w14:paraId="43FB1556">
            <w:pPr>
              <w:spacing w:line="71" w:lineRule="exact"/>
              <w:rPr>
                <w:rFonts w:ascii="Arial"/>
                <w:sz w:val="6"/>
              </w:rPr>
            </w:pPr>
          </w:p>
        </w:tc>
        <w:tc>
          <w:tcPr>
            <w:tcW w:w="1295" w:type="dxa"/>
            <w:tcBorders>
              <w:top w:val="nil"/>
              <w:left w:val="nil"/>
              <w:bottom w:val="nil"/>
              <w:right w:val="nil"/>
            </w:tcBorders>
            <w:vAlign w:val="top"/>
          </w:tcPr>
          <w:p w14:paraId="69D6A573">
            <w:pPr>
              <w:spacing w:line="71" w:lineRule="exact"/>
              <w:rPr>
                <w:rFonts w:ascii="Arial"/>
                <w:sz w:val="6"/>
              </w:rPr>
            </w:pPr>
          </w:p>
        </w:tc>
        <w:tc>
          <w:tcPr>
            <w:tcW w:w="2958" w:type="dxa"/>
            <w:tcBorders>
              <w:top w:val="nil"/>
              <w:left w:val="nil"/>
              <w:bottom w:val="nil"/>
              <w:right w:val="nil"/>
            </w:tcBorders>
            <w:vAlign w:val="top"/>
          </w:tcPr>
          <w:p w14:paraId="7DE904EF">
            <w:pPr>
              <w:spacing w:line="71" w:lineRule="exact"/>
              <w:rPr>
                <w:rFonts w:ascii="Arial"/>
                <w:sz w:val="6"/>
              </w:rPr>
            </w:pPr>
          </w:p>
        </w:tc>
        <w:tc>
          <w:tcPr>
            <w:tcW w:w="991" w:type="dxa"/>
            <w:vMerge w:val="continue"/>
            <w:tcBorders>
              <w:top w:val="nil"/>
            </w:tcBorders>
            <w:vAlign w:val="top"/>
          </w:tcPr>
          <w:p w14:paraId="786A31C4">
            <w:pPr>
              <w:rPr>
                <w:rFonts w:ascii="Arial"/>
                <w:sz w:val="21"/>
              </w:rPr>
            </w:pPr>
          </w:p>
        </w:tc>
        <w:tc>
          <w:tcPr>
            <w:tcW w:w="1558" w:type="dxa"/>
            <w:vMerge w:val="continue"/>
            <w:tcBorders>
              <w:top w:val="nil"/>
            </w:tcBorders>
            <w:vAlign w:val="top"/>
          </w:tcPr>
          <w:p w14:paraId="2C4390AD">
            <w:pPr>
              <w:rPr>
                <w:rFonts w:ascii="Arial"/>
                <w:sz w:val="21"/>
              </w:rPr>
            </w:pPr>
          </w:p>
        </w:tc>
        <w:tc>
          <w:tcPr>
            <w:tcW w:w="859" w:type="dxa"/>
            <w:tcBorders>
              <w:top w:val="nil"/>
              <w:left w:val="nil"/>
              <w:bottom w:val="nil"/>
              <w:right w:val="nil"/>
            </w:tcBorders>
            <w:vAlign w:val="top"/>
          </w:tcPr>
          <w:p w14:paraId="3139263B">
            <w:pPr>
              <w:spacing w:line="71" w:lineRule="exact"/>
              <w:rPr>
                <w:rFonts w:ascii="Arial"/>
                <w:sz w:val="6"/>
              </w:rPr>
            </w:pPr>
          </w:p>
        </w:tc>
        <w:tc>
          <w:tcPr>
            <w:tcW w:w="1973" w:type="dxa"/>
            <w:tcBorders>
              <w:top w:val="nil"/>
              <w:left w:val="nil"/>
              <w:bottom w:val="nil"/>
              <w:right w:val="nil"/>
            </w:tcBorders>
            <w:vAlign w:val="top"/>
          </w:tcPr>
          <w:p w14:paraId="4C741391">
            <w:pPr>
              <w:spacing w:line="71" w:lineRule="exact"/>
              <w:rPr>
                <w:rFonts w:ascii="Arial"/>
                <w:sz w:val="6"/>
              </w:rPr>
            </w:pPr>
          </w:p>
        </w:tc>
        <w:tc>
          <w:tcPr>
            <w:tcW w:w="3556" w:type="dxa"/>
            <w:tcBorders>
              <w:top w:val="nil"/>
              <w:left w:val="nil"/>
              <w:bottom w:val="nil"/>
              <w:right w:val="nil"/>
            </w:tcBorders>
            <w:vAlign w:val="top"/>
          </w:tcPr>
          <w:p w14:paraId="3636AEA4">
            <w:pPr>
              <w:spacing w:line="71" w:lineRule="exact"/>
              <w:rPr>
                <w:rFonts w:ascii="Arial"/>
                <w:sz w:val="6"/>
              </w:rPr>
            </w:pPr>
          </w:p>
        </w:tc>
      </w:tr>
    </w:tbl>
    <w:p w14:paraId="5FD61C28">
      <w:pPr>
        <w:pStyle w:val="2"/>
      </w:pPr>
    </w:p>
    <w:p w14:paraId="5D141565">
      <w:pPr>
        <w:sectPr>
          <w:footerReference r:id="rId178" w:type="default"/>
          <w:pgSz w:w="16839" w:h="11906"/>
          <w:pgMar w:top="400" w:right="1471" w:bottom="1485" w:left="1470" w:header="0" w:footer="1249" w:gutter="0"/>
          <w:cols w:space="720" w:num="1"/>
        </w:sectPr>
      </w:pPr>
    </w:p>
    <w:p w14:paraId="473CC96E">
      <w:pPr>
        <w:spacing w:before="56"/>
      </w:pPr>
    </w:p>
    <w:p w14:paraId="027DCE6D">
      <w:pPr>
        <w:spacing w:before="56"/>
      </w:pPr>
    </w:p>
    <w:p w14:paraId="15E0571F">
      <w:pPr>
        <w:spacing w:before="55"/>
      </w:pPr>
    </w:p>
    <w:p w14:paraId="52AB901B">
      <w:pPr>
        <w:spacing w:before="55"/>
      </w:pPr>
    </w:p>
    <w:tbl>
      <w:tblPr>
        <w:tblStyle w:val="5"/>
        <w:tblW w:w="138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9"/>
        <w:gridCol w:w="1289"/>
        <w:gridCol w:w="2962"/>
        <w:gridCol w:w="992"/>
        <w:gridCol w:w="1558"/>
        <w:gridCol w:w="851"/>
        <w:gridCol w:w="1983"/>
        <w:gridCol w:w="3547"/>
      </w:tblGrid>
      <w:tr w14:paraId="1B90F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09" w:type="dxa"/>
            <w:vAlign w:val="top"/>
          </w:tcPr>
          <w:p w14:paraId="7A563924">
            <w:pPr>
              <w:pStyle w:val="6"/>
              <w:spacing w:before="36" w:line="228" w:lineRule="auto"/>
              <w:ind w:left="149"/>
            </w:pPr>
            <w:r>
              <w:rPr>
                <w:b/>
                <w:bCs/>
                <w:spacing w:val="4"/>
              </w:rPr>
              <w:t>验收</w:t>
            </w:r>
          </w:p>
          <w:p w14:paraId="7EEAD27D">
            <w:pPr>
              <w:pStyle w:val="6"/>
              <w:spacing w:before="25" w:line="217" w:lineRule="auto"/>
              <w:ind w:left="150"/>
            </w:pPr>
            <w:r>
              <w:rPr>
                <w:b/>
                <w:bCs/>
                <w:spacing w:val="3"/>
              </w:rPr>
              <w:t>类别</w:t>
            </w:r>
          </w:p>
        </w:tc>
        <w:tc>
          <w:tcPr>
            <w:tcW w:w="1289" w:type="dxa"/>
            <w:vAlign w:val="top"/>
          </w:tcPr>
          <w:p w14:paraId="06F950FE">
            <w:pPr>
              <w:pStyle w:val="6"/>
              <w:spacing w:before="34" w:line="235" w:lineRule="auto"/>
              <w:ind w:left="230" w:right="191" w:hanging="26"/>
            </w:pPr>
            <w:r>
              <w:rPr>
                <w:b/>
                <w:bCs/>
                <w:spacing w:val="4"/>
              </w:rPr>
              <w:t>治理对象</w:t>
            </w:r>
            <w:r>
              <w:rPr>
                <w:rFonts w:ascii="Times New Roman" w:hAnsi="Times New Roman" w:eastAsia="Times New Roman" w:cs="Times New Roman"/>
                <w:b/>
                <w:bCs/>
                <w:spacing w:val="4"/>
              </w:rPr>
              <w:t>/</w:t>
            </w:r>
            <w:r>
              <w:rPr>
                <w:rFonts w:ascii="Times New Roman" w:hAnsi="Times New Roman" w:eastAsia="Times New Roman" w:cs="Times New Roman"/>
                <w:b/>
                <w:bCs/>
                <w:spacing w:val="2"/>
              </w:rPr>
              <w:t xml:space="preserve"> </w:t>
            </w:r>
            <w:r>
              <w:rPr>
                <w:b/>
                <w:bCs/>
                <w:spacing w:val="5"/>
              </w:rPr>
              <w:t>建设内容</w:t>
            </w:r>
          </w:p>
        </w:tc>
        <w:tc>
          <w:tcPr>
            <w:tcW w:w="2962" w:type="dxa"/>
            <w:vAlign w:val="top"/>
          </w:tcPr>
          <w:p w14:paraId="2193D71D">
            <w:pPr>
              <w:pStyle w:val="6"/>
              <w:spacing w:before="172" w:line="229" w:lineRule="auto"/>
              <w:ind w:left="1063"/>
            </w:pPr>
            <w:r>
              <w:rPr>
                <w:b/>
                <w:bCs/>
                <w:spacing w:val="6"/>
              </w:rPr>
              <w:t>环保措施</w:t>
            </w:r>
          </w:p>
        </w:tc>
        <w:tc>
          <w:tcPr>
            <w:tcW w:w="992" w:type="dxa"/>
            <w:vAlign w:val="top"/>
          </w:tcPr>
          <w:p w14:paraId="29483EDB">
            <w:pPr>
              <w:pStyle w:val="6"/>
              <w:spacing w:before="172" w:line="228" w:lineRule="auto"/>
              <w:ind w:left="184"/>
            </w:pPr>
            <w:r>
              <w:rPr>
                <w:b/>
                <w:bCs/>
                <w:spacing w:val="5"/>
              </w:rPr>
              <w:t>采样口</w:t>
            </w:r>
          </w:p>
        </w:tc>
        <w:tc>
          <w:tcPr>
            <w:tcW w:w="1558" w:type="dxa"/>
            <w:vAlign w:val="top"/>
          </w:tcPr>
          <w:p w14:paraId="428DA1F5">
            <w:pPr>
              <w:pStyle w:val="6"/>
              <w:spacing w:before="172" w:line="228" w:lineRule="auto"/>
              <w:ind w:left="363"/>
            </w:pPr>
            <w:r>
              <w:rPr>
                <w:b/>
                <w:bCs/>
                <w:spacing w:val="6"/>
              </w:rPr>
              <w:t>验收项目</w:t>
            </w:r>
          </w:p>
        </w:tc>
        <w:tc>
          <w:tcPr>
            <w:tcW w:w="851" w:type="dxa"/>
            <w:vAlign w:val="top"/>
          </w:tcPr>
          <w:p w14:paraId="15C61063">
            <w:pPr>
              <w:pStyle w:val="6"/>
              <w:spacing w:before="34" w:line="235" w:lineRule="auto"/>
              <w:ind w:left="327" w:right="106" w:hanging="207"/>
            </w:pPr>
            <w:r>
              <w:rPr>
                <w:b/>
                <w:bCs/>
                <w:spacing w:val="4"/>
              </w:rPr>
              <w:t>处理能</w:t>
            </w:r>
            <w:r>
              <w:t xml:space="preserve"> </w:t>
            </w:r>
            <w:r>
              <w:rPr>
                <w:b/>
                <w:bCs/>
                <w:spacing w:val="-3"/>
              </w:rPr>
              <w:t>力</w:t>
            </w:r>
          </w:p>
        </w:tc>
        <w:tc>
          <w:tcPr>
            <w:tcW w:w="1983" w:type="dxa"/>
            <w:vAlign w:val="top"/>
          </w:tcPr>
          <w:p w14:paraId="7211CEB2">
            <w:pPr>
              <w:pStyle w:val="6"/>
              <w:spacing w:before="172" w:line="228" w:lineRule="auto"/>
              <w:ind w:left="263"/>
            </w:pPr>
            <w:r>
              <w:rPr>
                <w:b/>
                <w:bCs/>
                <w:spacing w:val="7"/>
              </w:rPr>
              <w:t>执行标准和限值</w:t>
            </w:r>
          </w:p>
        </w:tc>
        <w:tc>
          <w:tcPr>
            <w:tcW w:w="3547" w:type="dxa"/>
            <w:vAlign w:val="top"/>
          </w:tcPr>
          <w:p w14:paraId="4777542C">
            <w:pPr>
              <w:pStyle w:val="6"/>
              <w:spacing w:before="172" w:line="228" w:lineRule="auto"/>
              <w:ind w:left="1148"/>
            </w:pPr>
            <w:r>
              <w:rPr>
                <w:b/>
                <w:bCs/>
                <w:spacing w:val="7"/>
              </w:rPr>
              <w:t>验收基本要求</w:t>
            </w:r>
          </w:p>
        </w:tc>
      </w:tr>
      <w:tr w14:paraId="25704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09" w:type="dxa"/>
            <w:vMerge w:val="restart"/>
            <w:tcBorders>
              <w:bottom w:val="nil"/>
            </w:tcBorders>
            <w:vAlign w:val="top"/>
          </w:tcPr>
          <w:p w14:paraId="67A58DCF">
            <w:pPr>
              <w:rPr>
                <w:rFonts w:ascii="Arial"/>
                <w:sz w:val="21"/>
              </w:rPr>
            </w:pPr>
          </w:p>
        </w:tc>
        <w:tc>
          <w:tcPr>
            <w:tcW w:w="1289" w:type="dxa"/>
            <w:vAlign w:val="top"/>
          </w:tcPr>
          <w:p w14:paraId="170B0AE0">
            <w:pPr>
              <w:rPr>
                <w:rFonts w:ascii="Arial"/>
                <w:sz w:val="21"/>
              </w:rPr>
            </w:pPr>
          </w:p>
        </w:tc>
        <w:tc>
          <w:tcPr>
            <w:tcW w:w="2962" w:type="dxa"/>
            <w:vAlign w:val="top"/>
          </w:tcPr>
          <w:p w14:paraId="3C063F45">
            <w:pPr>
              <w:pStyle w:val="6"/>
              <w:spacing w:before="31" w:line="233" w:lineRule="auto"/>
              <w:ind w:left="111" w:right="125"/>
            </w:pPr>
            <w:r>
              <w:rPr>
                <w:spacing w:val="9"/>
              </w:rPr>
              <w:t>养专业合作社项目中的安全填</w:t>
            </w:r>
            <w:r>
              <w:rPr>
                <w:spacing w:val="1"/>
              </w:rPr>
              <w:t xml:space="preserve"> </w:t>
            </w:r>
            <w:r>
              <w:rPr>
                <w:spacing w:val="8"/>
              </w:rPr>
              <w:t>埋井进行填埋处理</w:t>
            </w:r>
          </w:p>
        </w:tc>
        <w:tc>
          <w:tcPr>
            <w:tcW w:w="992" w:type="dxa"/>
            <w:vAlign w:val="top"/>
          </w:tcPr>
          <w:p w14:paraId="08FF40AC">
            <w:pPr>
              <w:rPr>
                <w:rFonts w:ascii="Arial"/>
                <w:sz w:val="21"/>
              </w:rPr>
            </w:pPr>
          </w:p>
        </w:tc>
        <w:tc>
          <w:tcPr>
            <w:tcW w:w="1558" w:type="dxa"/>
            <w:vAlign w:val="top"/>
          </w:tcPr>
          <w:p w14:paraId="756FD3CE">
            <w:pPr>
              <w:rPr>
                <w:rFonts w:ascii="Arial"/>
                <w:sz w:val="21"/>
              </w:rPr>
            </w:pPr>
          </w:p>
        </w:tc>
        <w:tc>
          <w:tcPr>
            <w:tcW w:w="851" w:type="dxa"/>
            <w:vAlign w:val="top"/>
          </w:tcPr>
          <w:p w14:paraId="60A4723F">
            <w:pPr>
              <w:rPr>
                <w:rFonts w:ascii="Arial"/>
                <w:sz w:val="21"/>
              </w:rPr>
            </w:pPr>
          </w:p>
        </w:tc>
        <w:tc>
          <w:tcPr>
            <w:tcW w:w="1983" w:type="dxa"/>
            <w:vAlign w:val="top"/>
          </w:tcPr>
          <w:p w14:paraId="539177F4">
            <w:pPr>
              <w:rPr>
                <w:rFonts w:ascii="Arial"/>
                <w:sz w:val="21"/>
              </w:rPr>
            </w:pPr>
          </w:p>
        </w:tc>
        <w:tc>
          <w:tcPr>
            <w:tcW w:w="3547" w:type="dxa"/>
            <w:vMerge w:val="restart"/>
            <w:tcBorders>
              <w:bottom w:val="nil"/>
            </w:tcBorders>
            <w:vAlign w:val="top"/>
          </w:tcPr>
          <w:p w14:paraId="043524D4">
            <w:pPr>
              <w:rPr>
                <w:rFonts w:ascii="Arial"/>
                <w:sz w:val="21"/>
              </w:rPr>
            </w:pPr>
          </w:p>
        </w:tc>
      </w:tr>
      <w:tr w14:paraId="4EB82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09" w:type="dxa"/>
            <w:vMerge w:val="continue"/>
            <w:tcBorders>
              <w:top w:val="nil"/>
              <w:bottom w:val="nil"/>
            </w:tcBorders>
            <w:vAlign w:val="top"/>
          </w:tcPr>
          <w:p w14:paraId="35F170BA">
            <w:pPr>
              <w:rPr>
                <w:rFonts w:ascii="Arial"/>
                <w:sz w:val="21"/>
              </w:rPr>
            </w:pPr>
          </w:p>
        </w:tc>
        <w:tc>
          <w:tcPr>
            <w:tcW w:w="1289" w:type="dxa"/>
            <w:vAlign w:val="top"/>
          </w:tcPr>
          <w:p w14:paraId="1B2C9BAF">
            <w:pPr>
              <w:pStyle w:val="6"/>
              <w:spacing w:before="171" w:line="229" w:lineRule="auto"/>
              <w:ind w:left="238"/>
            </w:pPr>
            <w:r>
              <w:rPr>
                <w:spacing w:val="4"/>
              </w:rPr>
              <w:t>医疗废物</w:t>
            </w:r>
          </w:p>
        </w:tc>
        <w:tc>
          <w:tcPr>
            <w:tcW w:w="2962" w:type="dxa"/>
            <w:vAlign w:val="top"/>
          </w:tcPr>
          <w:p w14:paraId="65F19CA1">
            <w:pPr>
              <w:pStyle w:val="6"/>
              <w:spacing w:before="35" w:line="232" w:lineRule="auto"/>
              <w:ind w:left="110" w:right="125" w:firstLine="5"/>
            </w:pPr>
            <w:r>
              <w:rPr>
                <w:spacing w:val="8"/>
              </w:rPr>
              <w:t>统一收集后，交由有资质的单</w:t>
            </w:r>
            <w:r>
              <w:rPr>
                <w:spacing w:val="10"/>
              </w:rPr>
              <w:t xml:space="preserve"> </w:t>
            </w:r>
            <w:r>
              <w:rPr>
                <w:spacing w:val="6"/>
              </w:rPr>
              <w:t>位处理</w:t>
            </w:r>
          </w:p>
        </w:tc>
        <w:tc>
          <w:tcPr>
            <w:tcW w:w="992" w:type="dxa"/>
            <w:vAlign w:val="top"/>
          </w:tcPr>
          <w:p w14:paraId="68817D51">
            <w:pPr>
              <w:spacing w:before="140" w:line="274" w:lineRule="exact"/>
              <w:ind w:left="46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8" w:type="dxa"/>
            <w:vAlign w:val="top"/>
          </w:tcPr>
          <w:p w14:paraId="62EEB5A1">
            <w:pPr>
              <w:pStyle w:val="6"/>
              <w:spacing w:before="34" w:line="228" w:lineRule="auto"/>
              <w:ind w:left="162"/>
            </w:pPr>
            <w:r>
              <w:rPr>
                <w:spacing w:val="6"/>
              </w:rPr>
              <w:t>医疗废物暂存</w:t>
            </w:r>
          </w:p>
          <w:p w14:paraId="1C9C2129">
            <w:pPr>
              <w:pStyle w:val="6"/>
              <w:spacing w:before="26" w:line="212" w:lineRule="auto"/>
              <w:ind w:left="694"/>
            </w:pPr>
            <w:r>
              <w:t>间</w:t>
            </w:r>
          </w:p>
        </w:tc>
        <w:tc>
          <w:tcPr>
            <w:tcW w:w="851" w:type="dxa"/>
            <w:vAlign w:val="top"/>
          </w:tcPr>
          <w:p w14:paraId="67795E6F">
            <w:pPr>
              <w:spacing w:before="140"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83" w:type="dxa"/>
            <w:vAlign w:val="top"/>
          </w:tcPr>
          <w:p w14:paraId="35580234">
            <w:pPr>
              <w:pStyle w:val="6"/>
              <w:spacing w:before="171" w:line="229" w:lineRule="auto"/>
              <w:ind w:left="474"/>
            </w:pPr>
            <w:r>
              <w:rPr>
                <w:spacing w:val="7"/>
              </w:rPr>
              <w:t>无害化处理</w:t>
            </w:r>
          </w:p>
        </w:tc>
        <w:tc>
          <w:tcPr>
            <w:tcW w:w="3547" w:type="dxa"/>
            <w:vMerge w:val="continue"/>
            <w:tcBorders>
              <w:top w:val="nil"/>
              <w:bottom w:val="nil"/>
            </w:tcBorders>
            <w:vAlign w:val="top"/>
          </w:tcPr>
          <w:p w14:paraId="6572FE1D">
            <w:pPr>
              <w:rPr>
                <w:rFonts w:ascii="Arial"/>
                <w:sz w:val="21"/>
              </w:rPr>
            </w:pPr>
          </w:p>
        </w:tc>
      </w:tr>
      <w:tr w14:paraId="012B8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09" w:type="dxa"/>
            <w:vMerge w:val="continue"/>
            <w:tcBorders>
              <w:top w:val="nil"/>
            </w:tcBorders>
            <w:vAlign w:val="top"/>
          </w:tcPr>
          <w:p w14:paraId="55929664">
            <w:pPr>
              <w:rPr>
                <w:rFonts w:ascii="Arial"/>
                <w:sz w:val="21"/>
              </w:rPr>
            </w:pPr>
          </w:p>
        </w:tc>
        <w:tc>
          <w:tcPr>
            <w:tcW w:w="1289" w:type="dxa"/>
            <w:vAlign w:val="top"/>
          </w:tcPr>
          <w:p w14:paraId="103F87BB">
            <w:pPr>
              <w:pStyle w:val="6"/>
              <w:spacing w:before="69" w:line="229" w:lineRule="auto"/>
              <w:ind w:left="227"/>
            </w:pPr>
            <w:r>
              <w:rPr>
                <w:spacing w:val="7"/>
              </w:rPr>
              <w:t>废包装物</w:t>
            </w:r>
          </w:p>
        </w:tc>
        <w:tc>
          <w:tcPr>
            <w:tcW w:w="2962" w:type="dxa"/>
            <w:vAlign w:val="top"/>
          </w:tcPr>
          <w:p w14:paraId="2A4D2CBC">
            <w:pPr>
              <w:pStyle w:val="6"/>
              <w:spacing w:before="69" w:line="228" w:lineRule="auto"/>
              <w:ind w:left="118"/>
            </w:pPr>
            <w:r>
              <w:rPr>
                <w:spacing w:val="8"/>
              </w:rPr>
              <w:t>收集后交由供应商回收</w:t>
            </w:r>
          </w:p>
        </w:tc>
        <w:tc>
          <w:tcPr>
            <w:tcW w:w="992" w:type="dxa"/>
            <w:vAlign w:val="top"/>
          </w:tcPr>
          <w:p w14:paraId="69FD170C">
            <w:pPr>
              <w:spacing w:before="41" w:line="274" w:lineRule="exact"/>
              <w:ind w:left="46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8" w:type="dxa"/>
            <w:vAlign w:val="top"/>
          </w:tcPr>
          <w:p w14:paraId="52557C05">
            <w:pPr>
              <w:spacing w:before="41" w:line="274" w:lineRule="exact"/>
              <w:ind w:left="74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51" w:type="dxa"/>
            <w:vAlign w:val="top"/>
          </w:tcPr>
          <w:p w14:paraId="130BE936">
            <w:pPr>
              <w:spacing w:before="41"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83" w:type="dxa"/>
            <w:vAlign w:val="top"/>
          </w:tcPr>
          <w:p w14:paraId="01717C58">
            <w:pPr>
              <w:pStyle w:val="6"/>
              <w:spacing w:before="69" w:line="228" w:lineRule="auto"/>
              <w:ind w:left="684"/>
            </w:pPr>
            <w:r>
              <w:rPr>
                <w:spacing w:val="6"/>
              </w:rPr>
              <w:t>零排放</w:t>
            </w:r>
          </w:p>
        </w:tc>
        <w:tc>
          <w:tcPr>
            <w:tcW w:w="3547" w:type="dxa"/>
            <w:vMerge w:val="continue"/>
            <w:tcBorders>
              <w:top w:val="nil"/>
            </w:tcBorders>
            <w:vAlign w:val="top"/>
          </w:tcPr>
          <w:p w14:paraId="6E986514">
            <w:pPr>
              <w:rPr>
                <w:rFonts w:ascii="Arial"/>
                <w:sz w:val="21"/>
              </w:rPr>
            </w:pPr>
          </w:p>
        </w:tc>
      </w:tr>
      <w:tr w14:paraId="0BB78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09" w:type="dxa"/>
            <w:vAlign w:val="top"/>
          </w:tcPr>
          <w:p w14:paraId="60F137A2">
            <w:pPr>
              <w:pStyle w:val="6"/>
              <w:spacing w:before="32" w:line="229" w:lineRule="auto"/>
              <w:ind w:left="150"/>
            </w:pPr>
            <w:r>
              <w:rPr>
                <w:spacing w:val="4"/>
              </w:rPr>
              <w:t>环境</w:t>
            </w:r>
          </w:p>
          <w:p w14:paraId="1E0192EE">
            <w:pPr>
              <w:pStyle w:val="6"/>
              <w:spacing w:before="25" w:line="210" w:lineRule="auto"/>
              <w:ind w:left="151"/>
            </w:pPr>
            <w:r>
              <w:rPr>
                <w:spacing w:val="4"/>
              </w:rPr>
              <w:t>风险</w:t>
            </w:r>
          </w:p>
        </w:tc>
        <w:tc>
          <w:tcPr>
            <w:tcW w:w="1289" w:type="dxa"/>
            <w:vAlign w:val="top"/>
          </w:tcPr>
          <w:p w14:paraId="2FDD557A">
            <w:pPr>
              <w:pStyle w:val="6"/>
              <w:spacing w:before="168" w:line="231" w:lineRule="auto"/>
              <w:ind w:left="331"/>
            </w:pPr>
            <w:r>
              <w:rPr>
                <w:spacing w:val="6"/>
              </w:rPr>
              <w:t>应急池</w:t>
            </w:r>
          </w:p>
        </w:tc>
        <w:tc>
          <w:tcPr>
            <w:tcW w:w="11893" w:type="dxa"/>
            <w:gridSpan w:val="6"/>
            <w:vAlign w:val="top"/>
          </w:tcPr>
          <w:p w14:paraId="1D193D4A">
            <w:pPr>
              <w:pStyle w:val="6"/>
              <w:spacing w:before="169" w:line="229" w:lineRule="auto"/>
              <w:ind w:left="114"/>
            </w:pPr>
            <w:r>
              <w:rPr>
                <w:spacing w:val="8"/>
              </w:rPr>
              <w:t>设置事故应急池</w:t>
            </w:r>
          </w:p>
        </w:tc>
      </w:tr>
      <w:tr w14:paraId="4778D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09" w:type="dxa"/>
            <w:vAlign w:val="top"/>
          </w:tcPr>
          <w:p w14:paraId="07BBB6D7">
            <w:pPr>
              <w:pStyle w:val="6"/>
              <w:spacing w:before="66" w:line="229" w:lineRule="auto"/>
              <w:ind w:left="151"/>
            </w:pPr>
            <w:r>
              <w:rPr>
                <w:spacing w:val="4"/>
              </w:rPr>
              <w:t>其他</w:t>
            </w:r>
          </w:p>
        </w:tc>
        <w:tc>
          <w:tcPr>
            <w:tcW w:w="13182" w:type="dxa"/>
            <w:gridSpan w:val="7"/>
            <w:vAlign w:val="top"/>
          </w:tcPr>
          <w:p w14:paraId="10BE914C">
            <w:pPr>
              <w:pStyle w:val="6"/>
              <w:spacing w:before="67" w:line="228" w:lineRule="auto"/>
              <w:ind w:left="111"/>
            </w:pPr>
            <w:r>
              <w:rPr>
                <w:spacing w:val="10"/>
              </w:rPr>
              <w:t>其它：医疗废物收集房位置设置是否合适；设置规范</w:t>
            </w:r>
            <w:r>
              <w:rPr>
                <w:spacing w:val="9"/>
              </w:rPr>
              <w:t>化排污口，环保设置是否到位</w:t>
            </w:r>
          </w:p>
        </w:tc>
      </w:tr>
    </w:tbl>
    <w:p w14:paraId="4D93B25A">
      <w:pPr>
        <w:pStyle w:val="2"/>
      </w:pPr>
    </w:p>
    <w:p w14:paraId="6354FE48">
      <w:pPr>
        <w:sectPr>
          <w:footerReference r:id="rId179" w:type="default"/>
          <w:pgSz w:w="16839" w:h="11906"/>
          <w:pgMar w:top="400" w:right="1471" w:bottom="1485" w:left="1470" w:header="0" w:footer="1249" w:gutter="0"/>
          <w:cols w:space="720" w:num="1"/>
        </w:sectPr>
      </w:pPr>
    </w:p>
    <w:p w14:paraId="74FEC9FA">
      <w:pPr>
        <w:pStyle w:val="2"/>
        <w:spacing w:line="246" w:lineRule="auto"/>
      </w:pPr>
    </w:p>
    <w:p w14:paraId="172C1D99">
      <w:pPr>
        <w:pStyle w:val="2"/>
        <w:spacing w:line="246" w:lineRule="auto"/>
      </w:pPr>
    </w:p>
    <w:p w14:paraId="24992287">
      <w:pPr>
        <w:spacing w:before="140" w:line="637" w:lineRule="exact"/>
        <w:ind w:left="2501"/>
        <w:outlineLvl w:val="0"/>
        <w:rPr>
          <w:rFonts w:ascii="黑体" w:hAnsi="黑体" w:eastAsia="黑体" w:cs="黑体"/>
          <w:sz w:val="43"/>
          <w:szCs w:val="43"/>
        </w:rPr>
      </w:pPr>
      <w:bookmarkStart w:id="53" w:name="bookmark49"/>
      <w:bookmarkEnd w:id="53"/>
      <w:bookmarkStart w:id="54" w:name="bookmark48"/>
      <w:bookmarkEnd w:id="54"/>
      <w:r>
        <w:rPr>
          <w:rFonts w:ascii="Calibri" w:hAnsi="Calibri" w:eastAsia="Calibri" w:cs="Calibri"/>
          <w:spacing w:val="7"/>
          <w:position w:val="4"/>
          <w:sz w:val="43"/>
          <w:szCs w:val="43"/>
        </w:rPr>
        <w:t>9</w:t>
      </w:r>
      <w:r>
        <w:rPr>
          <w:rFonts w:ascii="黑体" w:hAnsi="黑体" w:eastAsia="黑体" w:cs="黑体"/>
          <w:spacing w:val="7"/>
          <w:position w:val="4"/>
          <w:sz w:val="43"/>
          <w:szCs w:val="43"/>
        </w:rPr>
        <w:t>环境影响评价结论</w:t>
      </w:r>
    </w:p>
    <w:p w14:paraId="04519F1E">
      <w:pPr>
        <w:pStyle w:val="2"/>
        <w:spacing w:line="414" w:lineRule="auto"/>
      </w:pPr>
    </w:p>
    <w:p w14:paraId="524218BB">
      <w:pPr>
        <w:spacing w:before="101" w:line="225" w:lineRule="auto"/>
        <w:ind w:left="2"/>
        <w:outlineLvl w:val="1"/>
        <w:rPr>
          <w:rFonts w:ascii="宋体" w:hAnsi="宋体" w:eastAsia="宋体" w:cs="宋体"/>
          <w:sz w:val="31"/>
          <w:szCs w:val="31"/>
        </w:rPr>
      </w:pPr>
      <w:bookmarkStart w:id="55" w:name="bookmark63"/>
      <w:bookmarkEnd w:id="55"/>
      <w:r>
        <w:rPr>
          <w:rFonts w:ascii="Times New Roman" w:hAnsi="Times New Roman" w:eastAsia="Times New Roman" w:cs="Times New Roman"/>
          <w:b/>
          <w:bCs/>
          <w:spacing w:val="4"/>
          <w:sz w:val="31"/>
          <w:szCs w:val="31"/>
        </w:rPr>
        <w:t>9.1</w:t>
      </w:r>
      <w:r>
        <w:rPr>
          <w:rFonts w:ascii="宋体" w:hAnsi="宋体" w:eastAsia="宋体" w:cs="宋体"/>
          <w:b/>
          <w:bCs/>
          <w:spacing w:val="4"/>
          <w:sz w:val="31"/>
          <w:szCs w:val="31"/>
        </w:rPr>
        <w:t>项目概况</w:t>
      </w:r>
    </w:p>
    <w:p w14:paraId="2A4C02D2">
      <w:pPr>
        <w:pStyle w:val="2"/>
        <w:spacing w:line="411" w:lineRule="auto"/>
      </w:pPr>
    </w:p>
    <w:p w14:paraId="5C6DB281">
      <w:pPr>
        <w:spacing w:before="78" w:line="371" w:lineRule="auto"/>
        <w:ind w:left="1" w:right="102" w:firstLine="482"/>
        <w:jc w:val="both"/>
        <w:rPr>
          <w:rFonts w:ascii="宋体" w:hAnsi="宋体" w:eastAsia="宋体" w:cs="宋体"/>
          <w:sz w:val="24"/>
          <w:szCs w:val="24"/>
        </w:rPr>
      </w:pPr>
      <w:r>
        <w:rPr>
          <w:rFonts w:ascii="宋体" w:hAnsi="宋体" w:eastAsia="宋体" w:cs="宋体"/>
          <w:spacing w:val="2"/>
          <w:sz w:val="24"/>
          <w:szCs w:val="24"/>
        </w:rPr>
        <w:t>汕尾市天磊联信种养有限公司拟在海丰县公平镇龙岗美月姑少山坡地建设生猪</w:t>
      </w:r>
      <w:r>
        <w:rPr>
          <w:rFonts w:ascii="宋体" w:hAnsi="宋体" w:eastAsia="宋体" w:cs="宋体"/>
          <w:spacing w:val="5"/>
          <w:sz w:val="24"/>
          <w:szCs w:val="24"/>
        </w:rPr>
        <w:t xml:space="preserve"> </w:t>
      </w:r>
      <w:r>
        <w:rPr>
          <w:rFonts w:ascii="宋体" w:hAnsi="宋体" w:eastAsia="宋体" w:cs="宋体"/>
          <w:spacing w:val="-8"/>
          <w:sz w:val="24"/>
          <w:szCs w:val="24"/>
        </w:rPr>
        <w:t>养殖项目。项目总投资</w:t>
      </w:r>
      <w:r>
        <w:rPr>
          <w:rFonts w:ascii="宋体" w:hAnsi="宋体" w:eastAsia="宋体" w:cs="宋体"/>
          <w:spacing w:val="-24"/>
          <w:sz w:val="24"/>
          <w:szCs w:val="24"/>
        </w:rPr>
        <w:t xml:space="preserve"> </w:t>
      </w:r>
      <w:r>
        <w:rPr>
          <w:rFonts w:ascii="Times New Roman" w:hAnsi="Times New Roman" w:eastAsia="Times New Roman" w:cs="Times New Roman"/>
          <w:spacing w:val="-8"/>
          <w:sz w:val="24"/>
          <w:szCs w:val="24"/>
        </w:rPr>
        <w:t>1300</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万元人民币，其中环保投资</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320</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万元，占地面积</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17194m</w:t>
      </w:r>
      <w:r>
        <w:rPr>
          <w:rFonts w:ascii="Times New Roman" w:hAnsi="Times New Roman" w:eastAsia="Times New Roman" w:cs="Times New Roman"/>
          <w:spacing w:val="-8"/>
          <w:position w:val="7"/>
          <w:sz w:val="15"/>
          <w:szCs w:val="15"/>
        </w:rPr>
        <w:t>2</w:t>
      </w:r>
      <w:r>
        <w:rPr>
          <w:rFonts w:ascii="Times New Roman" w:hAnsi="Times New Roman" w:eastAsia="Times New Roman" w:cs="Times New Roman"/>
          <w:position w:val="7"/>
          <w:sz w:val="15"/>
          <w:szCs w:val="15"/>
        </w:rPr>
        <w:t xml:space="preserve"> </w:t>
      </w:r>
      <w:r>
        <w:rPr>
          <w:rFonts w:ascii="宋体" w:hAnsi="宋体" w:eastAsia="宋体" w:cs="宋体"/>
          <w:spacing w:val="1"/>
          <w:sz w:val="24"/>
          <w:szCs w:val="24"/>
        </w:rPr>
        <w:t>（约</w:t>
      </w:r>
      <w:r>
        <w:rPr>
          <w:rFonts w:ascii="Times New Roman" w:hAnsi="Times New Roman" w:eastAsia="Times New Roman" w:cs="Times New Roman"/>
          <w:spacing w:val="1"/>
          <w:sz w:val="24"/>
          <w:szCs w:val="24"/>
        </w:rPr>
        <w:t xml:space="preserve">25.79 </w:t>
      </w:r>
      <w:r>
        <w:rPr>
          <w:rFonts w:ascii="宋体" w:hAnsi="宋体" w:eastAsia="宋体" w:cs="宋体"/>
          <w:spacing w:val="1"/>
          <w:sz w:val="24"/>
          <w:szCs w:val="24"/>
        </w:rPr>
        <w:t>亩</w:t>
      </w:r>
      <w:r>
        <w:rPr>
          <w:rFonts w:ascii="宋体" w:hAnsi="宋体" w:eastAsia="宋体" w:cs="宋体"/>
          <w:spacing w:val="17"/>
          <w:sz w:val="24"/>
          <w:szCs w:val="24"/>
        </w:rPr>
        <w:t>），</w:t>
      </w:r>
      <w:r>
        <w:rPr>
          <w:rFonts w:ascii="宋体" w:hAnsi="宋体" w:eastAsia="宋体" w:cs="宋体"/>
          <w:spacing w:val="1"/>
          <w:sz w:val="24"/>
          <w:szCs w:val="24"/>
        </w:rPr>
        <w:t>建筑面积为</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8346m</w:t>
      </w:r>
      <w:r>
        <w:rPr>
          <w:rFonts w:ascii="Times New Roman" w:hAnsi="Times New Roman" w:eastAsia="Times New Roman" w:cs="Times New Roman"/>
          <w:spacing w:val="1"/>
          <w:position w:val="7"/>
          <w:sz w:val="15"/>
          <w:szCs w:val="15"/>
        </w:rPr>
        <w:t xml:space="preserve">2 </w:t>
      </w:r>
      <w:r>
        <w:rPr>
          <w:rFonts w:ascii="宋体" w:hAnsi="宋体" w:eastAsia="宋体" w:cs="宋体"/>
          <w:spacing w:val="1"/>
          <w:sz w:val="24"/>
          <w:szCs w:val="24"/>
        </w:rPr>
        <w:t>。主要建设内容包括</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栋育肥舍、疫苗仓库</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 xml:space="preserve"> </w:t>
      </w:r>
      <w:r>
        <w:rPr>
          <w:rFonts w:ascii="宋体" w:hAnsi="宋体" w:eastAsia="宋体" w:cs="宋体"/>
          <w:sz w:val="24"/>
          <w:szCs w:val="24"/>
        </w:rPr>
        <w:t>栋、兽药仓库</w:t>
      </w:r>
      <w:r>
        <w:rPr>
          <w:rFonts w:ascii="宋体" w:hAnsi="宋体" w:eastAsia="宋体" w:cs="宋体"/>
          <w:spacing w:val="-13"/>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栋、消毒仓库</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 xml:space="preserve">栋、危废暂存间及有机肥生产车间等配套设施。项 </w:t>
      </w:r>
      <w:r>
        <w:rPr>
          <w:rFonts w:ascii="宋体" w:hAnsi="宋体" w:eastAsia="宋体" w:cs="宋体"/>
          <w:spacing w:val="-7"/>
          <w:sz w:val="24"/>
          <w:szCs w:val="24"/>
        </w:rPr>
        <w:t>目建成后预计猪只存栏量为</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7000</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头，出栏量为</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15000</w:t>
      </w:r>
      <w:r>
        <w:rPr>
          <w:rFonts w:ascii="Times New Roman" w:hAnsi="Times New Roman" w:eastAsia="Times New Roman" w:cs="Times New Roman"/>
          <w:spacing w:val="13"/>
          <w:sz w:val="24"/>
          <w:szCs w:val="24"/>
        </w:rPr>
        <w:t xml:space="preserve"> </w:t>
      </w:r>
      <w:r>
        <w:rPr>
          <w:rFonts w:ascii="宋体" w:hAnsi="宋体" w:eastAsia="宋体" w:cs="宋体"/>
          <w:spacing w:val="-7"/>
          <w:sz w:val="24"/>
          <w:szCs w:val="24"/>
        </w:rPr>
        <w:t>头。本</w:t>
      </w:r>
      <w:r>
        <w:rPr>
          <w:rFonts w:ascii="宋体" w:hAnsi="宋体" w:eastAsia="宋体" w:cs="宋体"/>
          <w:spacing w:val="-8"/>
          <w:sz w:val="24"/>
          <w:szCs w:val="24"/>
        </w:rPr>
        <w:t>项目猪只出栏量为</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15000</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头</w:t>
      </w:r>
      <w:r>
        <w:rPr>
          <w:rFonts w:ascii="Times New Roman" w:hAnsi="Times New Roman" w:eastAsia="Times New Roman" w:cs="Times New Roman"/>
          <w:spacing w:val="-3"/>
          <w:sz w:val="24"/>
          <w:szCs w:val="24"/>
        </w:rPr>
        <w:t>/</w:t>
      </w:r>
      <w:r>
        <w:rPr>
          <w:rFonts w:ascii="宋体" w:hAnsi="宋体" w:eastAsia="宋体" w:cs="宋体"/>
          <w:spacing w:val="-3"/>
          <w:sz w:val="24"/>
          <w:szCs w:val="24"/>
        </w:rPr>
        <w:t>年。</w:t>
      </w:r>
    </w:p>
    <w:p w14:paraId="56F79C7C">
      <w:pPr>
        <w:pStyle w:val="2"/>
      </w:pPr>
    </w:p>
    <w:p w14:paraId="30A9C992">
      <w:pPr>
        <w:spacing w:before="100" w:line="224" w:lineRule="auto"/>
        <w:ind w:left="2"/>
        <w:outlineLvl w:val="1"/>
        <w:rPr>
          <w:rFonts w:ascii="宋体" w:hAnsi="宋体" w:eastAsia="宋体" w:cs="宋体"/>
          <w:sz w:val="31"/>
          <w:szCs w:val="31"/>
        </w:rPr>
      </w:pPr>
      <w:bookmarkStart w:id="56" w:name="bookmark50"/>
      <w:bookmarkEnd w:id="56"/>
      <w:r>
        <w:rPr>
          <w:rFonts w:ascii="Times New Roman" w:hAnsi="Times New Roman" w:eastAsia="Times New Roman" w:cs="Times New Roman"/>
          <w:b/>
          <w:bCs/>
          <w:spacing w:val="6"/>
          <w:sz w:val="31"/>
          <w:szCs w:val="31"/>
        </w:rPr>
        <w:t>9.2</w:t>
      </w:r>
      <w:r>
        <w:rPr>
          <w:rFonts w:ascii="宋体" w:hAnsi="宋体" w:eastAsia="宋体" w:cs="宋体"/>
          <w:b/>
          <w:bCs/>
          <w:spacing w:val="6"/>
          <w:sz w:val="31"/>
          <w:szCs w:val="31"/>
        </w:rPr>
        <w:t>环境质量现状评价结论</w:t>
      </w:r>
    </w:p>
    <w:p w14:paraId="1EACA8D4">
      <w:pPr>
        <w:pStyle w:val="2"/>
        <w:spacing w:line="450" w:lineRule="auto"/>
      </w:pPr>
    </w:p>
    <w:p w14:paraId="5AF4A6CA">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9.2.1</w:t>
      </w:r>
      <w:r>
        <w:rPr>
          <w:rFonts w:ascii="宋体" w:hAnsi="宋体" w:eastAsia="宋体" w:cs="宋体"/>
          <w:b/>
          <w:bCs/>
          <w:spacing w:val="-2"/>
          <w:sz w:val="24"/>
          <w:szCs w:val="24"/>
        </w:rPr>
        <w:t>大气环境质量现状评价结论</w:t>
      </w:r>
    </w:p>
    <w:p w14:paraId="0B5DF048">
      <w:pPr>
        <w:pStyle w:val="2"/>
        <w:spacing w:line="242" w:lineRule="auto"/>
      </w:pPr>
    </w:p>
    <w:p w14:paraId="1DDBC8CE">
      <w:pPr>
        <w:spacing w:before="79" w:line="367" w:lineRule="auto"/>
        <w:ind w:left="1" w:right="104" w:firstLine="480"/>
        <w:jc w:val="both"/>
        <w:rPr>
          <w:rFonts w:ascii="宋体" w:hAnsi="宋体" w:eastAsia="宋体" w:cs="宋体"/>
          <w:sz w:val="24"/>
          <w:szCs w:val="24"/>
        </w:rPr>
      </w:pPr>
      <w:r>
        <w:rPr>
          <w:rFonts w:ascii="宋体" w:hAnsi="宋体" w:eastAsia="宋体" w:cs="宋体"/>
          <w:sz w:val="24"/>
          <w:szCs w:val="24"/>
        </w:rPr>
        <w:t>监测结果分析表明，项目所在区域为达标区；评价范围内</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个监测点</w:t>
      </w:r>
      <w:r>
        <w:rPr>
          <w:rFonts w:ascii="宋体" w:hAnsi="宋体" w:eastAsia="宋体" w:cs="宋体"/>
          <w:spacing w:val="-1"/>
          <w:sz w:val="24"/>
          <w:szCs w:val="24"/>
        </w:rPr>
        <w:t>的</w:t>
      </w:r>
      <w:r>
        <w:rPr>
          <w:rFonts w:ascii="宋体" w:hAnsi="宋体" w:eastAsia="宋体" w:cs="宋体"/>
          <w:spacing w:val="-61"/>
          <w:sz w:val="24"/>
          <w:szCs w:val="24"/>
        </w:rPr>
        <w:t xml:space="preserve"> </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3"/>
          <w:position w:val="-1"/>
          <w:sz w:val="15"/>
          <w:szCs w:val="15"/>
        </w:rPr>
        <w:t xml:space="preserve"> </w:t>
      </w:r>
      <w:r>
        <w:rPr>
          <w:rFonts w:ascii="宋体" w:hAnsi="宋体" w:eastAsia="宋体" w:cs="宋体"/>
          <w:spacing w:val="-1"/>
          <w:sz w:val="24"/>
          <w:szCs w:val="24"/>
        </w:rPr>
        <w:t>连</w:t>
      </w:r>
      <w:r>
        <w:rPr>
          <w:rFonts w:ascii="宋体" w:hAnsi="宋体" w:eastAsia="宋体" w:cs="宋体"/>
          <w:sz w:val="24"/>
          <w:szCs w:val="24"/>
        </w:rPr>
        <w:t xml:space="preserve"> 续</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7</w:t>
      </w:r>
      <w:r>
        <w:rPr>
          <w:rFonts w:ascii="Times New Roman" w:hAnsi="Times New Roman" w:eastAsia="Times New Roman" w:cs="Times New Roman"/>
          <w:spacing w:val="19"/>
          <w:sz w:val="24"/>
          <w:szCs w:val="24"/>
        </w:rPr>
        <w:t xml:space="preserve"> </w:t>
      </w:r>
      <w:r>
        <w:rPr>
          <w:rFonts w:ascii="宋体" w:hAnsi="宋体" w:eastAsia="宋体" w:cs="宋体"/>
          <w:sz w:val="24"/>
          <w:szCs w:val="24"/>
        </w:rPr>
        <w:t>天的</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z w:val="24"/>
          <w:szCs w:val="24"/>
        </w:rPr>
        <w:t>小时平均浓度超标率为</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0</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 xml:space="preserve">，能满足《环境影响评价技术导则大气环境》 </w:t>
      </w:r>
      <w:r>
        <w:rPr>
          <w:rFonts w:ascii="宋体" w:hAnsi="宋体" w:eastAsia="宋体" w:cs="宋体"/>
          <w:spacing w:val="2"/>
          <w:sz w:val="24"/>
          <w:szCs w:val="24"/>
        </w:rPr>
        <w:t>（</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2.2-2018</w:t>
      </w:r>
      <w:r>
        <w:rPr>
          <w:rFonts w:ascii="宋体" w:hAnsi="宋体" w:eastAsia="宋体" w:cs="宋体"/>
          <w:spacing w:val="2"/>
          <w:sz w:val="24"/>
          <w:szCs w:val="24"/>
        </w:rPr>
        <w:t>）中附录</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D </w:t>
      </w:r>
      <w:r>
        <w:rPr>
          <w:rFonts w:ascii="宋体" w:hAnsi="宋体" w:eastAsia="宋体" w:cs="宋体"/>
          <w:spacing w:val="2"/>
          <w:sz w:val="24"/>
          <w:szCs w:val="24"/>
        </w:rPr>
        <w:t>标准限值要求；硫化氢及臭气浓度为未检出。因此，项目</w:t>
      </w:r>
      <w:r>
        <w:rPr>
          <w:rFonts w:ascii="宋体" w:hAnsi="宋体" w:eastAsia="宋体" w:cs="宋体"/>
          <w:sz w:val="24"/>
          <w:szCs w:val="24"/>
        </w:rPr>
        <w:t xml:space="preserve"> </w:t>
      </w:r>
      <w:r>
        <w:rPr>
          <w:rFonts w:ascii="宋体" w:hAnsi="宋体" w:eastAsia="宋体" w:cs="宋体"/>
          <w:spacing w:val="-1"/>
          <w:sz w:val="24"/>
          <w:szCs w:val="24"/>
        </w:rPr>
        <w:t>所在地附近大气环境现状良好。</w:t>
      </w:r>
    </w:p>
    <w:p w14:paraId="0C1C9269">
      <w:pPr>
        <w:pStyle w:val="2"/>
        <w:spacing w:line="303" w:lineRule="auto"/>
      </w:pPr>
    </w:p>
    <w:p w14:paraId="5C12E608">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9.2.2</w:t>
      </w:r>
      <w:r>
        <w:rPr>
          <w:rFonts w:ascii="宋体" w:hAnsi="宋体" w:eastAsia="宋体" w:cs="宋体"/>
          <w:b/>
          <w:bCs/>
          <w:spacing w:val="-2"/>
          <w:sz w:val="24"/>
          <w:szCs w:val="24"/>
        </w:rPr>
        <w:t>声环境质量现状评价结论</w:t>
      </w:r>
    </w:p>
    <w:p w14:paraId="4F4501EE">
      <w:pPr>
        <w:pStyle w:val="2"/>
        <w:spacing w:line="280" w:lineRule="auto"/>
      </w:pPr>
    </w:p>
    <w:p w14:paraId="31A593AB">
      <w:pPr>
        <w:spacing w:before="79" w:line="361" w:lineRule="auto"/>
        <w:ind w:left="2" w:right="103" w:firstLine="480"/>
        <w:jc w:val="both"/>
        <w:rPr>
          <w:rFonts w:ascii="宋体" w:hAnsi="宋体" w:eastAsia="宋体" w:cs="宋体"/>
          <w:sz w:val="24"/>
          <w:szCs w:val="24"/>
        </w:rPr>
      </w:pPr>
      <w:r>
        <w:rPr>
          <w:rFonts w:ascii="宋体" w:hAnsi="宋体" w:eastAsia="宋体" w:cs="宋体"/>
          <w:spacing w:val="2"/>
          <w:sz w:val="24"/>
          <w:szCs w:val="24"/>
        </w:rPr>
        <w:t>监测结果分析表明，本项目所在区域东、南、西、北边界昼间和夜间噪声均达</w:t>
      </w:r>
      <w:r>
        <w:rPr>
          <w:rFonts w:ascii="宋体" w:hAnsi="宋体" w:eastAsia="宋体" w:cs="宋体"/>
          <w:spacing w:val="9"/>
          <w:sz w:val="24"/>
          <w:szCs w:val="24"/>
        </w:rPr>
        <w:t xml:space="preserve"> </w:t>
      </w:r>
      <w:r>
        <w:rPr>
          <w:rFonts w:ascii="宋体" w:hAnsi="宋体" w:eastAsia="宋体" w:cs="宋体"/>
          <w:spacing w:val="-2"/>
          <w:sz w:val="24"/>
          <w:szCs w:val="24"/>
        </w:rPr>
        <w:t>到《声环境质量标准》（</w:t>
      </w:r>
      <w:r>
        <w:rPr>
          <w:rFonts w:ascii="Times New Roman" w:hAnsi="Times New Roman" w:eastAsia="Times New Roman" w:cs="Times New Roman"/>
          <w:spacing w:val="-2"/>
          <w:sz w:val="24"/>
          <w:szCs w:val="24"/>
        </w:rPr>
        <w:t>GB3096-2008</w:t>
      </w:r>
      <w:r>
        <w:rPr>
          <w:rFonts w:ascii="宋体" w:hAnsi="宋体" w:eastAsia="宋体" w:cs="宋体"/>
          <w:spacing w:val="-2"/>
          <w:sz w:val="24"/>
          <w:szCs w:val="24"/>
        </w:rPr>
        <w:t>）中的</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类标准</w:t>
      </w:r>
      <w:r>
        <w:rPr>
          <w:rFonts w:ascii="宋体" w:hAnsi="宋体" w:eastAsia="宋体" w:cs="宋体"/>
          <w:spacing w:val="-3"/>
          <w:sz w:val="24"/>
          <w:szCs w:val="24"/>
        </w:rPr>
        <w:t>。因此，项目区域声环境现状</w:t>
      </w:r>
      <w:r>
        <w:rPr>
          <w:rFonts w:ascii="宋体" w:hAnsi="宋体" w:eastAsia="宋体" w:cs="宋体"/>
          <w:sz w:val="24"/>
          <w:szCs w:val="24"/>
        </w:rPr>
        <w:t xml:space="preserve"> </w:t>
      </w:r>
      <w:r>
        <w:rPr>
          <w:rFonts w:ascii="宋体" w:hAnsi="宋体" w:eastAsia="宋体" w:cs="宋体"/>
          <w:spacing w:val="-3"/>
          <w:sz w:val="24"/>
          <w:szCs w:val="24"/>
        </w:rPr>
        <w:t>质量良好。</w:t>
      </w:r>
    </w:p>
    <w:p w14:paraId="3FA25CBD">
      <w:pPr>
        <w:pStyle w:val="2"/>
        <w:spacing w:line="276" w:lineRule="auto"/>
      </w:pPr>
    </w:p>
    <w:p w14:paraId="3A5D1405">
      <w:pPr>
        <w:spacing w:before="79"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9.2.3</w:t>
      </w:r>
      <w:r>
        <w:rPr>
          <w:rFonts w:ascii="宋体" w:hAnsi="宋体" w:eastAsia="宋体" w:cs="宋体"/>
          <w:b/>
          <w:bCs/>
          <w:spacing w:val="-2"/>
          <w:sz w:val="24"/>
          <w:szCs w:val="24"/>
        </w:rPr>
        <w:t>地下水环境质量现状评价结论</w:t>
      </w:r>
    </w:p>
    <w:p w14:paraId="14C80306">
      <w:pPr>
        <w:pStyle w:val="2"/>
        <w:spacing w:line="288" w:lineRule="auto"/>
      </w:pPr>
    </w:p>
    <w:p w14:paraId="0C3B16B1">
      <w:pPr>
        <w:spacing w:before="78" w:line="367" w:lineRule="auto"/>
        <w:ind w:left="24" w:firstLine="458"/>
        <w:rPr>
          <w:rFonts w:ascii="宋体" w:hAnsi="宋体" w:eastAsia="宋体" w:cs="宋体"/>
          <w:sz w:val="24"/>
          <w:szCs w:val="24"/>
        </w:rPr>
      </w:pPr>
      <w:r>
        <w:rPr>
          <w:rFonts w:ascii="宋体" w:hAnsi="宋体" w:eastAsia="宋体" w:cs="宋体"/>
          <w:spacing w:val="-3"/>
          <w:sz w:val="24"/>
          <w:szCs w:val="24"/>
        </w:rPr>
        <w:t>监测结果分析表明，各项监测指标均达到《地下水质量标准》（</w:t>
      </w:r>
      <w:r>
        <w:rPr>
          <w:rFonts w:ascii="Times New Roman" w:hAnsi="Times New Roman" w:eastAsia="Times New Roman" w:cs="Times New Roman"/>
          <w:spacing w:val="-3"/>
          <w:sz w:val="24"/>
          <w:szCs w:val="24"/>
        </w:rPr>
        <w:t>GB/T</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pacing w:val="-3"/>
          <w:sz w:val="24"/>
          <w:szCs w:val="24"/>
        </w:rPr>
        <w:t>14848-93</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
          <w:sz w:val="24"/>
          <w:szCs w:val="24"/>
        </w:rPr>
        <w:t>中的Ⅲ类水质标准。项目所在区域地下水水环境质量</w:t>
      </w:r>
      <w:r>
        <w:rPr>
          <w:rFonts w:ascii="宋体" w:hAnsi="宋体" w:eastAsia="宋体" w:cs="宋体"/>
          <w:spacing w:val="-2"/>
          <w:sz w:val="24"/>
          <w:szCs w:val="24"/>
        </w:rPr>
        <w:t>现状良好。</w:t>
      </w:r>
    </w:p>
    <w:p w14:paraId="3257BBB4">
      <w:pPr>
        <w:spacing w:line="367" w:lineRule="auto"/>
        <w:rPr>
          <w:rFonts w:ascii="宋体" w:hAnsi="宋体" w:eastAsia="宋体" w:cs="宋体"/>
          <w:sz w:val="24"/>
          <w:szCs w:val="24"/>
        </w:rPr>
        <w:sectPr>
          <w:footerReference r:id="rId180" w:type="default"/>
          <w:pgSz w:w="11906" w:h="16839"/>
          <w:pgMar w:top="400" w:right="1482" w:bottom="1485" w:left="1596" w:header="0" w:footer="1249" w:gutter="0"/>
          <w:cols w:space="720" w:num="1"/>
        </w:sectPr>
      </w:pPr>
    </w:p>
    <w:p w14:paraId="229D740D">
      <w:pPr>
        <w:pStyle w:val="2"/>
        <w:spacing w:line="250" w:lineRule="auto"/>
      </w:pPr>
    </w:p>
    <w:p w14:paraId="1C0FFFA0">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9.2.4</w:t>
      </w:r>
      <w:r>
        <w:rPr>
          <w:rFonts w:ascii="宋体" w:hAnsi="宋体" w:eastAsia="宋体" w:cs="宋体"/>
          <w:b/>
          <w:bCs/>
          <w:spacing w:val="-2"/>
          <w:sz w:val="24"/>
          <w:szCs w:val="24"/>
        </w:rPr>
        <w:t>土壤环境质量现状评价结论</w:t>
      </w:r>
    </w:p>
    <w:p w14:paraId="3201294C">
      <w:pPr>
        <w:pStyle w:val="2"/>
        <w:spacing w:line="277" w:lineRule="auto"/>
      </w:pPr>
    </w:p>
    <w:p w14:paraId="529FA34A">
      <w:pPr>
        <w:spacing w:before="78" w:line="362" w:lineRule="auto"/>
        <w:ind w:right="63" w:firstLine="480"/>
        <w:jc w:val="both"/>
        <w:rPr>
          <w:rFonts w:ascii="宋体" w:hAnsi="宋体" w:eastAsia="宋体" w:cs="宋体"/>
          <w:sz w:val="24"/>
          <w:szCs w:val="24"/>
        </w:rPr>
      </w:pPr>
      <w:r>
        <w:rPr>
          <w:rFonts w:ascii="宋体" w:hAnsi="宋体" w:eastAsia="宋体" w:cs="宋体"/>
          <w:spacing w:val="2"/>
          <w:sz w:val="24"/>
          <w:szCs w:val="24"/>
        </w:rPr>
        <w:t>对土壤中的所有监测指标均达到国家《土壤环境质量建设用地土壤污染风险管</w:t>
      </w:r>
      <w:r>
        <w:rPr>
          <w:rFonts w:ascii="宋体" w:hAnsi="宋体" w:eastAsia="宋体" w:cs="宋体"/>
          <w:spacing w:val="11"/>
          <w:sz w:val="24"/>
          <w:szCs w:val="24"/>
        </w:rPr>
        <w:t xml:space="preserve"> </w:t>
      </w:r>
      <w:r>
        <w:rPr>
          <w:rFonts w:ascii="宋体" w:hAnsi="宋体" w:eastAsia="宋体" w:cs="宋体"/>
          <w:spacing w:val="1"/>
          <w:sz w:val="24"/>
          <w:szCs w:val="24"/>
        </w:rPr>
        <w:t>控标准（试行）》（</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36600-2018</w:t>
      </w:r>
      <w:r>
        <w:rPr>
          <w:rFonts w:ascii="宋体" w:hAnsi="宋体" w:eastAsia="宋体" w:cs="宋体"/>
          <w:spacing w:val="1"/>
          <w:sz w:val="24"/>
          <w:szCs w:val="24"/>
        </w:rPr>
        <w:t>）第二类建设用地筛</w:t>
      </w:r>
      <w:r>
        <w:rPr>
          <w:rFonts w:ascii="宋体" w:hAnsi="宋体" w:eastAsia="宋体" w:cs="宋体"/>
          <w:sz w:val="24"/>
          <w:szCs w:val="24"/>
        </w:rPr>
        <w:t>选值，土壤中有害物质的含 量极低，环境质量基本保持自然背景水平，对植物和环</w:t>
      </w:r>
      <w:r>
        <w:rPr>
          <w:rFonts w:ascii="宋体" w:hAnsi="宋体" w:eastAsia="宋体" w:cs="宋体"/>
          <w:spacing w:val="-1"/>
          <w:sz w:val="24"/>
          <w:szCs w:val="24"/>
        </w:rPr>
        <w:t>境不造成危害和污染。</w:t>
      </w:r>
    </w:p>
    <w:p w14:paraId="4AB4BB3F">
      <w:pPr>
        <w:pStyle w:val="2"/>
        <w:spacing w:line="258" w:lineRule="auto"/>
      </w:pPr>
    </w:p>
    <w:p w14:paraId="1060FC20">
      <w:pPr>
        <w:spacing w:before="101" w:line="224" w:lineRule="auto"/>
        <w:ind w:left="6"/>
        <w:outlineLvl w:val="1"/>
        <w:rPr>
          <w:rFonts w:ascii="宋体" w:hAnsi="宋体" w:eastAsia="宋体" w:cs="宋体"/>
          <w:sz w:val="31"/>
          <w:szCs w:val="31"/>
        </w:rPr>
      </w:pPr>
      <w:bookmarkStart w:id="57" w:name="bookmark51"/>
      <w:bookmarkEnd w:id="57"/>
      <w:r>
        <w:rPr>
          <w:rFonts w:ascii="宋体" w:hAnsi="宋体" w:eastAsia="宋体" w:cs="宋体"/>
          <w:b/>
          <w:bCs/>
          <w:spacing w:val="5"/>
          <w:sz w:val="31"/>
          <w:szCs w:val="31"/>
        </w:rPr>
        <w:t>9.3施工期环境影响评价结论</w:t>
      </w:r>
    </w:p>
    <w:p w14:paraId="014F9152">
      <w:pPr>
        <w:pStyle w:val="2"/>
        <w:spacing w:line="450" w:lineRule="auto"/>
      </w:pPr>
    </w:p>
    <w:p w14:paraId="00401932">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9.3.1</w:t>
      </w:r>
      <w:r>
        <w:rPr>
          <w:rFonts w:ascii="宋体" w:hAnsi="宋体" w:eastAsia="宋体" w:cs="宋体"/>
          <w:b/>
          <w:bCs/>
          <w:spacing w:val="-2"/>
          <w:sz w:val="24"/>
          <w:szCs w:val="24"/>
        </w:rPr>
        <w:t>施工期大气环境影响评价结论</w:t>
      </w:r>
    </w:p>
    <w:p w14:paraId="14A571C0">
      <w:pPr>
        <w:pStyle w:val="2"/>
        <w:spacing w:line="247" w:lineRule="auto"/>
      </w:pPr>
    </w:p>
    <w:p w14:paraId="3F35A3B3">
      <w:pPr>
        <w:spacing w:before="78" w:line="378" w:lineRule="auto"/>
        <w:ind w:left="1" w:firstLine="480"/>
        <w:jc w:val="both"/>
        <w:rPr>
          <w:rFonts w:ascii="宋体" w:hAnsi="宋体" w:eastAsia="宋体" w:cs="宋体"/>
          <w:sz w:val="24"/>
          <w:szCs w:val="24"/>
        </w:rPr>
      </w:pPr>
      <w:r>
        <w:rPr>
          <w:rFonts w:ascii="宋体" w:hAnsi="宋体" w:eastAsia="宋体" w:cs="宋体"/>
          <w:spacing w:val="-5"/>
          <w:sz w:val="24"/>
          <w:szCs w:val="24"/>
        </w:rPr>
        <w:t>根据项目工程分析，施工期无组织排放扬尘影响的范围主要集中在</w:t>
      </w:r>
      <w:r>
        <w:rPr>
          <w:rFonts w:ascii="宋体" w:hAnsi="宋体" w:eastAsia="宋体" w:cs="宋体"/>
          <w:spacing w:val="-18"/>
          <w:sz w:val="24"/>
          <w:szCs w:val="24"/>
        </w:rPr>
        <w:t xml:space="preserve"> </w:t>
      </w:r>
      <w:r>
        <w:rPr>
          <w:rFonts w:ascii="Times New Roman" w:hAnsi="Times New Roman" w:eastAsia="Times New Roman" w:cs="Times New Roman"/>
          <w:spacing w:val="-5"/>
          <w:sz w:val="24"/>
          <w:szCs w:val="24"/>
        </w:rPr>
        <w:t>100m</w:t>
      </w:r>
      <w:r>
        <w:rPr>
          <w:rFonts w:ascii="Times New Roman" w:hAnsi="Times New Roman" w:eastAsia="Times New Roman" w:cs="Times New Roman"/>
          <w:spacing w:val="17"/>
          <w:w w:val="101"/>
          <w:sz w:val="24"/>
          <w:szCs w:val="24"/>
        </w:rPr>
        <w:t xml:space="preserve">  </w:t>
      </w:r>
      <w:r>
        <w:rPr>
          <w:rFonts w:ascii="宋体" w:hAnsi="宋体" w:eastAsia="宋体" w:cs="宋体"/>
          <w:spacing w:val="-5"/>
          <w:sz w:val="24"/>
          <w:szCs w:val="24"/>
        </w:rPr>
        <w:t>以内，</w:t>
      </w:r>
      <w:r>
        <w:rPr>
          <w:rFonts w:ascii="宋体" w:hAnsi="宋体" w:eastAsia="宋体" w:cs="宋体"/>
          <w:sz w:val="24"/>
          <w:szCs w:val="24"/>
        </w:rPr>
        <w:t xml:space="preserve"> </w:t>
      </w:r>
      <w:r>
        <w:rPr>
          <w:rFonts w:ascii="宋体" w:hAnsi="宋体" w:eastAsia="宋体" w:cs="宋体"/>
          <w:spacing w:val="3"/>
          <w:sz w:val="24"/>
          <w:szCs w:val="24"/>
        </w:rPr>
        <w:t>本项目场区地势开阔，距离本项目主体工程最近的敏感点为西北侧</w:t>
      </w:r>
      <w:r>
        <w:rPr>
          <w:rFonts w:ascii="Times New Roman" w:hAnsi="Times New Roman" w:eastAsia="Times New Roman" w:cs="Times New Roman"/>
          <w:spacing w:val="3"/>
          <w:sz w:val="24"/>
          <w:szCs w:val="24"/>
        </w:rPr>
        <w:t xml:space="preserve">292m  </w:t>
      </w:r>
      <w:r>
        <w:rPr>
          <w:rFonts w:ascii="宋体" w:hAnsi="宋体" w:eastAsia="宋体" w:cs="宋体"/>
          <w:spacing w:val="3"/>
          <w:sz w:val="24"/>
          <w:szCs w:val="24"/>
        </w:rPr>
        <w:t>处的龙岗</w:t>
      </w:r>
      <w:r>
        <w:rPr>
          <w:rFonts w:ascii="宋体" w:hAnsi="宋体" w:eastAsia="宋体" w:cs="宋体"/>
          <w:spacing w:val="14"/>
          <w:sz w:val="24"/>
          <w:szCs w:val="24"/>
        </w:rPr>
        <w:t xml:space="preserve"> </w:t>
      </w:r>
      <w:r>
        <w:rPr>
          <w:rFonts w:ascii="宋体" w:hAnsi="宋体" w:eastAsia="宋体" w:cs="宋体"/>
          <w:spacing w:val="2"/>
          <w:sz w:val="24"/>
          <w:szCs w:val="24"/>
        </w:rPr>
        <w:t>村，在采取洒水降尘等措施后，项目施工扬尘对周围环境的影响很小，且施工期扬</w:t>
      </w:r>
      <w:r>
        <w:rPr>
          <w:rFonts w:ascii="宋体" w:hAnsi="宋体" w:eastAsia="宋体" w:cs="宋体"/>
          <w:spacing w:val="6"/>
          <w:sz w:val="24"/>
          <w:szCs w:val="24"/>
        </w:rPr>
        <w:t xml:space="preserve"> </w:t>
      </w:r>
      <w:r>
        <w:rPr>
          <w:rFonts w:ascii="宋体" w:hAnsi="宋体" w:eastAsia="宋体" w:cs="宋体"/>
          <w:spacing w:val="2"/>
          <w:sz w:val="24"/>
          <w:szCs w:val="24"/>
        </w:rPr>
        <w:t>尘污染是短期影响，会随施工活动的结束而消除。项目机械燃油废气，污染物排放</w:t>
      </w:r>
      <w:r>
        <w:rPr>
          <w:rFonts w:ascii="宋体" w:hAnsi="宋体" w:eastAsia="宋体" w:cs="宋体"/>
          <w:spacing w:val="6"/>
          <w:sz w:val="24"/>
          <w:szCs w:val="24"/>
        </w:rPr>
        <w:t xml:space="preserve"> </w:t>
      </w:r>
      <w:r>
        <w:rPr>
          <w:rFonts w:ascii="宋体" w:hAnsi="宋体" w:eastAsia="宋体" w:cs="宋体"/>
          <w:spacing w:val="2"/>
          <w:sz w:val="24"/>
          <w:szCs w:val="24"/>
        </w:rPr>
        <w:t>量不大，且表现为间歇特征。装修时油漆废气产生量较少，装修阶段的油漆废气排</w:t>
      </w:r>
      <w:r>
        <w:rPr>
          <w:rFonts w:ascii="宋体" w:hAnsi="宋体" w:eastAsia="宋体" w:cs="宋体"/>
          <w:spacing w:val="6"/>
          <w:sz w:val="24"/>
          <w:szCs w:val="24"/>
        </w:rPr>
        <w:t xml:space="preserve"> </w:t>
      </w:r>
      <w:r>
        <w:rPr>
          <w:rFonts w:ascii="宋体" w:hAnsi="宋体" w:eastAsia="宋体" w:cs="宋体"/>
          <w:spacing w:val="2"/>
          <w:sz w:val="24"/>
          <w:szCs w:val="24"/>
        </w:rPr>
        <w:t>放周期短，且作业分散，在装修期间应加强室内的通风换气。建设项目施工期大气</w:t>
      </w:r>
      <w:r>
        <w:rPr>
          <w:rFonts w:ascii="宋体" w:hAnsi="宋体" w:eastAsia="宋体" w:cs="宋体"/>
          <w:spacing w:val="6"/>
          <w:sz w:val="24"/>
          <w:szCs w:val="24"/>
        </w:rPr>
        <w:t xml:space="preserve"> </w:t>
      </w:r>
      <w:r>
        <w:rPr>
          <w:rFonts w:ascii="宋体" w:hAnsi="宋体" w:eastAsia="宋体" w:cs="宋体"/>
          <w:spacing w:val="-1"/>
          <w:sz w:val="24"/>
          <w:szCs w:val="24"/>
        </w:rPr>
        <w:t>污染对评价区域环境空气质量和周围关心点的影响较小。</w:t>
      </w:r>
    </w:p>
    <w:p w14:paraId="25629FB7">
      <w:pPr>
        <w:spacing w:before="314"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9.3.2</w:t>
      </w:r>
      <w:r>
        <w:rPr>
          <w:rFonts w:ascii="宋体" w:hAnsi="宋体" w:eastAsia="宋体" w:cs="宋体"/>
          <w:b/>
          <w:bCs/>
          <w:spacing w:val="-2"/>
          <w:sz w:val="24"/>
          <w:szCs w:val="24"/>
        </w:rPr>
        <w:t>施工期地表水环境影响评价结论</w:t>
      </w:r>
    </w:p>
    <w:p w14:paraId="43C622BA">
      <w:pPr>
        <w:pStyle w:val="2"/>
        <w:spacing w:line="281" w:lineRule="auto"/>
      </w:pPr>
    </w:p>
    <w:p w14:paraId="1124E836">
      <w:pPr>
        <w:spacing w:before="78" w:line="377" w:lineRule="auto"/>
        <w:ind w:left="1" w:right="66" w:firstLine="479"/>
        <w:jc w:val="both"/>
        <w:rPr>
          <w:rFonts w:ascii="宋体" w:hAnsi="宋体" w:eastAsia="宋体" w:cs="宋体"/>
          <w:sz w:val="24"/>
          <w:szCs w:val="24"/>
        </w:rPr>
      </w:pPr>
      <w:r>
        <w:rPr>
          <w:rFonts w:ascii="宋体" w:hAnsi="宋体" w:eastAsia="宋体" w:cs="宋体"/>
          <w:spacing w:val="2"/>
          <w:sz w:val="24"/>
          <w:szCs w:val="24"/>
        </w:rPr>
        <w:t>施工期废水通过沟渠收集排入沉淀池进行沉淀等处理，处理后的废水全部回用</w:t>
      </w:r>
      <w:r>
        <w:rPr>
          <w:rFonts w:ascii="宋体" w:hAnsi="宋体" w:eastAsia="宋体" w:cs="宋体"/>
          <w:spacing w:val="11"/>
          <w:sz w:val="24"/>
          <w:szCs w:val="24"/>
        </w:rPr>
        <w:t xml:space="preserve"> </w:t>
      </w:r>
      <w:r>
        <w:rPr>
          <w:rFonts w:ascii="宋体" w:hAnsi="宋体" w:eastAsia="宋体" w:cs="宋体"/>
          <w:spacing w:val="2"/>
          <w:sz w:val="24"/>
          <w:szCs w:val="24"/>
        </w:rPr>
        <w:t>于施工过程和场地洒水抑尘，不外排。本项目施工场区面积较大，施工场地抑尘需</w:t>
      </w:r>
      <w:r>
        <w:rPr>
          <w:rFonts w:ascii="宋体" w:hAnsi="宋体" w:eastAsia="宋体" w:cs="宋体"/>
          <w:spacing w:val="6"/>
          <w:sz w:val="24"/>
          <w:szCs w:val="24"/>
        </w:rPr>
        <w:t xml:space="preserve"> </w:t>
      </w:r>
      <w:r>
        <w:rPr>
          <w:rFonts w:ascii="宋体" w:hAnsi="宋体" w:eastAsia="宋体" w:cs="宋体"/>
          <w:spacing w:val="2"/>
          <w:sz w:val="24"/>
          <w:szCs w:val="24"/>
        </w:rPr>
        <w:t>要消耗大量的水，施工废水、机械车辆清洗废水和施工人员清洁废水等水量较小，</w:t>
      </w:r>
      <w:r>
        <w:rPr>
          <w:rFonts w:ascii="宋体" w:hAnsi="宋体" w:eastAsia="宋体" w:cs="宋体"/>
          <w:spacing w:val="6"/>
          <w:sz w:val="24"/>
          <w:szCs w:val="24"/>
        </w:rPr>
        <w:t xml:space="preserve"> </w:t>
      </w:r>
      <w:r>
        <w:rPr>
          <w:rFonts w:ascii="宋体" w:hAnsi="宋体" w:eastAsia="宋体" w:cs="宋体"/>
          <w:spacing w:val="2"/>
          <w:sz w:val="24"/>
          <w:szCs w:val="24"/>
        </w:rPr>
        <w:t>通过沉淀池沉淀、澄清处理后可全部回用。施工期生活污水经临时化粪池处理后，</w:t>
      </w:r>
      <w:r>
        <w:rPr>
          <w:rFonts w:ascii="宋体" w:hAnsi="宋体" w:eastAsia="宋体" w:cs="宋体"/>
          <w:spacing w:val="6"/>
          <w:sz w:val="24"/>
          <w:szCs w:val="24"/>
        </w:rPr>
        <w:t xml:space="preserve"> </w:t>
      </w:r>
      <w:r>
        <w:rPr>
          <w:rFonts w:ascii="宋体" w:hAnsi="宋体" w:eastAsia="宋体" w:cs="宋体"/>
          <w:sz w:val="24"/>
          <w:szCs w:val="24"/>
        </w:rPr>
        <w:t>用于周边林地灌溉，不外排。项目施工期废水对</w:t>
      </w:r>
      <w:r>
        <w:rPr>
          <w:rFonts w:ascii="宋体" w:hAnsi="宋体" w:eastAsia="宋体" w:cs="宋体"/>
          <w:spacing w:val="-1"/>
          <w:sz w:val="24"/>
          <w:szCs w:val="24"/>
        </w:rPr>
        <w:t>周围水环境的影响不大。</w:t>
      </w:r>
    </w:p>
    <w:p w14:paraId="63B33668">
      <w:pPr>
        <w:spacing w:before="293"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9.3.3</w:t>
      </w:r>
      <w:r>
        <w:rPr>
          <w:rFonts w:ascii="宋体" w:hAnsi="宋体" w:eastAsia="宋体" w:cs="宋体"/>
          <w:b/>
          <w:bCs/>
          <w:spacing w:val="-2"/>
          <w:sz w:val="24"/>
          <w:szCs w:val="24"/>
        </w:rPr>
        <w:t>施工期地下水环境影响评价结论</w:t>
      </w:r>
    </w:p>
    <w:p w14:paraId="71FC89D2">
      <w:pPr>
        <w:pStyle w:val="2"/>
        <w:spacing w:line="281" w:lineRule="auto"/>
      </w:pPr>
    </w:p>
    <w:p w14:paraId="06EEDC0A">
      <w:pPr>
        <w:spacing w:before="78" w:line="377" w:lineRule="auto"/>
        <w:ind w:left="1" w:right="66" w:firstLine="479"/>
        <w:rPr>
          <w:rFonts w:ascii="宋体" w:hAnsi="宋体" w:eastAsia="宋体" w:cs="宋体"/>
          <w:sz w:val="24"/>
          <w:szCs w:val="24"/>
        </w:rPr>
      </w:pPr>
      <w:r>
        <w:rPr>
          <w:rFonts w:ascii="宋体" w:hAnsi="宋体" w:eastAsia="宋体" w:cs="宋体"/>
          <w:spacing w:val="2"/>
          <w:sz w:val="24"/>
          <w:szCs w:val="24"/>
        </w:rPr>
        <w:t>施工期车辆冲洗在地面进行混凝土硬化，产生的废水汇集到沉淀池沉淀，并且</w:t>
      </w:r>
      <w:r>
        <w:rPr>
          <w:rFonts w:ascii="宋体" w:hAnsi="宋体" w:eastAsia="宋体" w:cs="宋体"/>
          <w:spacing w:val="11"/>
          <w:sz w:val="24"/>
          <w:szCs w:val="24"/>
        </w:rPr>
        <w:t xml:space="preserve"> </w:t>
      </w:r>
      <w:r>
        <w:rPr>
          <w:rFonts w:ascii="宋体" w:hAnsi="宋体" w:eastAsia="宋体" w:cs="宋体"/>
          <w:spacing w:val="2"/>
          <w:sz w:val="24"/>
          <w:szCs w:val="24"/>
        </w:rPr>
        <w:t>沉淀后回用，减少污水产生量，同事采用混凝土对沉淀池壁及底面进行硬化，及时</w:t>
      </w:r>
      <w:r>
        <w:rPr>
          <w:rFonts w:ascii="宋体" w:hAnsi="宋体" w:eastAsia="宋体" w:cs="宋体"/>
          <w:spacing w:val="6"/>
          <w:sz w:val="24"/>
          <w:szCs w:val="24"/>
        </w:rPr>
        <w:t xml:space="preserve"> </w:t>
      </w:r>
      <w:r>
        <w:rPr>
          <w:rFonts w:ascii="宋体" w:hAnsi="宋体" w:eastAsia="宋体" w:cs="宋体"/>
          <w:spacing w:val="2"/>
          <w:sz w:val="24"/>
          <w:szCs w:val="24"/>
        </w:rPr>
        <w:t>清运沉淀池内的泥沙。及时对建筑垃圾及生活垃圾进行清运，避免其成为污染源。</w:t>
      </w:r>
      <w:r>
        <w:rPr>
          <w:rFonts w:ascii="宋体" w:hAnsi="宋体" w:eastAsia="宋体" w:cs="宋体"/>
          <w:spacing w:val="6"/>
          <w:sz w:val="24"/>
          <w:szCs w:val="24"/>
        </w:rPr>
        <w:t xml:space="preserve"> </w:t>
      </w:r>
      <w:r>
        <w:rPr>
          <w:rFonts w:ascii="宋体" w:hAnsi="宋体" w:eastAsia="宋体" w:cs="宋体"/>
          <w:spacing w:val="2"/>
          <w:sz w:val="24"/>
          <w:szCs w:val="24"/>
        </w:rPr>
        <w:t>车辆维修点地面进行硬化，滴漏在底面的油污及时进行清理，加强机械设备维护。</w:t>
      </w:r>
      <w:r>
        <w:rPr>
          <w:rFonts w:ascii="宋体" w:hAnsi="宋体" w:eastAsia="宋体" w:cs="宋体"/>
          <w:spacing w:val="6"/>
          <w:sz w:val="24"/>
          <w:szCs w:val="24"/>
        </w:rPr>
        <w:t xml:space="preserve"> </w:t>
      </w:r>
      <w:r>
        <w:rPr>
          <w:rFonts w:ascii="宋体" w:hAnsi="宋体" w:eastAsia="宋体" w:cs="宋体"/>
          <w:spacing w:val="-1"/>
          <w:sz w:val="24"/>
          <w:szCs w:val="24"/>
        </w:rPr>
        <w:t>因此，项目施工期对地下水环境影响不大。</w:t>
      </w:r>
    </w:p>
    <w:p w14:paraId="1FB9C137">
      <w:pPr>
        <w:spacing w:line="377" w:lineRule="auto"/>
        <w:rPr>
          <w:rFonts w:ascii="宋体" w:hAnsi="宋体" w:eastAsia="宋体" w:cs="宋体"/>
          <w:sz w:val="24"/>
          <w:szCs w:val="24"/>
        </w:rPr>
        <w:sectPr>
          <w:footerReference r:id="rId181" w:type="default"/>
          <w:pgSz w:w="11906" w:h="16839"/>
          <w:pgMar w:top="400" w:right="1522" w:bottom="1485" w:left="1596" w:header="0" w:footer="1249" w:gutter="0"/>
          <w:cols w:space="720" w:num="1"/>
        </w:sectPr>
      </w:pPr>
    </w:p>
    <w:p w14:paraId="370EB387">
      <w:pPr>
        <w:pStyle w:val="2"/>
        <w:spacing w:line="250" w:lineRule="auto"/>
      </w:pPr>
    </w:p>
    <w:p w14:paraId="593DF15A">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9.3.4</w:t>
      </w:r>
      <w:r>
        <w:rPr>
          <w:rFonts w:ascii="宋体" w:hAnsi="宋体" w:eastAsia="宋体" w:cs="宋体"/>
          <w:b/>
          <w:bCs/>
          <w:spacing w:val="-2"/>
          <w:sz w:val="24"/>
          <w:szCs w:val="24"/>
        </w:rPr>
        <w:t>施工期声环境影响评价结论</w:t>
      </w:r>
    </w:p>
    <w:p w14:paraId="7F4DC5B3">
      <w:pPr>
        <w:pStyle w:val="2"/>
        <w:spacing w:line="277" w:lineRule="auto"/>
      </w:pPr>
    </w:p>
    <w:p w14:paraId="091E684B">
      <w:pPr>
        <w:spacing w:before="78" w:line="371" w:lineRule="auto"/>
        <w:ind w:right="78" w:firstLine="480"/>
        <w:jc w:val="both"/>
        <w:rPr>
          <w:rFonts w:ascii="宋体" w:hAnsi="宋体" w:eastAsia="宋体" w:cs="宋体"/>
          <w:sz w:val="24"/>
          <w:szCs w:val="24"/>
        </w:rPr>
      </w:pPr>
      <w:r>
        <w:rPr>
          <w:rFonts w:ascii="宋体" w:hAnsi="宋体" w:eastAsia="宋体" w:cs="宋体"/>
          <w:spacing w:val="2"/>
          <w:sz w:val="24"/>
          <w:szCs w:val="24"/>
        </w:rPr>
        <w:t>施工机械的噪声较高，根据估算，白天施工噪声不能满足《建筑施工场界噪声</w:t>
      </w:r>
      <w:r>
        <w:rPr>
          <w:rFonts w:ascii="宋体" w:hAnsi="宋体" w:eastAsia="宋体" w:cs="宋体"/>
          <w:spacing w:val="11"/>
          <w:sz w:val="24"/>
          <w:szCs w:val="24"/>
        </w:rPr>
        <w:t xml:space="preserve"> </w:t>
      </w:r>
      <w:r>
        <w:rPr>
          <w:rFonts w:ascii="宋体" w:hAnsi="宋体" w:eastAsia="宋体" w:cs="宋体"/>
          <w:spacing w:val="-1"/>
          <w:sz w:val="24"/>
          <w:szCs w:val="24"/>
        </w:rPr>
        <w:t>排放标准限值》（</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
          <w:sz w:val="24"/>
          <w:szCs w:val="24"/>
        </w:rPr>
        <w:t>12523-2011</w:t>
      </w:r>
      <w:r>
        <w:rPr>
          <w:rFonts w:ascii="宋体" w:hAnsi="宋体" w:eastAsia="宋体" w:cs="宋体"/>
          <w:spacing w:val="-1"/>
          <w:sz w:val="24"/>
          <w:szCs w:val="24"/>
        </w:rPr>
        <w:t xml:space="preserve">）的点出现在距声源 </w:t>
      </w:r>
      <w:r>
        <w:rPr>
          <w:rFonts w:ascii="Times New Roman" w:hAnsi="Times New Roman" w:eastAsia="Times New Roman" w:cs="Times New Roman"/>
          <w:spacing w:val="-1"/>
          <w:sz w:val="24"/>
          <w:szCs w:val="24"/>
        </w:rPr>
        <w:t>50m</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的范围内，夜间项目不</w:t>
      </w:r>
      <w:r>
        <w:rPr>
          <w:rFonts w:ascii="宋体" w:hAnsi="宋体" w:eastAsia="宋体" w:cs="宋体"/>
          <w:sz w:val="24"/>
          <w:szCs w:val="24"/>
        </w:rPr>
        <w:t xml:space="preserve"> </w:t>
      </w:r>
      <w:r>
        <w:rPr>
          <w:rFonts w:ascii="宋体" w:hAnsi="宋体" w:eastAsia="宋体" w:cs="宋体"/>
          <w:spacing w:val="3"/>
          <w:sz w:val="24"/>
          <w:szCs w:val="24"/>
        </w:rPr>
        <w:t>进行施工。距离本项目主体工程最近的敏感点为西北侧</w:t>
      </w:r>
      <w:r>
        <w:rPr>
          <w:rFonts w:ascii="Times New Roman" w:hAnsi="Times New Roman" w:eastAsia="Times New Roman" w:cs="Times New Roman"/>
          <w:spacing w:val="3"/>
          <w:sz w:val="24"/>
          <w:szCs w:val="24"/>
        </w:rPr>
        <w:t xml:space="preserve">292m  </w:t>
      </w:r>
      <w:r>
        <w:rPr>
          <w:rFonts w:ascii="宋体" w:hAnsi="宋体" w:eastAsia="宋体" w:cs="宋体"/>
          <w:spacing w:val="3"/>
          <w:sz w:val="24"/>
          <w:szCs w:val="24"/>
        </w:rPr>
        <w:t>处的龙岗村，距离较</w:t>
      </w:r>
      <w:r>
        <w:rPr>
          <w:rFonts w:ascii="宋体" w:hAnsi="宋体" w:eastAsia="宋体" w:cs="宋体"/>
          <w:spacing w:val="16"/>
          <w:sz w:val="24"/>
          <w:szCs w:val="24"/>
        </w:rPr>
        <w:t xml:space="preserve"> </w:t>
      </w:r>
      <w:r>
        <w:rPr>
          <w:rFonts w:ascii="宋体" w:hAnsi="宋体" w:eastAsia="宋体" w:cs="宋体"/>
          <w:spacing w:val="2"/>
          <w:sz w:val="24"/>
          <w:szCs w:val="24"/>
        </w:rPr>
        <w:t>远，且项目于村民住宅之间为林地，能够一定程度的阻隔噪声，因此评价认为拟建</w:t>
      </w:r>
      <w:r>
        <w:rPr>
          <w:rFonts w:ascii="宋体" w:hAnsi="宋体" w:eastAsia="宋体" w:cs="宋体"/>
          <w:spacing w:val="8"/>
          <w:sz w:val="24"/>
          <w:szCs w:val="24"/>
        </w:rPr>
        <w:t xml:space="preserve"> </w:t>
      </w:r>
      <w:r>
        <w:rPr>
          <w:rFonts w:ascii="宋体" w:hAnsi="宋体" w:eastAsia="宋体" w:cs="宋体"/>
          <w:spacing w:val="2"/>
          <w:sz w:val="24"/>
          <w:szCs w:val="24"/>
        </w:rPr>
        <w:t>工程施工期间，施工噪声对周边声环境的影响可接受，不会发生噪声扰民现象，且</w:t>
      </w:r>
      <w:r>
        <w:rPr>
          <w:rFonts w:ascii="宋体" w:hAnsi="宋体" w:eastAsia="宋体" w:cs="宋体"/>
          <w:spacing w:val="8"/>
          <w:sz w:val="24"/>
          <w:szCs w:val="24"/>
        </w:rPr>
        <w:t xml:space="preserve"> </w:t>
      </w:r>
      <w:r>
        <w:rPr>
          <w:rFonts w:ascii="宋体" w:hAnsi="宋体" w:eastAsia="宋体" w:cs="宋体"/>
          <w:spacing w:val="-1"/>
          <w:sz w:val="24"/>
          <w:szCs w:val="24"/>
        </w:rPr>
        <w:t>随着施工期的结束，噪声的影响也随之结束。</w:t>
      </w:r>
    </w:p>
    <w:p w14:paraId="70E9DBBF">
      <w:pPr>
        <w:spacing w:before="43" w:line="377" w:lineRule="auto"/>
        <w:ind w:left="2" w:right="81" w:firstLine="480"/>
        <w:jc w:val="both"/>
        <w:rPr>
          <w:rFonts w:ascii="宋体" w:hAnsi="宋体" w:eastAsia="宋体" w:cs="宋体"/>
          <w:sz w:val="24"/>
          <w:szCs w:val="24"/>
        </w:rPr>
      </w:pPr>
      <w:r>
        <w:rPr>
          <w:rFonts w:ascii="宋体" w:hAnsi="宋体" w:eastAsia="宋体" w:cs="宋体"/>
          <w:spacing w:val="2"/>
          <w:sz w:val="24"/>
          <w:szCs w:val="24"/>
        </w:rPr>
        <w:t>本工程建筑物料从厂区附近的乡道输送进场，运输车辆产生的流动噪声可能对</w:t>
      </w:r>
      <w:r>
        <w:rPr>
          <w:rFonts w:ascii="宋体" w:hAnsi="宋体" w:eastAsia="宋体" w:cs="宋体"/>
          <w:spacing w:val="9"/>
          <w:sz w:val="24"/>
          <w:szCs w:val="24"/>
        </w:rPr>
        <w:t xml:space="preserve"> </w:t>
      </w:r>
      <w:r>
        <w:rPr>
          <w:rFonts w:ascii="宋体" w:hAnsi="宋体" w:eastAsia="宋体" w:cs="宋体"/>
          <w:spacing w:val="2"/>
          <w:sz w:val="24"/>
          <w:szCs w:val="24"/>
        </w:rPr>
        <w:t>周围村庄的居民产生影响。评价要求车辆经过村庄时应减速慢行，禁止鸣笛，禁止</w:t>
      </w:r>
      <w:r>
        <w:rPr>
          <w:rFonts w:ascii="宋体" w:hAnsi="宋体" w:eastAsia="宋体" w:cs="宋体"/>
          <w:spacing w:val="5"/>
          <w:sz w:val="24"/>
          <w:szCs w:val="24"/>
        </w:rPr>
        <w:t xml:space="preserve"> </w:t>
      </w:r>
      <w:r>
        <w:rPr>
          <w:rFonts w:ascii="宋体" w:hAnsi="宋体" w:eastAsia="宋体" w:cs="宋体"/>
          <w:spacing w:val="-1"/>
          <w:sz w:val="24"/>
          <w:szCs w:val="24"/>
        </w:rPr>
        <w:t>夜间运输，尽量减少对居民的噪声影响。</w:t>
      </w:r>
    </w:p>
    <w:p w14:paraId="6356888B">
      <w:pPr>
        <w:spacing w:before="293"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9.3.5</w:t>
      </w:r>
      <w:r>
        <w:rPr>
          <w:rFonts w:ascii="宋体" w:hAnsi="宋体" w:eastAsia="宋体" w:cs="宋体"/>
          <w:b/>
          <w:bCs/>
          <w:spacing w:val="-2"/>
          <w:sz w:val="24"/>
          <w:szCs w:val="24"/>
        </w:rPr>
        <w:t>施工期固废环境影响评价结论</w:t>
      </w:r>
    </w:p>
    <w:p w14:paraId="39D6F0F4">
      <w:pPr>
        <w:pStyle w:val="2"/>
        <w:spacing w:line="281" w:lineRule="auto"/>
      </w:pPr>
    </w:p>
    <w:p w14:paraId="46FA0260">
      <w:pPr>
        <w:spacing w:before="79" w:line="379" w:lineRule="auto"/>
        <w:ind w:right="90" w:firstLine="504"/>
        <w:jc w:val="both"/>
        <w:rPr>
          <w:rFonts w:ascii="宋体" w:hAnsi="宋体" w:eastAsia="宋体" w:cs="宋体"/>
          <w:sz w:val="24"/>
          <w:szCs w:val="24"/>
        </w:rPr>
      </w:pPr>
      <w:r>
        <w:rPr>
          <w:rFonts w:ascii="宋体" w:hAnsi="宋体" w:eastAsia="宋体" w:cs="宋体"/>
          <w:spacing w:val="9"/>
          <w:sz w:val="24"/>
          <w:szCs w:val="24"/>
        </w:rPr>
        <w:t>施工期建筑垃圾部分回收利用，不能回收利</w:t>
      </w:r>
      <w:r>
        <w:rPr>
          <w:rFonts w:ascii="宋体" w:hAnsi="宋体" w:eastAsia="宋体" w:cs="宋体"/>
          <w:spacing w:val="8"/>
          <w:sz w:val="24"/>
          <w:szCs w:val="24"/>
        </w:rPr>
        <w:t>用部分主要为废弃沙石、废包装</w:t>
      </w:r>
      <w:r>
        <w:rPr>
          <w:rFonts w:ascii="宋体" w:hAnsi="宋体" w:eastAsia="宋体" w:cs="宋体"/>
          <w:sz w:val="24"/>
          <w:szCs w:val="24"/>
        </w:rPr>
        <w:t xml:space="preserve"> </w:t>
      </w:r>
      <w:r>
        <w:rPr>
          <w:rFonts w:ascii="宋体" w:hAnsi="宋体" w:eastAsia="宋体" w:cs="宋体"/>
          <w:spacing w:val="9"/>
          <w:sz w:val="24"/>
          <w:szCs w:val="24"/>
        </w:rPr>
        <w:t>等，均不含有毒有害物质，向相关市政管理部门申报，妥善弃置消纳</w:t>
      </w:r>
      <w:r>
        <w:rPr>
          <w:rFonts w:ascii="宋体" w:hAnsi="宋体" w:eastAsia="宋体" w:cs="宋体"/>
          <w:spacing w:val="8"/>
          <w:sz w:val="24"/>
          <w:szCs w:val="24"/>
        </w:rPr>
        <w:t>，防止污染</w:t>
      </w:r>
      <w:r>
        <w:rPr>
          <w:rFonts w:ascii="宋体" w:hAnsi="宋体" w:eastAsia="宋体" w:cs="宋体"/>
          <w:sz w:val="24"/>
          <w:szCs w:val="24"/>
        </w:rPr>
        <w:t xml:space="preserve"> </w:t>
      </w:r>
      <w:r>
        <w:rPr>
          <w:rFonts w:ascii="宋体" w:hAnsi="宋体" w:eastAsia="宋体" w:cs="宋体"/>
          <w:spacing w:val="9"/>
          <w:sz w:val="24"/>
          <w:szCs w:val="24"/>
        </w:rPr>
        <w:t>环境；施工人员生活垃圾集中后运至乡镇垃圾收集点，委托环卫</w:t>
      </w:r>
      <w:r>
        <w:rPr>
          <w:rFonts w:ascii="宋体" w:hAnsi="宋体" w:eastAsia="宋体" w:cs="宋体"/>
          <w:spacing w:val="8"/>
          <w:sz w:val="24"/>
          <w:szCs w:val="24"/>
        </w:rPr>
        <w:t>部门统一清运处</w:t>
      </w:r>
      <w:r>
        <w:rPr>
          <w:rFonts w:ascii="宋体" w:hAnsi="宋体" w:eastAsia="宋体" w:cs="宋体"/>
          <w:sz w:val="24"/>
          <w:szCs w:val="24"/>
        </w:rPr>
        <w:t xml:space="preserve"> </w:t>
      </w:r>
      <w:r>
        <w:rPr>
          <w:rFonts w:ascii="宋体" w:hAnsi="宋体" w:eastAsia="宋体" w:cs="宋体"/>
          <w:spacing w:val="-4"/>
          <w:sz w:val="24"/>
          <w:szCs w:val="24"/>
        </w:rPr>
        <w:t>置。</w:t>
      </w:r>
    </w:p>
    <w:p w14:paraId="59EB7CC6">
      <w:pPr>
        <w:spacing w:before="284"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9.3.6</w:t>
      </w:r>
      <w:r>
        <w:rPr>
          <w:rFonts w:ascii="宋体" w:hAnsi="宋体" w:eastAsia="宋体" w:cs="宋体"/>
          <w:b/>
          <w:bCs/>
          <w:spacing w:val="-2"/>
          <w:sz w:val="24"/>
          <w:szCs w:val="24"/>
        </w:rPr>
        <w:t>施工期生态环境影响评价结论</w:t>
      </w:r>
    </w:p>
    <w:p w14:paraId="296AB8F9">
      <w:pPr>
        <w:pStyle w:val="2"/>
        <w:spacing w:line="279" w:lineRule="auto"/>
      </w:pPr>
    </w:p>
    <w:p w14:paraId="227D51A5">
      <w:pPr>
        <w:spacing w:before="78" w:line="377" w:lineRule="auto"/>
        <w:ind w:right="81" w:firstLine="484"/>
        <w:jc w:val="both"/>
        <w:rPr>
          <w:rFonts w:ascii="宋体" w:hAnsi="宋体" w:eastAsia="宋体" w:cs="宋体"/>
          <w:sz w:val="24"/>
          <w:szCs w:val="24"/>
        </w:rPr>
      </w:pPr>
      <w:r>
        <w:rPr>
          <w:rFonts w:ascii="宋体" w:hAnsi="宋体" w:eastAsia="宋体" w:cs="宋体"/>
          <w:spacing w:val="2"/>
          <w:sz w:val="24"/>
          <w:szCs w:val="24"/>
        </w:rPr>
        <w:t>项目的施工建设，会对周围的生态环境带来一定的破坏影响，使现有的土地利</w:t>
      </w:r>
      <w:r>
        <w:rPr>
          <w:rFonts w:ascii="宋体" w:hAnsi="宋体" w:eastAsia="宋体" w:cs="宋体"/>
          <w:spacing w:val="6"/>
          <w:sz w:val="24"/>
          <w:szCs w:val="24"/>
        </w:rPr>
        <w:t xml:space="preserve"> </w:t>
      </w:r>
      <w:r>
        <w:rPr>
          <w:rFonts w:ascii="宋体" w:hAnsi="宋体" w:eastAsia="宋体" w:cs="宋体"/>
          <w:spacing w:val="2"/>
          <w:sz w:val="24"/>
          <w:szCs w:val="24"/>
        </w:rPr>
        <w:t>用类型发生变化，许多地表植被会消失，同时各种机械车辆碾压和施工人员的践踏</w:t>
      </w:r>
      <w:r>
        <w:rPr>
          <w:rFonts w:ascii="宋体" w:hAnsi="宋体" w:eastAsia="宋体" w:cs="宋体"/>
          <w:spacing w:val="7"/>
          <w:sz w:val="24"/>
          <w:szCs w:val="24"/>
        </w:rPr>
        <w:t xml:space="preserve"> </w:t>
      </w:r>
      <w:r>
        <w:rPr>
          <w:rFonts w:ascii="宋体" w:hAnsi="宋体" w:eastAsia="宋体" w:cs="宋体"/>
          <w:spacing w:val="2"/>
          <w:sz w:val="24"/>
          <w:szCs w:val="24"/>
        </w:rPr>
        <w:t>及土石的堆放，也会对植被造成较为严重的破坏和影响。随着施工期的进行，用地</w:t>
      </w:r>
      <w:r>
        <w:rPr>
          <w:rFonts w:ascii="宋体" w:hAnsi="宋体" w:eastAsia="宋体" w:cs="宋体"/>
          <w:spacing w:val="7"/>
          <w:sz w:val="24"/>
          <w:szCs w:val="24"/>
        </w:rPr>
        <w:t xml:space="preserve"> </w:t>
      </w:r>
      <w:r>
        <w:rPr>
          <w:rFonts w:ascii="宋体" w:hAnsi="宋体" w:eastAsia="宋体" w:cs="宋体"/>
          <w:spacing w:val="2"/>
          <w:sz w:val="24"/>
          <w:szCs w:val="24"/>
        </w:rPr>
        <w:t>范围内的一些植物种类将会消失，绝大部分的植物种类数量将会大大减少。随着施</w:t>
      </w:r>
      <w:r>
        <w:rPr>
          <w:rFonts w:ascii="宋体" w:hAnsi="宋体" w:eastAsia="宋体" w:cs="宋体"/>
          <w:spacing w:val="7"/>
          <w:sz w:val="24"/>
          <w:szCs w:val="24"/>
        </w:rPr>
        <w:t xml:space="preserve"> </w:t>
      </w:r>
      <w:r>
        <w:rPr>
          <w:rFonts w:ascii="宋体" w:hAnsi="宋体" w:eastAsia="宋体" w:cs="宋体"/>
          <w:spacing w:val="2"/>
          <w:sz w:val="24"/>
          <w:szCs w:val="24"/>
        </w:rPr>
        <w:t>工期的建设，经过绿化建设，植被会得到逐步恢复。因此，项目施工期对周围生态</w:t>
      </w:r>
      <w:r>
        <w:rPr>
          <w:rFonts w:ascii="宋体" w:hAnsi="宋体" w:eastAsia="宋体" w:cs="宋体"/>
          <w:spacing w:val="7"/>
          <w:sz w:val="24"/>
          <w:szCs w:val="24"/>
        </w:rPr>
        <w:t xml:space="preserve"> </w:t>
      </w:r>
      <w:r>
        <w:rPr>
          <w:rFonts w:ascii="宋体" w:hAnsi="宋体" w:eastAsia="宋体" w:cs="宋体"/>
          <w:spacing w:val="-2"/>
          <w:sz w:val="24"/>
          <w:szCs w:val="24"/>
        </w:rPr>
        <w:t>环境影响较小。</w:t>
      </w:r>
    </w:p>
    <w:p w14:paraId="195F22C1">
      <w:pPr>
        <w:spacing w:before="299" w:line="224" w:lineRule="auto"/>
        <w:ind w:left="6"/>
        <w:outlineLvl w:val="1"/>
        <w:rPr>
          <w:rFonts w:ascii="宋体" w:hAnsi="宋体" w:eastAsia="宋体" w:cs="宋体"/>
          <w:sz w:val="31"/>
          <w:szCs w:val="31"/>
        </w:rPr>
      </w:pPr>
      <w:bookmarkStart w:id="58" w:name="bookmark52"/>
      <w:bookmarkEnd w:id="58"/>
      <w:r>
        <w:rPr>
          <w:rFonts w:ascii="宋体" w:hAnsi="宋体" w:eastAsia="宋体" w:cs="宋体"/>
          <w:b/>
          <w:bCs/>
          <w:spacing w:val="5"/>
          <w:sz w:val="31"/>
          <w:szCs w:val="31"/>
        </w:rPr>
        <w:t>9.4运营期环境影响评价结论</w:t>
      </w:r>
    </w:p>
    <w:p w14:paraId="68F2728D">
      <w:pPr>
        <w:pStyle w:val="2"/>
        <w:spacing w:line="448" w:lineRule="auto"/>
      </w:pPr>
    </w:p>
    <w:p w14:paraId="03AA9FFD">
      <w:pPr>
        <w:spacing w:before="78"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9.4.1</w:t>
      </w:r>
      <w:r>
        <w:rPr>
          <w:rFonts w:ascii="宋体" w:hAnsi="宋体" w:eastAsia="宋体" w:cs="宋体"/>
          <w:b/>
          <w:bCs/>
          <w:spacing w:val="-2"/>
          <w:sz w:val="24"/>
          <w:szCs w:val="24"/>
        </w:rPr>
        <w:t>地表水环境影响评价结论</w:t>
      </w:r>
    </w:p>
    <w:p w14:paraId="51FF733F">
      <w:pPr>
        <w:pStyle w:val="2"/>
        <w:spacing w:line="282" w:lineRule="auto"/>
      </w:pPr>
    </w:p>
    <w:p w14:paraId="55C6FDB9">
      <w:pPr>
        <w:spacing w:before="78" w:line="359" w:lineRule="auto"/>
        <w:ind w:left="10" w:firstLine="472"/>
        <w:rPr>
          <w:rFonts w:ascii="宋体" w:hAnsi="宋体" w:eastAsia="宋体" w:cs="宋体"/>
          <w:sz w:val="24"/>
          <w:szCs w:val="24"/>
        </w:rPr>
      </w:pPr>
      <w:r>
        <w:rPr>
          <w:rFonts w:ascii="宋体" w:hAnsi="宋体" w:eastAsia="宋体" w:cs="宋体"/>
          <w:spacing w:val="-2"/>
          <w:sz w:val="24"/>
          <w:szCs w:val="24"/>
        </w:rPr>
        <w:t>本项目养殖废水（猪只尿液、猪舍冲洗水）与猪只粪</w:t>
      </w:r>
      <w:r>
        <w:rPr>
          <w:rFonts w:ascii="宋体" w:hAnsi="宋体" w:eastAsia="宋体" w:cs="宋体"/>
          <w:spacing w:val="-3"/>
          <w:sz w:val="24"/>
          <w:szCs w:val="24"/>
        </w:rPr>
        <w:t>便一起收集，不单独收集，</w:t>
      </w:r>
      <w:r>
        <w:rPr>
          <w:rFonts w:ascii="宋体" w:hAnsi="宋体" w:eastAsia="宋体" w:cs="宋体"/>
          <w:sz w:val="24"/>
          <w:szCs w:val="24"/>
        </w:rPr>
        <w:t xml:space="preserve"> </w:t>
      </w:r>
      <w:r>
        <w:rPr>
          <w:rFonts w:ascii="宋体" w:hAnsi="宋体" w:eastAsia="宋体" w:cs="宋体"/>
          <w:spacing w:val="-2"/>
          <w:sz w:val="24"/>
          <w:szCs w:val="24"/>
        </w:rPr>
        <w:t>收集的粪污传至有机肥发酵处理系统进行好氧发酵</w:t>
      </w:r>
      <w:r>
        <w:rPr>
          <w:rFonts w:ascii="宋体" w:hAnsi="宋体" w:eastAsia="宋体" w:cs="宋体"/>
          <w:spacing w:val="-3"/>
          <w:sz w:val="24"/>
          <w:szCs w:val="24"/>
        </w:rPr>
        <w:t>成为有机肥半成品外售，不外排。</w:t>
      </w:r>
    </w:p>
    <w:p w14:paraId="71484287">
      <w:pPr>
        <w:spacing w:line="359" w:lineRule="auto"/>
        <w:rPr>
          <w:rFonts w:ascii="宋体" w:hAnsi="宋体" w:eastAsia="宋体" w:cs="宋体"/>
          <w:sz w:val="24"/>
          <w:szCs w:val="24"/>
        </w:rPr>
        <w:sectPr>
          <w:footerReference r:id="rId182" w:type="default"/>
          <w:pgSz w:w="11906" w:h="16839"/>
          <w:pgMar w:top="400" w:right="1507" w:bottom="1485" w:left="1596" w:header="0" w:footer="1249" w:gutter="0"/>
          <w:cols w:space="720" w:num="1"/>
        </w:sectPr>
      </w:pPr>
    </w:p>
    <w:p w14:paraId="4825FF9C">
      <w:pPr>
        <w:spacing w:before="293" w:line="376" w:lineRule="auto"/>
        <w:ind w:left="19" w:right="104" w:hanging="16"/>
        <w:rPr>
          <w:rFonts w:ascii="宋体" w:hAnsi="宋体" w:eastAsia="宋体" w:cs="宋体"/>
          <w:sz w:val="24"/>
          <w:szCs w:val="24"/>
        </w:rPr>
      </w:pPr>
      <w:r>
        <w:rPr>
          <w:rFonts w:ascii="宋体" w:hAnsi="宋体" w:eastAsia="宋体" w:cs="宋体"/>
          <w:spacing w:val="1"/>
          <w:sz w:val="24"/>
          <w:szCs w:val="24"/>
        </w:rPr>
        <w:t xml:space="preserve">生活污水也经有机肥发酵处理系统进行好氧发酵成为有机肥半成品外售，不外排。 </w:t>
      </w:r>
      <w:r>
        <w:rPr>
          <w:rFonts w:ascii="宋体" w:hAnsi="宋体" w:eastAsia="宋体" w:cs="宋体"/>
          <w:spacing w:val="-2"/>
          <w:sz w:val="24"/>
          <w:szCs w:val="24"/>
        </w:rPr>
        <w:t>因此本项目不会对区域地表水环境造成影响。</w:t>
      </w:r>
    </w:p>
    <w:p w14:paraId="1FF35DA6">
      <w:pPr>
        <w:spacing w:before="295"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9.4.2</w:t>
      </w:r>
      <w:r>
        <w:rPr>
          <w:rFonts w:ascii="宋体" w:hAnsi="宋体" w:eastAsia="宋体" w:cs="宋体"/>
          <w:b/>
          <w:bCs/>
          <w:spacing w:val="-2"/>
          <w:sz w:val="24"/>
          <w:szCs w:val="24"/>
        </w:rPr>
        <w:t>地下水环境评价结论</w:t>
      </w:r>
    </w:p>
    <w:p w14:paraId="3272B327">
      <w:pPr>
        <w:pStyle w:val="2"/>
        <w:spacing w:line="281" w:lineRule="auto"/>
      </w:pPr>
    </w:p>
    <w:p w14:paraId="5F9967BC">
      <w:pPr>
        <w:spacing w:before="78" w:line="376" w:lineRule="auto"/>
        <w:ind w:left="2" w:right="66" w:firstLine="494"/>
        <w:jc w:val="both"/>
        <w:rPr>
          <w:rFonts w:ascii="宋体" w:hAnsi="宋体" w:eastAsia="宋体" w:cs="宋体"/>
          <w:sz w:val="24"/>
          <w:szCs w:val="24"/>
        </w:rPr>
      </w:pPr>
      <w:r>
        <w:rPr>
          <w:rFonts w:ascii="宋体" w:hAnsi="宋体" w:eastAsia="宋体" w:cs="宋体"/>
          <w:spacing w:val="2"/>
          <w:sz w:val="24"/>
          <w:szCs w:val="24"/>
        </w:rPr>
        <w:t>畜禽养殖粪污中富含氮、磷等物质，运营期对地下水环境的影响主</w:t>
      </w:r>
      <w:r>
        <w:rPr>
          <w:rFonts w:ascii="宋体" w:hAnsi="宋体" w:eastAsia="宋体" w:cs="宋体"/>
          <w:spacing w:val="1"/>
          <w:sz w:val="24"/>
          <w:szCs w:val="24"/>
        </w:rPr>
        <w:t>要是畜禽养</w:t>
      </w:r>
      <w:r>
        <w:rPr>
          <w:rFonts w:ascii="宋体" w:hAnsi="宋体" w:eastAsia="宋体" w:cs="宋体"/>
          <w:sz w:val="24"/>
          <w:szCs w:val="24"/>
        </w:rPr>
        <w:t xml:space="preserve"> </w:t>
      </w:r>
      <w:r>
        <w:rPr>
          <w:rFonts w:ascii="宋体" w:hAnsi="宋体" w:eastAsia="宋体" w:cs="宋体"/>
          <w:spacing w:val="2"/>
          <w:sz w:val="24"/>
          <w:szCs w:val="24"/>
        </w:rPr>
        <w:t>殖场粪污事故性排放渗入地下可能造成地下水中的硝酸盐含量过高。对此，本环评</w:t>
      </w:r>
      <w:r>
        <w:rPr>
          <w:rFonts w:ascii="宋体" w:hAnsi="宋体" w:eastAsia="宋体" w:cs="宋体"/>
          <w:spacing w:val="5"/>
          <w:sz w:val="24"/>
          <w:szCs w:val="24"/>
        </w:rPr>
        <w:t xml:space="preserve"> </w:t>
      </w:r>
      <w:r>
        <w:rPr>
          <w:rFonts w:ascii="宋体" w:hAnsi="宋体" w:eastAsia="宋体" w:cs="宋体"/>
          <w:spacing w:val="-1"/>
          <w:sz w:val="24"/>
          <w:szCs w:val="24"/>
        </w:rPr>
        <w:t>建议采取以下措施来避免此类现象的发生：</w:t>
      </w:r>
    </w:p>
    <w:p w14:paraId="1AF57696">
      <w:pPr>
        <w:spacing w:line="298" w:lineRule="auto"/>
        <w:ind w:left="3" w:right="68" w:firstLine="477"/>
        <w:rPr>
          <w:rFonts w:ascii="宋体" w:hAnsi="宋体" w:eastAsia="宋体" w:cs="宋体"/>
          <w:sz w:val="24"/>
          <w:szCs w:val="24"/>
        </w:rPr>
      </w:pPr>
      <w:r>
        <w:rPr>
          <w:rFonts w:ascii="宋体" w:hAnsi="宋体" w:eastAsia="宋体" w:cs="宋体"/>
          <w:spacing w:val="2"/>
          <w:sz w:val="24"/>
          <w:szCs w:val="24"/>
        </w:rPr>
        <w:t>①有机肥发酵车间按有关要求建设，采用水泥硬底化并防雨，猪舍全部采用水</w:t>
      </w:r>
      <w:r>
        <w:rPr>
          <w:rFonts w:ascii="宋体" w:hAnsi="宋体" w:eastAsia="宋体" w:cs="宋体"/>
          <w:spacing w:val="8"/>
          <w:sz w:val="24"/>
          <w:szCs w:val="24"/>
        </w:rPr>
        <w:t xml:space="preserve"> </w:t>
      </w:r>
      <w:r>
        <w:rPr>
          <w:rFonts w:ascii="宋体" w:hAnsi="宋体" w:eastAsia="宋体" w:cs="宋体"/>
          <w:spacing w:val="-1"/>
          <w:sz w:val="24"/>
          <w:szCs w:val="24"/>
        </w:rPr>
        <w:t>泥硬底化，防止渗滤液泄漏污染地下水。</w:t>
      </w:r>
    </w:p>
    <w:p w14:paraId="1E65AE70">
      <w:pPr>
        <w:spacing w:before="203" w:line="218" w:lineRule="auto"/>
        <w:ind w:left="480"/>
        <w:rPr>
          <w:rFonts w:ascii="宋体" w:hAnsi="宋体" w:eastAsia="宋体" w:cs="宋体"/>
          <w:sz w:val="24"/>
          <w:szCs w:val="24"/>
        </w:rPr>
      </w:pPr>
      <w:r>
        <w:rPr>
          <w:rFonts w:ascii="宋体" w:hAnsi="宋体" w:eastAsia="宋体" w:cs="宋体"/>
          <w:spacing w:val="-1"/>
          <w:sz w:val="24"/>
          <w:szCs w:val="24"/>
        </w:rPr>
        <w:t>②养殖场的排水系统应实行雨水和污水收集输送系统分离。</w:t>
      </w:r>
    </w:p>
    <w:p w14:paraId="773D644A">
      <w:pPr>
        <w:spacing w:before="207" w:line="377" w:lineRule="auto"/>
        <w:ind w:left="1" w:right="66" w:firstLine="498"/>
        <w:jc w:val="both"/>
        <w:rPr>
          <w:rFonts w:ascii="宋体" w:hAnsi="宋体" w:eastAsia="宋体" w:cs="宋体"/>
          <w:sz w:val="24"/>
          <w:szCs w:val="24"/>
        </w:rPr>
      </w:pPr>
      <w:r>
        <w:rPr>
          <w:rFonts w:ascii="宋体" w:hAnsi="宋体" w:eastAsia="宋体" w:cs="宋体"/>
          <w:spacing w:val="2"/>
          <w:sz w:val="24"/>
          <w:szCs w:val="24"/>
        </w:rPr>
        <w:t>因此，在企业严格落实对污水明渠硬底化、环保处理设施</w:t>
      </w:r>
      <w:r>
        <w:rPr>
          <w:rFonts w:ascii="宋体" w:hAnsi="宋体" w:eastAsia="宋体" w:cs="宋体"/>
          <w:spacing w:val="1"/>
          <w:sz w:val="24"/>
          <w:szCs w:val="24"/>
        </w:rPr>
        <w:t>采用防渗漏措施以及</w:t>
      </w:r>
      <w:r>
        <w:rPr>
          <w:rFonts w:ascii="宋体" w:hAnsi="宋体" w:eastAsia="宋体" w:cs="宋体"/>
          <w:sz w:val="24"/>
          <w:szCs w:val="24"/>
        </w:rPr>
        <w:t xml:space="preserve"> </w:t>
      </w:r>
      <w:r>
        <w:rPr>
          <w:rFonts w:ascii="宋体" w:hAnsi="宋体" w:eastAsia="宋体" w:cs="宋体"/>
          <w:spacing w:val="2"/>
          <w:sz w:val="24"/>
          <w:szCs w:val="24"/>
        </w:rPr>
        <w:t>加强管理下，项目养殖粪污不会对地下水环境造成不良影响，可认为，本项目的建</w:t>
      </w:r>
      <w:r>
        <w:rPr>
          <w:rFonts w:ascii="宋体" w:hAnsi="宋体" w:eastAsia="宋体" w:cs="宋体"/>
          <w:spacing w:val="6"/>
          <w:sz w:val="24"/>
          <w:szCs w:val="24"/>
        </w:rPr>
        <w:t xml:space="preserve"> </w:t>
      </w:r>
      <w:r>
        <w:rPr>
          <w:rFonts w:ascii="宋体" w:hAnsi="宋体" w:eastAsia="宋体" w:cs="宋体"/>
          <w:spacing w:val="-1"/>
          <w:sz w:val="24"/>
          <w:szCs w:val="24"/>
        </w:rPr>
        <w:t>设对地下水的影响不大。</w:t>
      </w:r>
    </w:p>
    <w:p w14:paraId="4311B1DF">
      <w:pPr>
        <w:spacing w:before="293" w:line="219"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9.4.3</w:t>
      </w:r>
      <w:r>
        <w:rPr>
          <w:rFonts w:ascii="宋体" w:hAnsi="宋体" w:eastAsia="宋体" w:cs="宋体"/>
          <w:b/>
          <w:bCs/>
          <w:spacing w:val="-2"/>
          <w:sz w:val="24"/>
          <w:szCs w:val="24"/>
        </w:rPr>
        <w:t>大气环境影响评价结论</w:t>
      </w:r>
    </w:p>
    <w:p w14:paraId="6DBE43BB">
      <w:pPr>
        <w:pStyle w:val="2"/>
        <w:spacing w:line="246" w:lineRule="auto"/>
      </w:pPr>
    </w:p>
    <w:p w14:paraId="35F0DA13">
      <w:pPr>
        <w:spacing w:before="78" w:line="361" w:lineRule="exact"/>
        <w:ind w:left="500"/>
        <w:rPr>
          <w:rFonts w:ascii="宋体" w:hAnsi="宋体" w:eastAsia="宋体" w:cs="宋体"/>
          <w:sz w:val="24"/>
          <w:szCs w:val="24"/>
        </w:rPr>
      </w:pPr>
      <w:r>
        <w:rPr>
          <w:rFonts w:ascii="Times New Roman" w:hAnsi="Times New Roman" w:eastAsia="Times New Roman" w:cs="Times New Roman"/>
          <w:spacing w:val="-14"/>
          <w:position w:val="2"/>
          <w:sz w:val="24"/>
          <w:szCs w:val="24"/>
        </w:rPr>
        <w:t>1</w:t>
      </w:r>
      <w:r>
        <w:rPr>
          <w:rFonts w:ascii="Times New Roman" w:hAnsi="Times New Roman" w:eastAsia="Times New Roman" w:cs="Times New Roman"/>
          <w:spacing w:val="-34"/>
          <w:position w:val="2"/>
          <w:sz w:val="24"/>
          <w:szCs w:val="24"/>
        </w:rPr>
        <w:t xml:space="preserve"> </w:t>
      </w:r>
      <w:r>
        <w:rPr>
          <w:rFonts w:ascii="宋体" w:hAnsi="宋体" w:eastAsia="宋体" w:cs="宋体"/>
          <w:spacing w:val="-14"/>
          <w:position w:val="2"/>
          <w:sz w:val="24"/>
          <w:szCs w:val="24"/>
        </w:rPr>
        <w:t>、臭气</w:t>
      </w:r>
    </w:p>
    <w:p w14:paraId="474F164F">
      <w:pPr>
        <w:spacing w:before="166" w:line="361" w:lineRule="auto"/>
        <w:ind w:right="63" w:firstLine="481"/>
        <w:rPr>
          <w:rFonts w:ascii="宋体" w:hAnsi="宋体" w:eastAsia="宋体" w:cs="宋体"/>
          <w:sz w:val="24"/>
          <w:szCs w:val="24"/>
        </w:rPr>
      </w:pPr>
      <w:r>
        <w:rPr>
          <w:rFonts w:ascii="宋体" w:hAnsi="宋体" w:eastAsia="宋体" w:cs="宋体"/>
          <w:spacing w:val="2"/>
          <w:sz w:val="24"/>
          <w:szCs w:val="24"/>
        </w:rPr>
        <w:t>本项目猪只养殖区、有机肥发酵车间的臭气经过预测，各种污染物的最大落地</w:t>
      </w:r>
      <w:r>
        <w:rPr>
          <w:rFonts w:ascii="宋体" w:hAnsi="宋体" w:eastAsia="宋体" w:cs="宋体"/>
          <w:spacing w:val="9"/>
          <w:sz w:val="24"/>
          <w:szCs w:val="24"/>
        </w:rPr>
        <w:t xml:space="preserve"> </w:t>
      </w:r>
      <w:r>
        <w:rPr>
          <w:rFonts w:ascii="宋体" w:hAnsi="宋体" w:eastAsia="宋体" w:cs="宋体"/>
          <w:spacing w:val="-6"/>
          <w:sz w:val="24"/>
          <w:szCs w:val="24"/>
        </w:rPr>
        <w:t>浓度占标率均小于</w:t>
      </w:r>
      <w:r>
        <w:rPr>
          <w:rFonts w:ascii="宋体" w:hAnsi="宋体" w:eastAsia="宋体" w:cs="宋体"/>
          <w:spacing w:val="-14"/>
          <w:sz w:val="24"/>
          <w:szCs w:val="24"/>
        </w:rPr>
        <w:t xml:space="preserve"> </w:t>
      </w:r>
      <w:r>
        <w:rPr>
          <w:rFonts w:ascii="Times New Roman" w:hAnsi="Times New Roman" w:eastAsia="Times New Roman" w:cs="Times New Roman"/>
          <w:spacing w:val="-6"/>
          <w:sz w:val="24"/>
          <w:szCs w:val="24"/>
        </w:rPr>
        <w:t>10%</w:t>
      </w:r>
      <w:r>
        <w:rPr>
          <w:rFonts w:ascii="宋体" w:hAnsi="宋体" w:eastAsia="宋体" w:cs="宋体"/>
          <w:spacing w:val="-6"/>
          <w:sz w:val="24"/>
          <w:szCs w:val="24"/>
        </w:rPr>
        <w:t>，且最大落地浓度出现点均在距源中心</w:t>
      </w:r>
      <w:r>
        <w:rPr>
          <w:rFonts w:ascii="宋体" w:hAnsi="宋体" w:eastAsia="宋体" w:cs="宋体"/>
          <w:spacing w:val="-35"/>
          <w:sz w:val="24"/>
          <w:szCs w:val="24"/>
        </w:rPr>
        <w:t xml:space="preserve"> </w:t>
      </w:r>
      <w:r>
        <w:rPr>
          <w:rFonts w:ascii="Times New Roman" w:hAnsi="Times New Roman" w:eastAsia="Times New Roman" w:cs="Times New Roman"/>
          <w:spacing w:val="-6"/>
          <w:sz w:val="24"/>
          <w:szCs w:val="24"/>
        </w:rPr>
        <w:t>100m</w:t>
      </w:r>
      <w:r>
        <w:rPr>
          <w:rFonts w:ascii="Times New Roman" w:hAnsi="Times New Roman" w:eastAsia="Times New Roman" w:cs="Times New Roman"/>
          <w:spacing w:val="38"/>
          <w:sz w:val="24"/>
          <w:szCs w:val="24"/>
        </w:rPr>
        <w:t xml:space="preserve"> </w:t>
      </w:r>
      <w:r>
        <w:rPr>
          <w:rFonts w:ascii="宋体" w:hAnsi="宋体" w:eastAsia="宋体" w:cs="宋体"/>
          <w:spacing w:val="-6"/>
          <w:sz w:val="24"/>
          <w:szCs w:val="24"/>
        </w:rPr>
        <w:t>以内。项目下风</w:t>
      </w:r>
      <w:r>
        <w:rPr>
          <w:rFonts w:ascii="宋体" w:hAnsi="宋体" w:eastAsia="宋体" w:cs="宋体"/>
          <w:sz w:val="24"/>
          <w:szCs w:val="24"/>
        </w:rPr>
        <w:t xml:space="preserve"> </w:t>
      </w:r>
      <w:r>
        <w:rPr>
          <w:rFonts w:ascii="宋体" w:hAnsi="宋体" w:eastAsia="宋体" w:cs="宋体"/>
          <w:spacing w:val="-3"/>
          <w:sz w:val="24"/>
          <w:szCs w:val="24"/>
        </w:rPr>
        <w:t>向</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100m </w:t>
      </w:r>
      <w:r>
        <w:rPr>
          <w:rFonts w:ascii="宋体" w:hAnsi="宋体" w:eastAsia="宋体" w:cs="宋体"/>
          <w:spacing w:val="-3"/>
          <w:sz w:val="24"/>
          <w:szCs w:val="24"/>
        </w:rPr>
        <w:t>范围内无敏感目标，因此本项目大气污</w:t>
      </w:r>
      <w:r>
        <w:rPr>
          <w:rFonts w:ascii="宋体" w:hAnsi="宋体" w:eastAsia="宋体" w:cs="宋体"/>
          <w:spacing w:val="-4"/>
          <w:sz w:val="24"/>
          <w:szCs w:val="24"/>
        </w:rPr>
        <w:t>染物对周围环境影响较小。猪舍、有</w:t>
      </w:r>
      <w:r>
        <w:rPr>
          <w:rFonts w:ascii="宋体" w:hAnsi="宋体" w:eastAsia="宋体" w:cs="宋体"/>
          <w:sz w:val="24"/>
          <w:szCs w:val="24"/>
        </w:rPr>
        <w:t xml:space="preserve"> 机肥车间设有绿化带且喷洒除臭剂，排放的臭气较少，对</w:t>
      </w:r>
      <w:r>
        <w:rPr>
          <w:rFonts w:ascii="宋体" w:hAnsi="宋体" w:eastAsia="宋体" w:cs="宋体"/>
          <w:spacing w:val="-1"/>
          <w:sz w:val="24"/>
          <w:szCs w:val="24"/>
        </w:rPr>
        <w:t>周围环境的影响较小。</w:t>
      </w:r>
    </w:p>
    <w:p w14:paraId="60A5C7BF">
      <w:pPr>
        <w:spacing w:before="42" w:line="360" w:lineRule="exact"/>
        <w:ind w:left="477"/>
        <w:outlineLvl w:val="0"/>
        <w:rPr>
          <w:rFonts w:ascii="宋体" w:hAnsi="宋体" w:eastAsia="宋体" w:cs="宋体"/>
          <w:sz w:val="24"/>
          <w:szCs w:val="24"/>
        </w:rPr>
      </w:pPr>
      <w:r>
        <w:rPr>
          <w:rFonts w:ascii="Times New Roman" w:hAnsi="Times New Roman" w:eastAsia="Times New Roman" w:cs="Times New Roman"/>
          <w:spacing w:val="-4"/>
          <w:position w:val="2"/>
          <w:sz w:val="24"/>
          <w:szCs w:val="24"/>
        </w:rPr>
        <w:t>2</w:t>
      </w:r>
      <w:r>
        <w:rPr>
          <w:rFonts w:ascii="Times New Roman" w:hAnsi="Times New Roman" w:eastAsia="Times New Roman" w:cs="Times New Roman"/>
          <w:spacing w:val="-34"/>
          <w:position w:val="2"/>
          <w:sz w:val="24"/>
          <w:szCs w:val="24"/>
        </w:rPr>
        <w:t xml:space="preserve"> </w:t>
      </w:r>
      <w:r>
        <w:rPr>
          <w:rFonts w:ascii="宋体" w:hAnsi="宋体" w:eastAsia="宋体" w:cs="宋体"/>
          <w:spacing w:val="-4"/>
          <w:position w:val="2"/>
          <w:sz w:val="24"/>
          <w:szCs w:val="24"/>
        </w:rPr>
        <w:t>、饲料加工粉尘</w:t>
      </w:r>
    </w:p>
    <w:p w14:paraId="2714A597">
      <w:pPr>
        <w:spacing w:before="165" w:line="361" w:lineRule="auto"/>
        <w:ind w:right="66" w:firstLine="481"/>
        <w:jc w:val="both"/>
        <w:rPr>
          <w:rFonts w:ascii="宋体" w:hAnsi="宋体" w:eastAsia="宋体" w:cs="宋体"/>
          <w:sz w:val="24"/>
          <w:szCs w:val="24"/>
        </w:rPr>
      </w:pPr>
      <w:r>
        <w:rPr>
          <w:rFonts w:ascii="宋体" w:hAnsi="宋体" w:eastAsia="宋体" w:cs="宋体"/>
          <w:spacing w:val="2"/>
          <w:sz w:val="24"/>
          <w:szCs w:val="24"/>
        </w:rPr>
        <w:t>本项目饲料加工设备为密闭设备，产生的粉尘较小，呈物质排放，其排放符合</w:t>
      </w:r>
      <w:r>
        <w:rPr>
          <w:rFonts w:ascii="宋体" w:hAnsi="宋体" w:eastAsia="宋体" w:cs="宋体"/>
          <w:spacing w:val="9"/>
          <w:sz w:val="24"/>
          <w:szCs w:val="24"/>
        </w:rPr>
        <w:t xml:space="preserve"> </w:t>
      </w:r>
      <w:r>
        <w:rPr>
          <w:rFonts w:ascii="宋体" w:hAnsi="宋体" w:eastAsia="宋体" w:cs="宋体"/>
          <w:spacing w:val="2"/>
          <w:sz w:val="24"/>
          <w:szCs w:val="24"/>
        </w:rPr>
        <w:t>广东省《大气污染物排放限值》（</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44/27-2001</w:t>
      </w:r>
      <w:r>
        <w:rPr>
          <w:rFonts w:ascii="宋体" w:hAnsi="宋体" w:eastAsia="宋体" w:cs="宋体"/>
          <w:spacing w:val="2"/>
          <w:sz w:val="24"/>
          <w:szCs w:val="24"/>
        </w:rPr>
        <w:t>）第二时段二级无组织排放标准，</w:t>
      </w:r>
      <w:r>
        <w:rPr>
          <w:rFonts w:ascii="宋体" w:hAnsi="宋体" w:eastAsia="宋体" w:cs="宋体"/>
          <w:sz w:val="24"/>
          <w:szCs w:val="24"/>
        </w:rPr>
        <w:t xml:space="preserve"> </w:t>
      </w:r>
      <w:r>
        <w:rPr>
          <w:rFonts w:ascii="宋体" w:hAnsi="宋体" w:eastAsia="宋体" w:cs="宋体"/>
          <w:spacing w:val="-2"/>
          <w:sz w:val="24"/>
          <w:szCs w:val="24"/>
        </w:rPr>
        <w:t>达标排放。</w:t>
      </w:r>
    </w:p>
    <w:p w14:paraId="6F2E2016">
      <w:pPr>
        <w:spacing w:before="59" w:line="219" w:lineRule="auto"/>
        <w:ind w:left="482"/>
        <w:rPr>
          <w:rFonts w:ascii="宋体" w:hAnsi="宋体" w:eastAsia="宋体" w:cs="宋体"/>
          <w:sz w:val="24"/>
          <w:szCs w:val="24"/>
        </w:rPr>
      </w:pPr>
      <w:r>
        <w:rPr>
          <w:rFonts w:ascii="宋体" w:hAnsi="宋体" w:eastAsia="宋体" w:cs="宋体"/>
          <w:sz w:val="24"/>
          <w:szCs w:val="24"/>
        </w:rPr>
        <w:t>本项目产生的饲料加工粉尘废气能达标排放</w:t>
      </w:r>
      <w:r>
        <w:rPr>
          <w:rFonts w:ascii="宋体" w:hAnsi="宋体" w:eastAsia="宋体" w:cs="宋体"/>
          <w:spacing w:val="-1"/>
          <w:sz w:val="24"/>
          <w:szCs w:val="24"/>
        </w:rPr>
        <w:t>，对周围环境的影响较小。</w:t>
      </w:r>
    </w:p>
    <w:p w14:paraId="0CDA9BD4">
      <w:pPr>
        <w:spacing w:before="166" w:line="360" w:lineRule="exact"/>
        <w:ind w:left="482"/>
        <w:rPr>
          <w:rFonts w:ascii="宋体" w:hAnsi="宋体" w:eastAsia="宋体" w:cs="宋体"/>
          <w:sz w:val="24"/>
          <w:szCs w:val="24"/>
        </w:rPr>
      </w:pPr>
      <w:r>
        <w:rPr>
          <w:rFonts w:ascii="Times New Roman" w:hAnsi="Times New Roman" w:eastAsia="Times New Roman" w:cs="Times New Roman"/>
          <w:spacing w:val="-4"/>
          <w:position w:val="2"/>
          <w:sz w:val="24"/>
          <w:szCs w:val="24"/>
        </w:rPr>
        <w:t>3</w:t>
      </w:r>
      <w:r>
        <w:rPr>
          <w:rFonts w:ascii="Times New Roman" w:hAnsi="Times New Roman" w:eastAsia="Times New Roman" w:cs="Times New Roman"/>
          <w:spacing w:val="-34"/>
          <w:position w:val="2"/>
          <w:sz w:val="24"/>
          <w:szCs w:val="24"/>
        </w:rPr>
        <w:t xml:space="preserve"> </w:t>
      </w:r>
      <w:r>
        <w:rPr>
          <w:rFonts w:ascii="宋体" w:hAnsi="宋体" w:eastAsia="宋体" w:cs="宋体"/>
          <w:spacing w:val="-4"/>
          <w:position w:val="2"/>
          <w:sz w:val="24"/>
          <w:szCs w:val="24"/>
        </w:rPr>
        <w:t>、备用发电机尾气</w:t>
      </w:r>
    </w:p>
    <w:p w14:paraId="535292B8">
      <w:pPr>
        <w:spacing w:before="129" w:line="367" w:lineRule="auto"/>
        <w:ind w:left="2" w:firstLine="480"/>
        <w:rPr>
          <w:rFonts w:ascii="宋体" w:hAnsi="宋体" w:eastAsia="宋体" w:cs="宋体"/>
          <w:sz w:val="24"/>
          <w:szCs w:val="24"/>
        </w:rPr>
      </w:pPr>
      <w:r>
        <w:rPr>
          <w:rFonts w:ascii="宋体" w:hAnsi="宋体" w:eastAsia="宋体" w:cs="宋体"/>
          <w:sz w:val="24"/>
          <w:szCs w:val="24"/>
        </w:rPr>
        <w:t>本项目柴油发电机房使用时间短暂，且使用含硫量低于</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0</w:t>
      </w:r>
      <w:r>
        <w:rPr>
          <w:rFonts w:ascii="Times New Roman" w:hAnsi="Times New Roman" w:eastAsia="Times New Roman" w:cs="Times New Roman"/>
          <w:spacing w:val="-1"/>
          <w:sz w:val="24"/>
          <w:szCs w:val="24"/>
        </w:rPr>
        <w:t>.035%</w:t>
      </w:r>
      <w:r>
        <w:rPr>
          <w:rFonts w:ascii="宋体" w:hAnsi="宋体" w:eastAsia="宋体" w:cs="宋体"/>
          <w:spacing w:val="-1"/>
          <w:sz w:val="24"/>
          <w:szCs w:val="24"/>
        </w:rPr>
        <w:t>的柴油，项目设</w:t>
      </w:r>
      <w:r>
        <w:rPr>
          <w:rFonts w:ascii="宋体" w:hAnsi="宋体" w:eastAsia="宋体" w:cs="宋体"/>
          <w:sz w:val="24"/>
          <w:szCs w:val="24"/>
        </w:rPr>
        <w:t xml:space="preserve"> </w:t>
      </w:r>
      <w:r>
        <w:rPr>
          <w:rFonts w:ascii="宋体" w:hAnsi="宋体" w:eastAsia="宋体" w:cs="宋体"/>
          <w:spacing w:val="-5"/>
          <w:sz w:val="24"/>
          <w:szCs w:val="24"/>
        </w:rPr>
        <w:t>有尾气收集设备，柴油发电机尾气收集后引至高空排放（建</w:t>
      </w:r>
      <w:r>
        <w:rPr>
          <w:rFonts w:ascii="宋体" w:hAnsi="宋体" w:eastAsia="宋体" w:cs="宋体"/>
          <w:spacing w:val="-6"/>
          <w:sz w:val="24"/>
          <w:szCs w:val="24"/>
        </w:rPr>
        <w:t>议排放高度不低于</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15m</w:t>
      </w:r>
      <w:r>
        <w:rPr>
          <w:rFonts w:ascii="宋体" w:hAnsi="宋体" w:eastAsia="宋体" w:cs="宋体"/>
          <w:spacing w:val="-54"/>
          <w:w w:val="85"/>
          <w:sz w:val="24"/>
          <w:szCs w:val="24"/>
        </w:rPr>
        <w:t>），</w:t>
      </w:r>
      <w:r>
        <w:rPr>
          <w:rFonts w:ascii="宋体" w:hAnsi="宋体" w:eastAsia="宋体" w:cs="宋体"/>
          <w:sz w:val="24"/>
          <w:szCs w:val="24"/>
        </w:rPr>
        <w:t xml:space="preserve"> </w:t>
      </w:r>
      <w:r>
        <w:rPr>
          <w:rFonts w:ascii="宋体" w:hAnsi="宋体" w:eastAsia="宋体" w:cs="宋体"/>
          <w:spacing w:val="2"/>
          <w:sz w:val="24"/>
          <w:szCs w:val="24"/>
        </w:rPr>
        <w:t>其污染物浓度能够达到广东省《大气污染物排放限值》（</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44/27-2001</w:t>
      </w:r>
      <w:r>
        <w:rPr>
          <w:rFonts w:ascii="宋体" w:hAnsi="宋体" w:eastAsia="宋体" w:cs="宋体"/>
          <w:spacing w:val="2"/>
          <w:sz w:val="24"/>
          <w:szCs w:val="24"/>
        </w:rPr>
        <w:t>）第二时段</w:t>
      </w:r>
      <w:r>
        <w:rPr>
          <w:rFonts w:ascii="宋体" w:hAnsi="宋体" w:eastAsia="宋体" w:cs="宋体"/>
          <w:sz w:val="24"/>
          <w:szCs w:val="24"/>
        </w:rPr>
        <w:t xml:space="preserve"> 二级标准限值，因此，本项目备用发电机尾</w:t>
      </w:r>
      <w:r>
        <w:rPr>
          <w:rFonts w:ascii="宋体" w:hAnsi="宋体" w:eastAsia="宋体" w:cs="宋体"/>
          <w:spacing w:val="-1"/>
          <w:sz w:val="24"/>
          <w:szCs w:val="24"/>
        </w:rPr>
        <w:t>气对周围环境的影响较小。</w:t>
      </w:r>
    </w:p>
    <w:p w14:paraId="0C5904E6">
      <w:pPr>
        <w:spacing w:line="367" w:lineRule="auto"/>
        <w:rPr>
          <w:rFonts w:ascii="宋体" w:hAnsi="宋体" w:eastAsia="宋体" w:cs="宋体"/>
          <w:sz w:val="24"/>
          <w:szCs w:val="24"/>
        </w:rPr>
        <w:sectPr>
          <w:footerReference r:id="rId183" w:type="default"/>
          <w:pgSz w:w="11906" w:h="16839"/>
          <w:pgMar w:top="400" w:right="1522" w:bottom="1485" w:left="1596" w:header="0" w:footer="1249" w:gutter="0"/>
          <w:cols w:space="720" w:num="1"/>
        </w:sectPr>
      </w:pPr>
    </w:p>
    <w:p w14:paraId="104D9C3C">
      <w:pPr>
        <w:pStyle w:val="2"/>
        <w:spacing w:line="250" w:lineRule="auto"/>
      </w:pPr>
    </w:p>
    <w:p w14:paraId="2DDE132C">
      <w:pPr>
        <w:spacing w:before="78"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9.4.4</w:t>
      </w:r>
      <w:r>
        <w:rPr>
          <w:rFonts w:ascii="宋体" w:hAnsi="宋体" w:eastAsia="宋体" w:cs="宋体"/>
          <w:b/>
          <w:bCs/>
          <w:spacing w:val="-2"/>
          <w:sz w:val="24"/>
          <w:szCs w:val="24"/>
        </w:rPr>
        <w:t>声环境影响评价结论</w:t>
      </w:r>
    </w:p>
    <w:p w14:paraId="6708EB68">
      <w:pPr>
        <w:pStyle w:val="2"/>
        <w:spacing w:line="280" w:lineRule="auto"/>
      </w:pPr>
    </w:p>
    <w:p w14:paraId="384AAADA">
      <w:pPr>
        <w:spacing w:before="78" w:line="372" w:lineRule="auto"/>
        <w:ind w:right="2" w:firstLine="481"/>
        <w:jc w:val="both"/>
        <w:rPr>
          <w:rFonts w:ascii="宋体" w:hAnsi="宋体" w:eastAsia="宋体" w:cs="宋体"/>
          <w:sz w:val="24"/>
          <w:szCs w:val="24"/>
        </w:rPr>
      </w:pPr>
      <w:r>
        <w:rPr>
          <w:rFonts w:ascii="宋体" w:hAnsi="宋体" w:eastAsia="宋体" w:cs="宋体"/>
          <w:spacing w:val="2"/>
          <w:sz w:val="24"/>
          <w:szCs w:val="24"/>
        </w:rPr>
        <w:t>本项目在营运过程中的排气扇、水泵、发电机等设备产生的噪声，通过分别采</w:t>
      </w:r>
      <w:r>
        <w:rPr>
          <w:rFonts w:ascii="宋体" w:hAnsi="宋体" w:eastAsia="宋体" w:cs="宋体"/>
          <w:spacing w:val="9"/>
          <w:sz w:val="24"/>
          <w:szCs w:val="24"/>
        </w:rPr>
        <w:t xml:space="preserve"> </w:t>
      </w:r>
      <w:r>
        <w:rPr>
          <w:rFonts w:ascii="宋体" w:hAnsi="宋体" w:eastAsia="宋体" w:cs="宋体"/>
          <w:spacing w:val="2"/>
          <w:sz w:val="24"/>
          <w:szCs w:val="24"/>
        </w:rPr>
        <w:t>用减振、隔声、消声、吸声等措施治理，优化噪声源布局并加强环境绿化，可以削</w:t>
      </w:r>
      <w:r>
        <w:rPr>
          <w:rFonts w:ascii="宋体" w:hAnsi="宋体" w:eastAsia="宋体" w:cs="宋体"/>
          <w:spacing w:val="7"/>
          <w:sz w:val="24"/>
          <w:szCs w:val="24"/>
        </w:rPr>
        <w:t xml:space="preserve"> </w:t>
      </w:r>
      <w:r>
        <w:rPr>
          <w:rFonts w:ascii="宋体" w:hAnsi="宋体" w:eastAsia="宋体" w:cs="宋体"/>
          <w:spacing w:val="2"/>
          <w:sz w:val="24"/>
          <w:szCs w:val="24"/>
        </w:rPr>
        <w:t>弱部分噪声。项目主要噪声源产生的声环境影响将局限在小范围内，项目边界噪声</w:t>
      </w:r>
      <w:r>
        <w:rPr>
          <w:rFonts w:ascii="宋体" w:hAnsi="宋体" w:eastAsia="宋体" w:cs="宋体"/>
          <w:spacing w:val="7"/>
          <w:sz w:val="24"/>
          <w:szCs w:val="24"/>
        </w:rPr>
        <w:t xml:space="preserve"> </w:t>
      </w:r>
      <w:r>
        <w:rPr>
          <w:rFonts w:ascii="宋体" w:hAnsi="宋体" w:eastAsia="宋体" w:cs="宋体"/>
          <w:spacing w:val="2"/>
          <w:sz w:val="24"/>
          <w:szCs w:val="24"/>
        </w:rPr>
        <w:t>可达到《工业企业厂界环境噪声排放标准》（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22337-2008</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类标准要求，对周</w:t>
      </w:r>
      <w:r>
        <w:rPr>
          <w:rFonts w:ascii="宋体" w:hAnsi="宋体" w:eastAsia="宋体" w:cs="宋体"/>
          <w:spacing w:val="4"/>
          <w:sz w:val="24"/>
          <w:szCs w:val="24"/>
        </w:rPr>
        <w:t xml:space="preserve"> </w:t>
      </w:r>
      <w:r>
        <w:rPr>
          <w:rFonts w:ascii="宋体" w:hAnsi="宋体" w:eastAsia="宋体" w:cs="宋体"/>
          <w:spacing w:val="-1"/>
          <w:sz w:val="24"/>
          <w:szCs w:val="24"/>
        </w:rPr>
        <w:t>边声环境的影响较小。</w:t>
      </w:r>
    </w:p>
    <w:p w14:paraId="13C356D0">
      <w:pPr>
        <w:pStyle w:val="2"/>
        <w:spacing w:line="243" w:lineRule="auto"/>
      </w:pPr>
    </w:p>
    <w:p w14:paraId="0F9762E3">
      <w:pPr>
        <w:spacing w:before="78"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9.4.5</w:t>
      </w:r>
      <w:r>
        <w:rPr>
          <w:rFonts w:ascii="宋体" w:hAnsi="宋体" w:eastAsia="宋体" w:cs="宋体"/>
          <w:b/>
          <w:bCs/>
          <w:spacing w:val="-2"/>
          <w:sz w:val="24"/>
          <w:szCs w:val="24"/>
        </w:rPr>
        <w:t>固体废物影响评价结论</w:t>
      </w:r>
    </w:p>
    <w:p w14:paraId="1AE6CCFD">
      <w:pPr>
        <w:pStyle w:val="2"/>
        <w:spacing w:line="246" w:lineRule="auto"/>
      </w:pPr>
    </w:p>
    <w:p w14:paraId="694C7519">
      <w:pPr>
        <w:spacing w:before="78" w:line="383" w:lineRule="auto"/>
        <w:ind w:left="2" w:firstLine="480"/>
        <w:jc w:val="both"/>
        <w:rPr>
          <w:rFonts w:ascii="宋体" w:hAnsi="宋体" w:eastAsia="宋体" w:cs="宋体"/>
          <w:sz w:val="24"/>
          <w:szCs w:val="24"/>
        </w:rPr>
      </w:pPr>
      <w:r>
        <w:rPr>
          <w:rFonts w:ascii="宋体" w:hAnsi="宋体" w:eastAsia="宋体" w:cs="宋体"/>
          <w:spacing w:val="-1"/>
          <w:sz w:val="24"/>
          <w:szCs w:val="24"/>
        </w:rPr>
        <w:t>本项目粪污严格按照《畜禽养殖业污染物排放标准》（</w:t>
      </w:r>
      <w:r>
        <w:rPr>
          <w:rFonts w:ascii="Times New Roman" w:hAnsi="Times New Roman" w:eastAsia="Times New Roman" w:cs="Times New Roman"/>
          <w:spacing w:val="-1"/>
          <w:sz w:val="24"/>
          <w:szCs w:val="24"/>
        </w:rPr>
        <w:t>DB44/613-2009</w:t>
      </w:r>
      <w:r>
        <w:rPr>
          <w:rFonts w:ascii="宋体" w:hAnsi="宋体" w:eastAsia="宋体" w:cs="宋体"/>
          <w:spacing w:val="-1"/>
          <w:sz w:val="24"/>
          <w:szCs w:val="24"/>
        </w:rPr>
        <w:t>）和《粪</w:t>
      </w:r>
      <w:r>
        <w:rPr>
          <w:rFonts w:ascii="宋体" w:hAnsi="宋体" w:eastAsia="宋体" w:cs="宋体"/>
          <w:sz w:val="24"/>
          <w:szCs w:val="24"/>
        </w:rPr>
        <w:t xml:space="preserve"> </w:t>
      </w:r>
      <w:r>
        <w:rPr>
          <w:rFonts w:ascii="宋体" w:hAnsi="宋体" w:eastAsia="宋体" w:cs="宋体"/>
          <w:spacing w:val="2"/>
          <w:sz w:val="24"/>
          <w:szCs w:val="24"/>
        </w:rPr>
        <w:t>便无害化卫生标准》进行处理处置；生活垃圾临时堆放房按照《一般工业固体废物</w:t>
      </w:r>
      <w:r>
        <w:rPr>
          <w:rFonts w:ascii="宋体" w:hAnsi="宋体" w:eastAsia="宋体" w:cs="宋体"/>
          <w:spacing w:val="5"/>
          <w:sz w:val="24"/>
          <w:szCs w:val="24"/>
        </w:rPr>
        <w:t xml:space="preserve"> </w:t>
      </w:r>
      <w:r>
        <w:rPr>
          <w:rFonts w:ascii="宋体" w:hAnsi="宋体" w:eastAsia="宋体" w:cs="宋体"/>
          <w:spacing w:val="1"/>
          <w:sz w:val="24"/>
          <w:szCs w:val="24"/>
        </w:rPr>
        <w:t>贮存、处置场污染控制标准》（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18599-2001</w:t>
      </w:r>
      <w:r>
        <w:rPr>
          <w:rFonts w:ascii="宋体" w:hAnsi="宋体" w:eastAsia="宋体" w:cs="宋体"/>
          <w:spacing w:val="1"/>
          <w:sz w:val="24"/>
          <w:szCs w:val="24"/>
        </w:rPr>
        <w:t>）规</w:t>
      </w:r>
      <w:r>
        <w:rPr>
          <w:rFonts w:ascii="宋体" w:hAnsi="宋体" w:eastAsia="宋体" w:cs="宋体"/>
          <w:sz w:val="24"/>
          <w:szCs w:val="24"/>
        </w:rPr>
        <w:t>范建设和维护使用；疫苗针头等 医疗废物堆放房按照《危险废物贮存污染控制标准》（</w:t>
      </w:r>
      <w:r>
        <w:rPr>
          <w:rFonts w:ascii="Times New Roman" w:hAnsi="Times New Roman" w:eastAsia="Times New Roman" w:cs="Times New Roman"/>
          <w:sz w:val="24"/>
          <w:szCs w:val="24"/>
        </w:rPr>
        <w:t>GB18</w:t>
      </w:r>
      <w:r>
        <w:rPr>
          <w:rFonts w:ascii="Times New Roman" w:hAnsi="Times New Roman" w:eastAsia="Times New Roman" w:cs="Times New Roman"/>
          <w:spacing w:val="-1"/>
          <w:sz w:val="24"/>
          <w:szCs w:val="24"/>
        </w:rPr>
        <w:t>597-2001</w:t>
      </w:r>
      <w:r>
        <w:rPr>
          <w:rFonts w:ascii="宋体" w:hAnsi="宋体" w:eastAsia="宋体" w:cs="宋体"/>
          <w:spacing w:val="-1"/>
          <w:sz w:val="24"/>
          <w:szCs w:val="24"/>
        </w:rPr>
        <w:t>）设置。</w:t>
      </w:r>
    </w:p>
    <w:p w14:paraId="385512F0">
      <w:pPr>
        <w:spacing w:before="8" w:line="373" w:lineRule="auto"/>
        <w:ind w:left="1" w:firstLine="480"/>
        <w:jc w:val="both"/>
        <w:rPr>
          <w:rFonts w:ascii="宋体" w:hAnsi="宋体" w:eastAsia="宋体" w:cs="宋体"/>
          <w:sz w:val="24"/>
          <w:szCs w:val="24"/>
        </w:rPr>
      </w:pPr>
      <w:r>
        <w:rPr>
          <w:rFonts w:ascii="宋体" w:hAnsi="宋体" w:eastAsia="宋体" w:cs="宋体"/>
          <w:spacing w:val="2"/>
          <w:sz w:val="24"/>
          <w:szCs w:val="24"/>
        </w:rPr>
        <w:t>本项目养殖场的猪只粪便与猪只尿液、猪舍冲洗水一起收集，经异位发酵床好</w:t>
      </w:r>
      <w:r>
        <w:rPr>
          <w:rFonts w:ascii="宋体" w:hAnsi="宋体" w:eastAsia="宋体" w:cs="宋体"/>
          <w:spacing w:val="9"/>
          <w:sz w:val="24"/>
          <w:szCs w:val="24"/>
        </w:rPr>
        <w:t xml:space="preserve"> </w:t>
      </w:r>
      <w:r>
        <w:rPr>
          <w:rFonts w:ascii="宋体" w:hAnsi="宋体" w:eastAsia="宋体" w:cs="宋体"/>
          <w:spacing w:val="2"/>
          <w:sz w:val="24"/>
          <w:szCs w:val="24"/>
        </w:rPr>
        <w:t>氧高温发酵制成有机肥半成品，外售给肥料生产企业进行进一步加工成有机肥。病</w:t>
      </w:r>
      <w:r>
        <w:rPr>
          <w:rFonts w:ascii="宋体" w:hAnsi="宋体" w:eastAsia="宋体" w:cs="宋体"/>
          <w:spacing w:val="6"/>
          <w:sz w:val="24"/>
          <w:szCs w:val="24"/>
        </w:rPr>
        <w:t xml:space="preserve"> </w:t>
      </w:r>
      <w:r>
        <w:rPr>
          <w:rFonts w:ascii="宋体" w:hAnsi="宋体" w:eastAsia="宋体" w:cs="宋体"/>
          <w:sz w:val="24"/>
          <w:szCs w:val="24"/>
        </w:rPr>
        <w:t>死猪尸体按病死及病害动物无害化处理技术规范》（农医发〔</w:t>
      </w:r>
      <w:r>
        <w:rPr>
          <w:rFonts w:ascii="Times New Roman" w:hAnsi="Times New Roman" w:eastAsia="Times New Roman" w:cs="Times New Roman"/>
          <w:sz w:val="24"/>
          <w:szCs w:val="24"/>
        </w:rPr>
        <w:t>2017</w:t>
      </w:r>
      <w:r>
        <w:rPr>
          <w:rFonts w:ascii="宋体" w:hAnsi="宋体" w:eastAsia="宋体" w:cs="宋体"/>
          <w:sz w:val="24"/>
          <w:szCs w:val="24"/>
        </w:rPr>
        <w:t>〕</w:t>
      </w:r>
      <w:r>
        <w:rPr>
          <w:rFonts w:ascii="Times New Roman" w:hAnsi="Times New Roman" w:eastAsia="Times New Roman" w:cs="Times New Roman"/>
          <w:sz w:val="24"/>
          <w:szCs w:val="24"/>
        </w:rPr>
        <w:t xml:space="preserve">25 </w:t>
      </w:r>
      <w:r>
        <w:rPr>
          <w:rFonts w:ascii="宋体" w:hAnsi="宋体" w:eastAsia="宋体" w:cs="宋体"/>
          <w:sz w:val="24"/>
          <w:szCs w:val="24"/>
        </w:rPr>
        <w:t>号）和《畜</w:t>
      </w:r>
      <w:r>
        <w:rPr>
          <w:rFonts w:ascii="宋体" w:hAnsi="宋体" w:eastAsia="宋体" w:cs="宋体"/>
          <w:spacing w:val="16"/>
          <w:sz w:val="24"/>
          <w:szCs w:val="24"/>
        </w:rPr>
        <w:t xml:space="preserve"> </w:t>
      </w:r>
      <w:r>
        <w:rPr>
          <w:rFonts w:ascii="宋体" w:hAnsi="宋体" w:eastAsia="宋体" w:cs="宋体"/>
          <w:sz w:val="24"/>
          <w:szCs w:val="24"/>
        </w:rPr>
        <w:t>禽养殖业污染防治技术规范》（</w:t>
      </w:r>
      <w:r>
        <w:rPr>
          <w:rFonts w:ascii="Times New Roman" w:hAnsi="Times New Roman" w:eastAsia="Times New Roman" w:cs="Times New Roman"/>
          <w:sz w:val="24"/>
          <w:szCs w:val="24"/>
        </w:rPr>
        <w:t>HJ/T81-2001</w:t>
      </w:r>
      <w:r>
        <w:rPr>
          <w:rFonts w:ascii="宋体" w:hAnsi="宋体" w:eastAsia="宋体" w:cs="宋体"/>
          <w:sz w:val="24"/>
          <w:szCs w:val="24"/>
        </w:rPr>
        <w:t xml:space="preserve">）进行填埋处理。生活垃圾设置固定的 </w:t>
      </w:r>
      <w:r>
        <w:rPr>
          <w:rFonts w:ascii="宋体" w:hAnsi="宋体" w:eastAsia="宋体" w:cs="宋体"/>
          <w:spacing w:val="2"/>
          <w:sz w:val="24"/>
          <w:szCs w:val="24"/>
        </w:rPr>
        <w:t>垃圾堆放点，定期由环卫部门清运处理。疫苗针头等医疗废物设置专用储存容器，</w:t>
      </w:r>
      <w:r>
        <w:rPr>
          <w:rFonts w:ascii="宋体" w:hAnsi="宋体" w:eastAsia="宋体" w:cs="宋体"/>
          <w:spacing w:val="8"/>
          <w:sz w:val="24"/>
          <w:szCs w:val="24"/>
        </w:rPr>
        <w:t xml:space="preserve"> </w:t>
      </w:r>
      <w:r>
        <w:rPr>
          <w:rFonts w:ascii="宋体" w:hAnsi="宋体" w:eastAsia="宋体" w:cs="宋体"/>
          <w:spacing w:val="2"/>
          <w:sz w:val="24"/>
          <w:szCs w:val="24"/>
        </w:rPr>
        <w:t>并存放于医疗废物暂存间，收集到一定数量后交由有资质单位进行安全处置。废包</w:t>
      </w:r>
      <w:r>
        <w:rPr>
          <w:rFonts w:ascii="宋体" w:hAnsi="宋体" w:eastAsia="宋体" w:cs="宋体"/>
          <w:spacing w:val="6"/>
          <w:sz w:val="24"/>
          <w:szCs w:val="24"/>
        </w:rPr>
        <w:t xml:space="preserve"> </w:t>
      </w:r>
      <w:r>
        <w:rPr>
          <w:rFonts w:ascii="宋体" w:hAnsi="宋体" w:eastAsia="宋体" w:cs="宋体"/>
          <w:spacing w:val="2"/>
          <w:sz w:val="24"/>
          <w:szCs w:val="24"/>
        </w:rPr>
        <w:t>装收集后交由供应商处理。经上述处理后，本项目产生固体废物不会对环境造成明</w:t>
      </w:r>
      <w:r>
        <w:rPr>
          <w:rFonts w:ascii="宋体" w:hAnsi="宋体" w:eastAsia="宋体" w:cs="宋体"/>
          <w:spacing w:val="6"/>
          <w:sz w:val="24"/>
          <w:szCs w:val="24"/>
        </w:rPr>
        <w:t xml:space="preserve"> </w:t>
      </w:r>
      <w:r>
        <w:rPr>
          <w:rFonts w:ascii="宋体" w:hAnsi="宋体" w:eastAsia="宋体" w:cs="宋体"/>
          <w:spacing w:val="-2"/>
          <w:sz w:val="24"/>
          <w:szCs w:val="24"/>
        </w:rPr>
        <w:t>显不良影响。</w:t>
      </w:r>
    </w:p>
    <w:p w14:paraId="7D2524C2">
      <w:pPr>
        <w:pStyle w:val="2"/>
        <w:spacing w:line="244" w:lineRule="auto"/>
      </w:pPr>
    </w:p>
    <w:p w14:paraId="247A1E9C">
      <w:pPr>
        <w:spacing w:before="79"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9.4.6</w:t>
      </w:r>
      <w:r>
        <w:rPr>
          <w:rFonts w:ascii="宋体" w:hAnsi="宋体" w:eastAsia="宋体" w:cs="宋体"/>
          <w:b/>
          <w:bCs/>
          <w:spacing w:val="-2"/>
          <w:sz w:val="24"/>
          <w:szCs w:val="24"/>
        </w:rPr>
        <w:t>土壤环境影响评价结论</w:t>
      </w:r>
    </w:p>
    <w:p w14:paraId="42878A9E">
      <w:pPr>
        <w:pStyle w:val="2"/>
        <w:spacing w:line="283" w:lineRule="auto"/>
      </w:pPr>
    </w:p>
    <w:p w14:paraId="5BE11AAE">
      <w:pPr>
        <w:spacing w:before="78" w:line="377" w:lineRule="auto"/>
        <w:ind w:right="2" w:firstLine="481"/>
        <w:jc w:val="both"/>
        <w:rPr>
          <w:rFonts w:ascii="宋体" w:hAnsi="宋体" w:eastAsia="宋体" w:cs="宋体"/>
          <w:sz w:val="24"/>
          <w:szCs w:val="24"/>
        </w:rPr>
      </w:pPr>
      <w:r>
        <w:rPr>
          <w:rFonts w:ascii="宋体" w:hAnsi="宋体" w:eastAsia="宋体" w:cs="宋体"/>
          <w:spacing w:val="2"/>
          <w:sz w:val="24"/>
          <w:szCs w:val="24"/>
        </w:rPr>
        <w:t>本项目运营期产生的固体废物主要为猪粪、病死猪尸体，医疗废物、生活垃圾</w:t>
      </w:r>
      <w:r>
        <w:rPr>
          <w:rFonts w:ascii="宋体" w:hAnsi="宋体" w:eastAsia="宋体" w:cs="宋体"/>
          <w:spacing w:val="9"/>
          <w:sz w:val="24"/>
          <w:szCs w:val="24"/>
        </w:rPr>
        <w:t xml:space="preserve"> </w:t>
      </w:r>
      <w:r>
        <w:rPr>
          <w:rFonts w:ascii="宋体" w:hAnsi="宋体" w:eastAsia="宋体" w:cs="宋体"/>
          <w:spacing w:val="2"/>
          <w:sz w:val="24"/>
          <w:szCs w:val="24"/>
        </w:rPr>
        <w:t>等。猪粪进行发酵处理，病死猪尸体进行安全填埋处理，医疗废物储存在场内医疗</w:t>
      </w:r>
      <w:r>
        <w:rPr>
          <w:rFonts w:ascii="宋体" w:hAnsi="宋体" w:eastAsia="宋体" w:cs="宋体"/>
          <w:spacing w:val="7"/>
          <w:sz w:val="24"/>
          <w:szCs w:val="24"/>
        </w:rPr>
        <w:t xml:space="preserve"> </w:t>
      </w:r>
      <w:r>
        <w:rPr>
          <w:rFonts w:ascii="宋体" w:hAnsi="宋体" w:eastAsia="宋体" w:cs="宋体"/>
          <w:spacing w:val="2"/>
          <w:sz w:val="24"/>
          <w:szCs w:val="24"/>
        </w:rPr>
        <w:t>废物暂存间，定期交由有资质单位处置，生活垃圾由环卫部门清运处理。安全填埋</w:t>
      </w:r>
      <w:r>
        <w:rPr>
          <w:rFonts w:ascii="宋体" w:hAnsi="宋体" w:eastAsia="宋体" w:cs="宋体"/>
          <w:spacing w:val="7"/>
          <w:sz w:val="24"/>
          <w:szCs w:val="24"/>
        </w:rPr>
        <w:t xml:space="preserve"> </w:t>
      </w:r>
      <w:r>
        <w:rPr>
          <w:rFonts w:ascii="宋体" w:hAnsi="宋体" w:eastAsia="宋体" w:cs="宋体"/>
          <w:spacing w:val="2"/>
          <w:sz w:val="24"/>
          <w:szCs w:val="24"/>
        </w:rPr>
        <w:t>井、有机肥发酵车间、医疗废物暂存间进行防渗处理，因此项目物料存放过程不会</w:t>
      </w:r>
      <w:r>
        <w:rPr>
          <w:rFonts w:ascii="宋体" w:hAnsi="宋体" w:eastAsia="宋体" w:cs="宋体"/>
          <w:spacing w:val="7"/>
          <w:sz w:val="24"/>
          <w:szCs w:val="24"/>
        </w:rPr>
        <w:t xml:space="preserve"> </w:t>
      </w:r>
      <w:r>
        <w:rPr>
          <w:rFonts w:ascii="宋体" w:hAnsi="宋体" w:eastAsia="宋体" w:cs="宋体"/>
          <w:spacing w:val="-2"/>
          <w:sz w:val="24"/>
          <w:szCs w:val="24"/>
        </w:rPr>
        <w:t>对土壤造成影响。</w:t>
      </w:r>
    </w:p>
    <w:p w14:paraId="54BE1FB5">
      <w:pPr>
        <w:spacing w:before="291"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9.4.7</w:t>
      </w:r>
      <w:r>
        <w:rPr>
          <w:rFonts w:ascii="宋体" w:hAnsi="宋体" w:eastAsia="宋体" w:cs="宋体"/>
          <w:b/>
          <w:bCs/>
          <w:spacing w:val="-2"/>
          <w:sz w:val="24"/>
          <w:szCs w:val="24"/>
        </w:rPr>
        <w:t>生态环境影响评价结论</w:t>
      </w:r>
    </w:p>
    <w:p w14:paraId="6F792F3A">
      <w:pPr>
        <w:pStyle w:val="2"/>
        <w:spacing w:line="279" w:lineRule="auto"/>
      </w:pPr>
    </w:p>
    <w:p w14:paraId="6232AED8">
      <w:pPr>
        <w:spacing w:before="78" w:line="219" w:lineRule="auto"/>
        <w:ind w:right="2"/>
        <w:jc w:val="right"/>
        <w:rPr>
          <w:rFonts w:ascii="宋体" w:hAnsi="宋体" w:eastAsia="宋体" w:cs="宋体"/>
          <w:sz w:val="24"/>
          <w:szCs w:val="24"/>
        </w:rPr>
      </w:pPr>
      <w:r>
        <w:rPr>
          <w:rFonts w:ascii="宋体" w:hAnsi="宋体" w:eastAsia="宋体" w:cs="宋体"/>
          <w:spacing w:val="2"/>
          <w:sz w:val="24"/>
          <w:szCs w:val="24"/>
        </w:rPr>
        <w:t>本项目在施工期间对生态环境产生一定的影响，通过采取相应的生态保护和恢</w:t>
      </w:r>
    </w:p>
    <w:p w14:paraId="784006CC">
      <w:pPr>
        <w:spacing w:line="219" w:lineRule="auto"/>
        <w:rPr>
          <w:rFonts w:ascii="宋体" w:hAnsi="宋体" w:eastAsia="宋体" w:cs="宋体"/>
          <w:sz w:val="24"/>
          <w:szCs w:val="24"/>
        </w:rPr>
        <w:sectPr>
          <w:footerReference r:id="rId184" w:type="default"/>
          <w:pgSz w:w="11906" w:h="16839"/>
          <w:pgMar w:top="400" w:right="1585" w:bottom="1485" w:left="1596" w:header="0" w:footer="1249" w:gutter="0"/>
          <w:cols w:space="720" w:num="1"/>
        </w:sectPr>
      </w:pPr>
    </w:p>
    <w:p w14:paraId="3DB2A9C5">
      <w:pPr>
        <w:spacing w:before="292" w:line="377" w:lineRule="auto"/>
        <w:ind w:left="2" w:right="81" w:firstLine="5"/>
        <w:rPr>
          <w:rFonts w:ascii="宋体" w:hAnsi="宋体" w:eastAsia="宋体" w:cs="宋体"/>
          <w:sz w:val="24"/>
          <w:szCs w:val="24"/>
        </w:rPr>
      </w:pPr>
      <w:r>
        <w:rPr>
          <w:rFonts w:ascii="宋体" w:hAnsi="宋体" w:eastAsia="宋体" w:cs="宋体"/>
          <w:spacing w:val="2"/>
          <w:sz w:val="24"/>
          <w:szCs w:val="24"/>
        </w:rPr>
        <w:t>复措施，尤其是通过施工管理和强化施工期的保护和恢复，则本项目建设对生态环</w:t>
      </w:r>
      <w:r>
        <w:rPr>
          <w:rFonts w:ascii="宋体" w:hAnsi="宋体" w:eastAsia="宋体" w:cs="宋体"/>
          <w:sz w:val="24"/>
          <w:szCs w:val="24"/>
        </w:rPr>
        <w:t xml:space="preserve"> </w:t>
      </w:r>
      <w:r>
        <w:rPr>
          <w:rFonts w:ascii="宋体" w:hAnsi="宋体" w:eastAsia="宋体" w:cs="宋体"/>
          <w:spacing w:val="-2"/>
          <w:sz w:val="24"/>
          <w:szCs w:val="24"/>
        </w:rPr>
        <w:t>境影响是可接受的。</w:t>
      </w:r>
    </w:p>
    <w:p w14:paraId="24572DB3">
      <w:pPr>
        <w:spacing w:before="293"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9.4.8</w:t>
      </w:r>
      <w:r>
        <w:rPr>
          <w:rFonts w:ascii="宋体" w:hAnsi="宋体" w:eastAsia="宋体" w:cs="宋体"/>
          <w:b/>
          <w:bCs/>
          <w:spacing w:val="-2"/>
          <w:sz w:val="24"/>
          <w:szCs w:val="24"/>
        </w:rPr>
        <w:t>环境风险评价结论</w:t>
      </w:r>
    </w:p>
    <w:p w14:paraId="742E811D">
      <w:pPr>
        <w:pStyle w:val="2"/>
        <w:spacing w:line="282" w:lineRule="auto"/>
      </w:pPr>
    </w:p>
    <w:p w14:paraId="70190AEE">
      <w:pPr>
        <w:spacing w:before="78" w:line="219" w:lineRule="auto"/>
        <w:ind w:left="482"/>
        <w:rPr>
          <w:rFonts w:ascii="宋体" w:hAnsi="宋体" w:eastAsia="宋体" w:cs="宋体"/>
          <w:sz w:val="24"/>
          <w:szCs w:val="24"/>
        </w:rPr>
      </w:pPr>
      <w:r>
        <w:rPr>
          <w:rFonts w:ascii="宋体" w:hAnsi="宋体" w:eastAsia="宋体" w:cs="宋体"/>
          <w:spacing w:val="-1"/>
          <w:sz w:val="24"/>
          <w:szCs w:val="24"/>
        </w:rPr>
        <w:t>本项目的环境风险主要是粪污处理风险分析以及卫生防疫事故。</w:t>
      </w:r>
    </w:p>
    <w:p w14:paraId="46AFDE9E">
      <w:pPr>
        <w:spacing w:before="204" w:line="376" w:lineRule="auto"/>
        <w:ind w:right="81" w:firstLine="496"/>
        <w:rPr>
          <w:rFonts w:ascii="宋体" w:hAnsi="宋体" w:eastAsia="宋体" w:cs="宋体"/>
          <w:sz w:val="24"/>
          <w:szCs w:val="24"/>
        </w:rPr>
      </w:pPr>
      <w:r>
        <w:rPr>
          <w:rFonts w:ascii="宋体" w:hAnsi="宋体" w:eastAsia="宋体" w:cs="宋体"/>
          <w:spacing w:val="2"/>
          <w:sz w:val="24"/>
          <w:szCs w:val="24"/>
        </w:rPr>
        <w:t>当粪污处理系统不能正常运行，当粪污输送系统发生泄漏时，有可</w:t>
      </w:r>
      <w:r>
        <w:rPr>
          <w:rFonts w:ascii="宋体" w:hAnsi="宋体" w:eastAsia="宋体" w:cs="宋体"/>
          <w:spacing w:val="1"/>
          <w:sz w:val="24"/>
          <w:szCs w:val="24"/>
        </w:rPr>
        <w:t>能发生水污</w:t>
      </w:r>
      <w:r>
        <w:rPr>
          <w:rFonts w:ascii="宋体" w:hAnsi="宋体" w:eastAsia="宋体" w:cs="宋体"/>
          <w:sz w:val="24"/>
          <w:szCs w:val="24"/>
        </w:rPr>
        <w:t xml:space="preserve"> </w:t>
      </w:r>
      <w:r>
        <w:rPr>
          <w:rFonts w:ascii="宋体" w:hAnsi="宋体" w:eastAsia="宋体" w:cs="宋体"/>
          <w:spacing w:val="2"/>
          <w:sz w:val="24"/>
          <w:szCs w:val="24"/>
        </w:rPr>
        <w:t>染环境的事故，因此应制定水污染事故的应急方案，在发生污染时及时采取堵漏、</w:t>
      </w:r>
      <w:r>
        <w:rPr>
          <w:rFonts w:ascii="宋体" w:hAnsi="宋体" w:eastAsia="宋体" w:cs="宋体"/>
          <w:spacing w:val="7"/>
          <w:sz w:val="24"/>
          <w:szCs w:val="24"/>
        </w:rPr>
        <w:t xml:space="preserve"> </w:t>
      </w:r>
      <w:r>
        <w:rPr>
          <w:rFonts w:ascii="宋体" w:hAnsi="宋体" w:eastAsia="宋体" w:cs="宋体"/>
          <w:spacing w:val="-1"/>
          <w:sz w:val="24"/>
          <w:szCs w:val="24"/>
        </w:rPr>
        <w:t>截污的措施，设置事故应急池等措施。</w:t>
      </w:r>
    </w:p>
    <w:p w14:paraId="26832594">
      <w:pPr>
        <w:spacing w:line="377" w:lineRule="auto"/>
        <w:ind w:left="4" w:right="81" w:firstLine="485"/>
        <w:jc w:val="both"/>
        <w:rPr>
          <w:rFonts w:ascii="宋体" w:hAnsi="宋体" w:eastAsia="宋体" w:cs="宋体"/>
          <w:sz w:val="24"/>
          <w:szCs w:val="24"/>
        </w:rPr>
      </w:pPr>
      <w:r>
        <w:rPr>
          <w:rFonts w:ascii="宋体" w:hAnsi="宋体" w:eastAsia="宋体" w:cs="宋体"/>
          <w:spacing w:val="2"/>
          <w:sz w:val="24"/>
          <w:szCs w:val="24"/>
        </w:rPr>
        <w:t>患人畜共患的传染病的猪和工作人员接触后引发工作人员发病，病猪的猪粪和</w:t>
      </w:r>
      <w:r>
        <w:rPr>
          <w:rFonts w:ascii="宋体" w:hAnsi="宋体" w:eastAsia="宋体" w:cs="宋体"/>
          <w:spacing w:val="1"/>
          <w:sz w:val="24"/>
          <w:szCs w:val="24"/>
        </w:rPr>
        <w:t xml:space="preserve"> </w:t>
      </w:r>
      <w:r>
        <w:rPr>
          <w:rFonts w:ascii="宋体" w:hAnsi="宋体" w:eastAsia="宋体" w:cs="宋体"/>
          <w:spacing w:val="2"/>
          <w:sz w:val="24"/>
          <w:szCs w:val="24"/>
        </w:rPr>
        <w:t>工作人员接触后引发工作人员发病。提高员工专业素质，增强防病观念；做好卫生</w:t>
      </w:r>
      <w:r>
        <w:rPr>
          <w:rFonts w:ascii="宋体" w:hAnsi="宋体" w:eastAsia="宋体" w:cs="宋体"/>
          <w:spacing w:val="3"/>
          <w:sz w:val="24"/>
          <w:szCs w:val="24"/>
        </w:rPr>
        <w:t xml:space="preserve"> </w:t>
      </w:r>
      <w:r>
        <w:rPr>
          <w:rFonts w:ascii="宋体" w:hAnsi="宋体" w:eastAsia="宋体" w:cs="宋体"/>
          <w:spacing w:val="2"/>
          <w:sz w:val="24"/>
          <w:szCs w:val="24"/>
        </w:rPr>
        <w:t>管理和环境消毒；药物防疫；猪的免疫接种；建立疫病报告制度；妥善处理病死猪</w:t>
      </w:r>
      <w:r>
        <w:rPr>
          <w:rFonts w:ascii="宋体" w:hAnsi="宋体" w:eastAsia="宋体" w:cs="宋体"/>
          <w:spacing w:val="3"/>
          <w:sz w:val="24"/>
          <w:szCs w:val="24"/>
        </w:rPr>
        <w:t xml:space="preserve"> </w:t>
      </w:r>
      <w:r>
        <w:rPr>
          <w:rFonts w:ascii="宋体" w:hAnsi="宋体" w:eastAsia="宋体" w:cs="宋体"/>
          <w:spacing w:val="-1"/>
          <w:sz w:val="24"/>
          <w:szCs w:val="24"/>
        </w:rPr>
        <w:t>尸体处置。落实以上措施，项目环境风险在属于可接受水平。</w:t>
      </w:r>
    </w:p>
    <w:p w14:paraId="6E7AD660">
      <w:pPr>
        <w:spacing w:before="299" w:line="225" w:lineRule="auto"/>
        <w:ind w:left="2"/>
        <w:outlineLvl w:val="1"/>
        <w:rPr>
          <w:rFonts w:ascii="宋体" w:hAnsi="宋体" w:eastAsia="宋体" w:cs="宋体"/>
          <w:sz w:val="31"/>
          <w:szCs w:val="31"/>
        </w:rPr>
      </w:pPr>
      <w:bookmarkStart w:id="59" w:name="bookmark53"/>
      <w:bookmarkEnd w:id="59"/>
      <w:r>
        <w:rPr>
          <w:rFonts w:ascii="Times New Roman" w:hAnsi="Times New Roman" w:eastAsia="Times New Roman" w:cs="Times New Roman"/>
          <w:b/>
          <w:bCs/>
          <w:spacing w:val="5"/>
          <w:sz w:val="31"/>
          <w:szCs w:val="31"/>
        </w:rPr>
        <w:t>9.5</w:t>
      </w:r>
      <w:r>
        <w:rPr>
          <w:rFonts w:ascii="宋体" w:hAnsi="宋体" w:eastAsia="宋体" w:cs="宋体"/>
          <w:b/>
          <w:bCs/>
          <w:spacing w:val="5"/>
          <w:sz w:val="31"/>
          <w:szCs w:val="31"/>
        </w:rPr>
        <w:t>公众意见采纳情况</w:t>
      </w:r>
    </w:p>
    <w:p w14:paraId="363965A9">
      <w:pPr>
        <w:pStyle w:val="2"/>
        <w:spacing w:line="374" w:lineRule="auto"/>
      </w:pPr>
    </w:p>
    <w:p w14:paraId="5B339142">
      <w:pPr>
        <w:spacing w:before="78" w:line="376" w:lineRule="auto"/>
        <w:ind w:left="4" w:right="15" w:firstLine="480"/>
        <w:jc w:val="both"/>
        <w:rPr>
          <w:rFonts w:ascii="宋体" w:hAnsi="宋体" w:eastAsia="宋体" w:cs="宋体"/>
          <w:sz w:val="24"/>
          <w:szCs w:val="24"/>
        </w:rPr>
      </w:pPr>
      <w:r>
        <w:rPr>
          <w:rFonts w:ascii="宋体" w:hAnsi="宋体" w:eastAsia="宋体" w:cs="宋体"/>
          <w:spacing w:val="-3"/>
          <w:sz w:val="24"/>
          <w:szCs w:val="24"/>
        </w:rPr>
        <w:t>建设单位严格按照《环境影响评价公众参与办</w:t>
      </w:r>
      <w:r>
        <w:rPr>
          <w:rFonts w:ascii="宋体" w:hAnsi="宋体" w:eastAsia="宋体" w:cs="宋体"/>
          <w:spacing w:val="-4"/>
          <w:sz w:val="24"/>
          <w:szCs w:val="24"/>
        </w:rPr>
        <w:t>法》（环境部令第</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号）的要求，</w:t>
      </w:r>
      <w:r>
        <w:rPr>
          <w:rFonts w:ascii="宋体" w:hAnsi="宋体" w:eastAsia="宋体" w:cs="宋体"/>
          <w:sz w:val="24"/>
          <w:szCs w:val="24"/>
        </w:rPr>
        <w:t xml:space="preserve"> </w:t>
      </w:r>
      <w:r>
        <w:rPr>
          <w:rFonts w:ascii="宋体" w:hAnsi="宋体" w:eastAsia="宋体" w:cs="宋体"/>
          <w:spacing w:val="2"/>
          <w:sz w:val="24"/>
          <w:szCs w:val="24"/>
        </w:rPr>
        <w:t>组织和实施公众参与。实施方式包括网上公示、报纸公示和现场公示，得到当地居</w:t>
      </w:r>
      <w:r>
        <w:rPr>
          <w:rFonts w:ascii="宋体" w:hAnsi="宋体" w:eastAsia="宋体" w:cs="宋体"/>
          <w:spacing w:val="3"/>
          <w:sz w:val="24"/>
          <w:szCs w:val="24"/>
        </w:rPr>
        <w:t xml:space="preserve"> </w:t>
      </w:r>
      <w:r>
        <w:rPr>
          <w:rFonts w:ascii="宋体" w:hAnsi="宋体" w:eastAsia="宋体" w:cs="宋体"/>
          <w:spacing w:val="-1"/>
          <w:sz w:val="24"/>
          <w:szCs w:val="24"/>
        </w:rPr>
        <w:t>民和单位的积极参与和配合，使本次公众参与工作顺利完成。</w:t>
      </w:r>
    </w:p>
    <w:p w14:paraId="4784D80B">
      <w:pPr>
        <w:spacing w:line="367" w:lineRule="auto"/>
        <w:ind w:left="9" w:right="81" w:firstLine="468"/>
        <w:rPr>
          <w:rFonts w:ascii="宋体" w:hAnsi="宋体" w:eastAsia="宋体" w:cs="宋体"/>
          <w:sz w:val="24"/>
          <w:szCs w:val="24"/>
        </w:rPr>
      </w:pPr>
      <w:r>
        <w:rPr>
          <w:rFonts w:ascii="Times New Roman" w:hAnsi="Times New Roman" w:eastAsia="Times New Roman" w:cs="Times New Roman"/>
          <w:spacing w:val="-5"/>
          <w:sz w:val="24"/>
          <w:szCs w:val="24"/>
        </w:rPr>
        <w:t xml:space="preserve">2020 </w:t>
      </w:r>
      <w:r>
        <w:rPr>
          <w:rFonts w:ascii="宋体" w:hAnsi="宋体" w:eastAsia="宋体" w:cs="宋体"/>
          <w:spacing w:val="-5"/>
          <w:sz w:val="24"/>
          <w:szCs w:val="24"/>
        </w:rPr>
        <w:t>年</w:t>
      </w:r>
      <w:r>
        <w:rPr>
          <w:rFonts w:ascii="宋体" w:hAnsi="宋体" w:eastAsia="宋体" w:cs="宋体"/>
          <w:spacing w:val="-24"/>
          <w:sz w:val="24"/>
          <w:szCs w:val="24"/>
        </w:rPr>
        <w:t xml:space="preserve"> </w:t>
      </w:r>
      <w:r>
        <w:rPr>
          <w:rFonts w:ascii="Times New Roman" w:hAnsi="Times New Roman" w:eastAsia="Times New Roman" w:cs="Times New Roman"/>
          <w:spacing w:val="-5"/>
          <w:sz w:val="24"/>
          <w:szCs w:val="24"/>
        </w:rPr>
        <w:t xml:space="preserve">11 </w:t>
      </w:r>
      <w:r>
        <w:rPr>
          <w:rFonts w:ascii="宋体" w:hAnsi="宋体" w:eastAsia="宋体" w:cs="宋体"/>
          <w:spacing w:val="-5"/>
          <w:sz w:val="24"/>
          <w:szCs w:val="24"/>
        </w:rPr>
        <w:t>月</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日，建设单位将本项目的情况在环评互联网论坛上进行了第一次</w:t>
      </w:r>
      <w:r>
        <w:rPr>
          <w:rFonts w:ascii="宋体" w:hAnsi="宋体" w:eastAsia="宋体" w:cs="宋体"/>
          <w:sz w:val="24"/>
          <w:szCs w:val="24"/>
        </w:rPr>
        <w:t xml:space="preserve"> </w:t>
      </w:r>
      <w:r>
        <w:rPr>
          <w:rFonts w:ascii="宋体" w:hAnsi="宋体" w:eastAsia="宋体" w:cs="宋体"/>
          <w:spacing w:val="-6"/>
          <w:sz w:val="24"/>
          <w:szCs w:val="24"/>
        </w:rPr>
        <w:t>公示。</w:t>
      </w:r>
    </w:p>
    <w:p w14:paraId="2EED98FE">
      <w:pPr>
        <w:spacing w:before="25" w:line="365" w:lineRule="auto"/>
        <w:ind w:left="2" w:right="8" w:firstLine="474"/>
        <w:jc w:val="both"/>
        <w:rPr>
          <w:rFonts w:ascii="宋体" w:hAnsi="宋体" w:eastAsia="宋体" w:cs="宋体"/>
          <w:sz w:val="24"/>
          <w:szCs w:val="24"/>
        </w:rPr>
      </w:pPr>
      <w:r>
        <w:rPr>
          <w:rFonts w:ascii="Times New Roman" w:hAnsi="Times New Roman" w:eastAsia="Times New Roman" w:cs="Times New Roman"/>
          <w:spacing w:val="-7"/>
          <w:sz w:val="24"/>
          <w:szCs w:val="24"/>
        </w:rPr>
        <w:t xml:space="preserve">2020 </w:t>
      </w:r>
      <w:r>
        <w:rPr>
          <w:rFonts w:ascii="宋体" w:hAnsi="宋体" w:eastAsia="宋体" w:cs="宋体"/>
          <w:spacing w:val="-7"/>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11</w:t>
      </w:r>
      <w:r>
        <w:rPr>
          <w:rFonts w:ascii="Times New Roman" w:hAnsi="Times New Roman" w:eastAsia="Times New Roman" w:cs="Times New Roman"/>
          <w:spacing w:val="13"/>
          <w:sz w:val="24"/>
          <w:szCs w:val="24"/>
        </w:rPr>
        <w:t xml:space="preserve"> </w:t>
      </w:r>
      <w:r>
        <w:rPr>
          <w:rFonts w:ascii="宋体" w:hAnsi="宋体" w:eastAsia="宋体" w:cs="宋体"/>
          <w:spacing w:val="-7"/>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 xml:space="preserve">9  </w:t>
      </w:r>
      <w:r>
        <w:rPr>
          <w:rFonts w:ascii="宋体" w:hAnsi="宋体" w:eastAsia="宋体" w:cs="宋体"/>
          <w:spacing w:val="-7"/>
          <w:sz w:val="24"/>
          <w:szCs w:val="24"/>
        </w:rPr>
        <w:t>日</w:t>
      </w:r>
      <w:r>
        <w:rPr>
          <w:rFonts w:ascii="Times New Roman" w:hAnsi="Times New Roman" w:eastAsia="Times New Roman" w:cs="Times New Roman"/>
          <w:spacing w:val="-7"/>
          <w:sz w:val="24"/>
          <w:szCs w:val="24"/>
        </w:rPr>
        <w:t xml:space="preserve">~2020 </w:t>
      </w:r>
      <w:r>
        <w:rPr>
          <w:rFonts w:ascii="宋体" w:hAnsi="宋体" w:eastAsia="宋体" w:cs="宋体"/>
          <w:spacing w:val="-7"/>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7"/>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 xml:space="preserve">17  </w:t>
      </w:r>
      <w:r>
        <w:rPr>
          <w:rFonts w:ascii="宋体" w:hAnsi="宋体" w:eastAsia="宋体" w:cs="宋体"/>
          <w:spacing w:val="-7"/>
          <w:sz w:val="24"/>
          <w:szCs w:val="24"/>
        </w:rPr>
        <w:t>日，环评报</w:t>
      </w:r>
      <w:r>
        <w:rPr>
          <w:rFonts w:ascii="宋体" w:hAnsi="宋体" w:eastAsia="宋体" w:cs="宋体"/>
          <w:spacing w:val="-8"/>
          <w:sz w:val="24"/>
          <w:szCs w:val="24"/>
        </w:rPr>
        <w:t>告书征求意见稿完成后，于</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2020</w:t>
      </w:r>
      <w:r>
        <w:rPr>
          <w:rFonts w:ascii="Times New Roman" w:hAnsi="Times New Roman" w:eastAsia="Times New Roman" w:cs="Times New Roman"/>
          <w:sz w:val="24"/>
          <w:szCs w:val="24"/>
        </w:rPr>
        <w:t xml:space="preserve">  </w:t>
      </w:r>
      <w:r>
        <w:rPr>
          <w:rFonts w:ascii="宋体" w:hAnsi="宋体" w:eastAsia="宋体" w:cs="宋体"/>
          <w:spacing w:val="-8"/>
          <w:sz w:val="24"/>
          <w:szCs w:val="24"/>
        </w:rPr>
        <w:t>年</w:t>
      </w:r>
      <w:r>
        <w:rPr>
          <w:rFonts w:ascii="宋体" w:hAnsi="宋体" w:eastAsia="宋体" w:cs="宋体"/>
          <w:spacing w:val="-34"/>
          <w:sz w:val="24"/>
          <w:szCs w:val="24"/>
        </w:rPr>
        <w:t xml:space="preserve"> </w:t>
      </w:r>
      <w:r>
        <w:rPr>
          <w:rFonts w:ascii="Times New Roman" w:hAnsi="Times New Roman" w:eastAsia="Times New Roman" w:cs="Times New Roman"/>
          <w:spacing w:val="-8"/>
          <w:sz w:val="24"/>
          <w:szCs w:val="24"/>
        </w:rPr>
        <w:t xml:space="preserve">12 </w:t>
      </w:r>
      <w:r>
        <w:rPr>
          <w:rFonts w:ascii="宋体" w:hAnsi="宋体" w:eastAsia="宋体" w:cs="宋体"/>
          <w:spacing w:val="-8"/>
          <w:sz w:val="24"/>
          <w:szCs w:val="24"/>
        </w:rPr>
        <w:t>月</w:t>
      </w:r>
      <w:r>
        <w:rPr>
          <w:rFonts w:ascii="宋体" w:hAnsi="宋体" w:eastAsia="宋体" w:cs="宋体"/>
          <w:spacing w:val="-42"/>
          <w:sz w:val="24"/>
          <w:szCs w:val="24"/>
        </w:rPr>
        <w:t xml:space="preserve"> </w:t>
      </w:r>
      <w:r>
        <w:rPr>
          <w:rFonts w:ascii="Times New Roman" w:hAnsi="Times New Roman" w:eastAsia="Times New Roman" w:cs="Times New Roman"/>
          <w:spacing w:val="-8"/>
          <w:sz w:val="24"/>
          <w:szCs w:val="24"/>
        </w:rPr>
        <w:t>17</w:t>
      </w:r>
      <w:r>
        <w:rPr>
          <w:rFonts w:ascii="Times New Roman" w:hAnsi="Times New Roman" w:eastAsia="Times New Roman" w:cs="Times New Roman"/>
          <w:spacing w:val="39"/>
          <w:sz w:val="24"/>
          <w:szCs w:val="24"/>
        </w:rPr>
        <w:t xml:space="preserve"> </w:t>
      </w:r>
      <w:r>
        <w:rPr>
          <w:rFonts w:ascii="宋体" w:hAnsi="宋体" w:eastAsia="宋体" w:cs="宋体"/>
          <w:spacing w:val="-8"/>
          <w:sz w:val="24"/>
          <w:szCs w:val="24"/>
        </w:rPr>
        <w:t>日</w:t>
      </w:r>
      <w:r>
        <w:rPr>
          <w:rFonts w:ascii="Times New Roman" w:hAnsi="Times New Roman" w:eastAsia="Times New Roman" w:cs="Times New Roman"/>
          <w:spacing w:val="-8"/>
          <w:sz w:val="24"/>
          <w:szCs w:val="24"/>
        </w:rPr>
        <w:t xml:space="preserve">~2020 </w:t>
      </w:r>
      <w:r>
        <w:rPr>
          <w:rFonts w:ascii="宋体" w:hAnsi="宋体" w:eastAsia="宋体" w:cs="宋体"/>
          <w:spacing w:val="-8"/>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spacing w:val="-8"/>
          <w:sz w:val="24"/>
          <w:szCs w:val="24"/>
        </w:rPr>
        <w:t xml:space="preserve">12 </w:t>
      </w:r>
      <w:r>
        <w:rPr>
          <w:rFonts w:ascii="宋体" w:hAnsi="宋体" w:eastAsia="宋体" w:cs="宋体"/>
          <w:spacing w:val="-8"/>
          <w:sz w:val="24"/>
          <w:szCs w:val="24"/>
        </w:rPr>
        <w:t>月</w:t>
      </w:r>
      <w:r>
        <w:rPr>
          <w:rFonts w:ascii="Times New Roman" w:hAnsi="Times New Roman" w:eastAsia="Times New Roman" w:cs="Times New Roman"/>
          <w:spacing w:val="-8"/>
          <w:sz w:val="24"/>
          <w:szCs w:val="24"/>
        </w:rPr>
        <w:t>31</w:t>
      </w:r>
      <w:r>
        <w:rPr>
          <w:rFonts w:ascii="Times New Roman" w:hAnsi="Times New Roman" w:eastAsia="Times New Roman" w:cs="Times New Roman"/>
          <w:spacing w:val="39"/>
          <w:w w:val="101"/>
          <w:sz w:val="24"/>
          <w:szCs w:val="24"/>
        </w:rPr>
        <w:t xml:space="preserve"> </w:t>
      </w:r>
      <w:r>
        <w:rPr>
          <w:rFonts w:ascii="宋体" w:hAnsi="宋体" w:eastAsia="宋体" w:cs="宋体"/>
          <w:spacing w:val="-8"/>
          <w:sz w:val="24"/>
          <w:szCs w:val="24"/>
        </w:rPr>
        <w:t>日，建设单位在环评物联网论坛上进行了第二次公示，</w:t>
      </w:r>
      <w:r>
        <w:rPr>
          <w:rFonts w:ascii="宋体" w:hAnsi="宋体" w:eastAsia="宋体" w:cs="宋体"/>
          <w:sz w:val="24"/>
          <w:szCs w:val="24"/>
        </w:rPr>
        <w:t xml:space="preserve"> </w:t>
      </w:r>
      <w:r>
        <w:rPr>
          <w:rFonts w:ascii="宋体" w:hAnsi="宋体" w:eastAsia="宋体" w:cs="宋体"/>
          <w:spacing w:val="-3"/>
          <w:sz w:val="24"/>
          <w:szCs w:val="24"/>
        </w:rPr>
        <w:t>并在项目附近的敏感点张贴了第二次公示，公示期内未收到反对意见，公示结束后，</w:t>
      </w:r>
    </w:p>
    <w:p w14:paraId="0AE33612">
      <w:pPr>
        <w:spacing w:before="77" w:line="379" w:lineRule="auto"/>
        <w:ind w:left="5" w:right="83" w:firstLine="483"/>
        <w:jc w:val="both"/>
        <w:rPr>
          <w:rFonts w:ascii="宋体" w:hAnsi="宋体" w:eastAsia="宋体" w:cs="宋体"/>
          <w:sz w:val="24"/>
          <w:szCs w:val="24"/>
        </w:rPr>
      </w:pPr>
      <w:r>
        <w:rPr>
          <w:rFonts w:ascii="宋体" w:hAnsi="宋体" w:eastAsia="宋体" w:cs="宋体"/>
          <w:spacing w:val="2"/>
          <w:sz w:val="24"/>
          <w:szCs w:val="24"/>
        </w:rPr>
        <w:t>公示期内未收到群众反馈的意见。本项目不属于“对环境影响方面公众质疑意</w:t>
      </w:r>
      <w:r>
        <w:rPr>
          <w:rFonts w:ascii="宋体" w:hAnsi="宋体" w:eastAsia="宋体" w:cs="宋体"/>
          <w:sz w:val="24"/>
          <w:szCs w:val="24"/>
        </w:rPr>
        <w:t xml:space="preserve"> </w:t>
      </w:r>
      <w:r>
        <w:rPr>
          <w:rFonts w:ascii="宋体" w:hAnsi="宋体" w:eastAsia="宋体" w:cs="宋体"/>
          <w:spacing w:val="-3"/>
          <w:sz w:val="24"/>
          <w:szCs w:val="24"/>
        </w:rPr>
        <w:t>见多的建设项目</w:t>
      </w:r>
      <w:r>
        <w:rPr>
          <w:rFonts w:ascii="宋体" w:hAnsi="宋体" w:eastAsia="宋体" w:cs="宋体"/>
          <w:spacing w:val="-72"/>
          <w:sz w:val="24"/>
          <w:szCs w:val="24"/>
        </w:rPr>
        <w:t xml:space="preserve"> </w:t>
      </w:r>
      <w:r>
        <w:rPr>
          <w:rFonts w:ascii="宋体" w:hAnsi="宋体" w:eastAsia="宋体" w:cs="宋体"/>
          <w:spacing w:val="-3"/>
          <w:sz w:val="24"/>
          <w:szCs w:val="24"/>
        </w:rPr>
        <w:t>”，因此未进行深度公众参与。</w:t>
      </w:r>
    </w:p>
    <w:p w14:paraId="48041146">
      <w:pPr>
        <w:spacing w:before="299" w:line="226" w:lineRule="auto"/>
        <w:ind w:left="2"/>
        <w:outlineLvl w:val="1"/>
        <w:rPr>
          <w:rFonts w:ascii="宋体" w:hAnsi="宋体" w:eastAsia="宋体" w:cs="宋体"/>
          <w:sz w:val="31"/>
          <w:szCs w:val="31"/>
        </w:rPr>
      </w:pPr>
      <w:bookmarkStart w:id="60" w:name="bookmark54"/>
      <w:bookmarkEnd w:id="60"/>
      <w:r>
        <w:rPr>
          <w:rFonts w:ascii="Times New Roman" w:hAnsi="Times New Roman" w:eastAsia="Times New Roman" w:cs="Times New Roman"/>
          <w:b/>
          <w:bCs/>
          <w:spacing w:val="6"/>
          <w:sz w:val="31"/>
          <w:szCs w:val="31"/>
        </w:rPr>
        <w:t>9.6</w:t>
      </w:r>
      <w:r>
        <w:rPr>
          <w:rFonts w:ascii="宋体" w:hAnsi="宋体" w:eastAsia="宋体" w:cs="宋体"/>
          <w:b/>
          <w:bCs/>
          <w:spacing w:val="6"/>
          <w:sz w:val="31"/>
          <w:szCs w:val="31"/>
        </w:rPr>
        <w:t>环境影响经济损益分析结论</w:t>
      </w:r>
    </w:p>
    <w:p w14:paraId="3F45DF7F">
      <w:pPr>
        <w:pStyle w:val="2"/>
        <w:spacing w:line="371" w:lineRule="auto"/>
      </w:pPr>
    </w:p>
    <w:p w14:paraId="29FB3D1E">
      <w:pPr>
        <w:spacing w:before="78" w:line="380" w:lineRule="auto"/>
        <w:ind w:left="2" w:firstLine="480"/>
        <w:jc w:val="both"/>
        <w:rPr>
          <w:rFonts w:ascii="Times New Roman" w:hAnsi="Times New Roman" w:eastAsia="Times New Roman" w:cs="Times New Roman"/>
          <w:sz w:val="24"/>
          <w:szCs w:val="24"/>
        </w:rPr>
      </w:pPr>
      <w:r>
        <w:rPr>
          <w:rFonts w:ascii="宋体" w:hAnsi="宋体" w:eastAsia="宋体" w:cs="宋体"/>
          <w:spacing w:val="-8"/>
          <w:sz w:val="24"/>
          <w:szCs w:val="24"/>
        </w:rPr>
        <w:t>本项目总投资</w:t>
      </w:r>
      <w:r>
        <w:rPr>
          <w:rFonts w:ascii="宋体" w:hAnsi="宋体" w:eastAsia="宋体" w:cs="宋体"/>
          <w:spacing w:val="-46"/>
          <w:sz w:val="24"/>
          <w:szCs w:val="24"/>
        </w:rPr>
        <w:t xml:space="preserve"> </w:t>
      </w:r>
      <w:r>
        <w:rPr>
          <w:rFonts w:ascii="Times New Roman" w:hAnsi="Times New Roman" w:eastAsia="Times New Roman" w:cs="Times New Roman"/>
          <w:spacing w:val="-8"/>
          <w:sz w:val="24"/>
          <w:szCs w:val="24"/>
        </w:rPr>
        <w:t xml:space="preserve">1300 </w:t>
      </w:r>
      <w:r>
        <w:rPr>
          <w:rFonts w:ascii="宋体" w:hAnsi="宋体" w:eastAsia="宋体" w:cs="宋体"/>
          <w:spacing w:val="-8"/>
          <w:sz w:val="24"/>
          <w:szCs w:val="24"/>
        </w:rPr>
        <w:t>万元，其中环保投资约</w:t>
      </w:r>
      <w:r>
        <w:rPr>
          <w:rFonts w:ascii="宋体" w:hAnsi="宋体" w:eastAsia="宋体" w:cs="宋体"/>
          <w:spacing w:val="-72"/>
          <w:sz w:val="24"/>
          <w:szCs w:val="24"/>
        </w:rPr>
        <w:t xml:space="preserve"> </w:t>
      </w:r>
      <w:r>
        <w:rPr>
          <w:rFonts w:ascii="Times New Roman" w:hAnsi="Times New Roman" w:eastAsia="Times New Roman" w:cs="Times New Roman"/>
          <w:spacing w:val="-8"/>
          <w:sz w:val="24"/>
          <w:szCs w:val="24"/>
        </w:rPr>
        <w:t xml:space="preserve">320 </w:t>
      </w:r>
      <w:r>
        <w:rPr>
          <w:rFonts w:ascii="宋体" w:hAnsi="宋体" w:eastAsia="宋体" w:cs="宋体"/>
          <w:spacing w:val="-8"/>
          <w:sz w:val="24"/>
          <w:szCs w:val="24"/>
        </w:rPr>
        <w:t>万元，环保投资占总投资的</w:t>
      </w:r>
      <w:r>
        <w:rPr>
          <w:rFonts w:ascii="Times New Roman" w:hAnsi="Times New Roman" w:eastAsia="Times New Roman" w:cs="Times New Roman"/>
          <w:spacing w:val="-8"/>
          <w:sz w:val="24"/>
          <w:szCs w:val="24"/>
        </w:rPr>
        <w:t>24.6%</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2"/>
          <w:sz w:val="24"/>
          <w:szCs w:val="24"/>
        </w:rPr>
        <w:t>本项目经济效益良好，有较好的抗风险能力，从财务角度和经济效益来看，本工程</w:t>
      </w:r>
      <w:r>
        <w:rPr>
          <w:rFonts w:ascii="宋体" w:hAnsi="宋体" w:eastAsia="宋体" w:cs="宋体"/>
          <w:spacing w:val="5"/>
          <w:sz w:val="24"/>
          <w:szCs w:val="24"/>
        </w:rPr>
        <w:t xml:space="preserve"> </w:t>
      </w:r>
      <w:r>
        <w:rPr>
          <w:rFonts w:ascii="宋体" w:hAnsi="宋体" w:eastAsia="宋体" w:cs="宋体"/>
          <w:spacing w:val="4"/>
          <w:sz w:val="24"/>
          <w:szCs w:val="24"/>
        </w:rPr>
        <w:t>建设是可行的；本项目采用的生产工艺和设备居国内同行业的较领先水平，</w:t>
      </w:r>
      <w:r>
        <w:rPr>
          <w:rFonts w:ascii="Times New Roman" w:hAnsi="Times New Roman" w:eastAsia="Times New Roman" w:cs="Times New Roman"/>
          <w:spacing w:val="4"/>
          <w:sz w:val="24"/>
          <w:szCs w:val="24"/>
        </w:rPr>
        <w:t>“</w:t>
      </w:r>
      <w:r>
        <w:rPr>
          <w:rFonts w:ascii="宋体" w:hAnsi="宋体" w:eastAsia="宋体" w:cs="宋体"/>
          <w:spacing w:val="4"/>
          <w:sz w:val="24"/>
          <w:szCs w:val="24"/>
        </w:rPr>
        <w:t>三废</w:t>
      </w:r>
      <w:r>
        <w:rPr>
          <w:rFonts w:ascii="Times New Roman" w:hAnsi="Times New Roman" w:eastAsia="Times New Roman" w:cs="Times New Roman"/>
          <w:spacing w:val="4"/>
          <w:sz w:val="24"/>
          <w:szCs w:val="24"/>
        </w:rPr>
        <w:t>”</w:t>
      </w:r>
    </w:p>
    <w:p w14:paraId="3CDB7821">
      <w:pPr>
        <w:spacing w:line="380" w:lineRule="auto"/>
        <w:rPr>
          <w:rFonts w:ascii="Times New Roman" w:hAnsi="Times New Roman" w:eastAsia="Times New Roman" w:cs="Times New Roman"/>
          <w:sz w:val="24"/>
          <w:szCs w:val="24"/>
        </w:rPr>
        <w:sectPr>
          <w:footerReference r:id="rId185" w:type="default"/>
          <w:pgSz w:w="11906" w:h="16839"/>
          <w:pgMar w:top="400" w:right="1507" w:bottom="1485" w:left="1596" w:header="0" w:footer="1249" w:gutter="0"/>
          <w:cols w:space="720" w:num="1"/>
        </w:sectPr>
      </w:pPr>
    </w:p>
    <w:p w14:paraId="226E9C39">
      <w:pPr>
        <w:spacing w:before="292" w:line="377" w:lineRule="auto"/>
        <w:ind w:right="63"/>
        <w:jc w:val="both"/>
        <w:rPr>
          <w:rFonts w:ascii="宋体" w:hAnsi="宋体" w:eastAsia="宋体" w:cs="宋体"/>
          <w:sz w:val="24"/>
          <w:szCs w:val="24"/>
        </w:rPr>
      </w:pPr>
      <w:r>
        <w:rPr>
          <w:rFonts w:ascii="宋体" w:hAnsi="宋体" w:eastAsia="宋体" w:cs="宋体"/>
          <w:spacing w:val="2"/>
          <w:sz w:val="24"/>
          <w:szCs w:val="24"/>
        </w:rPr>
        <w:t>排放量较少，生产工艺符合清洁生产和环境保护要求，具有明显的环境效益。该项</w:t>
      </w:r>
      <w:r>
        <w:rPr>
          <w:rFonts w:ascii="宋体" w:hAnsi="宋体" w:eastAsia="宋体" w:cs="宋体"/>
          <w:spacing w:val="6"/>
          <w:sz w:val="24"/>
          <w:szCs w:val="24"/>
        </w:rPr>
        <w:t xml:space="preserve"> </w:t>
      </w:r>
      <w:r>
        <w:rPr>
          <w:rFonts w:ascii="宋体" w:hAnsi="宋体" w:eastAsia="宋体" w:cs="宋体"/>
          <w:spacing w:val="2"/>
          <w:sz w:val="24"/>
          <w:szCs w:val="24"/>
        </w:rPr>
        <w:t>目的建设符合国家，省、地、市的农业产生政策，充分切合了产业结构调整和农业</w:t>
      </w:r>
      <w:r>
        <w:rPr>
          <w:rFonts w:ascii="宋体" w:hAnsi="宋体" w:eastAsia="宋体" w:cs="宋体"/>
          <w:spacing w:val="6"/>
          <w:sz w:val="24"/>
          <w:szCs w:val="24"/>
        </w:rPr>
        <w:t xml:space="preserve"> </w:t>
      </w:r>
      <w:r>
        <w:rPr>
          <w:rFonts w:ascii="宋体" w:hAnsi="宋体" w:eastAsia="宋体" w:cs="宋体"/>
          <w:spacing w:val="2"/>
          <w:sz w:val="24"/>
          <w:szCs w:val="24"/>
        </w:rPr>
        <w:t>产业化发展的大方向。项目实施将会有力地带动周边农村种植业、养殖业的发展，</w:t>
      </w:r>
      <w:r>
        <w:rPr>
          <w:rFonts w:ascii="宋体" w:hAnsi="宋体" w:eastAsia="宋体" w:cs="宋体"/>
          <w:spacing w:val="6"/>
          <w:sz w:val="24"/>
          <w:szCs w:val="24"/>
        </w:rPr>
        <w:t xml:space="preserve"> </w:t>
      </w:r>
      <w:r>
        <w:rPr>
          <w:rFonts w:ascii="宋体" w:hAnsi="宋体" w:eastAsia="宋体" w:cs="宋体"/>
          <w:spacing w:val="2"/>
          <w:sz w:val="24"/>
          <w:szCs w:val="24"/>
        </w:rPr>
        <w:t>促进当地农业产业结构调整，能符合经济效益与环保效益的要求，满足实现经济与</w:t>
      </w:r>
      <w:r>
        <w:rPr>
          <w:rFonts w:ascii="宋体" w:hAnsi="宋体" w:eastAsia="宋体" w:cs="宋体"/>
          <w:spacing w:val="6"/>
          <w:sz w:val="24"/>
          <w:szCs w:val="24"/>
        </w:rPr>
        <w:t xml:space="preserve"> </w:t>
      </w:r>
      <w:r>
        <w:rPr>
          <w:rFonts w:ascii="宋体" w:hAnsi="宋体" w:eastAsia="宋体" w:cs="宋体"/>
          <w:spacing w:val="-1"/>
          <w:sz w:val="24"/>
          <w:szCs w:val="24"/>
        </w:rPr>
        <w:t>环境协调、可持续发展的要求。</w:t>
      </w:r>
    </w:p>
    <w:p w14:paraId="21E0FACC">
      <w:pPr>
        <w:spacing w:before="297" w:line="226" w:lineRule="auto"/>
        <w:outlineLvl w:val="1"/>
        <w:rPr>
          <w:rFonts w:ascii="宋体" w:hAnsi="宋体" w:eastAsia="宋体" w:cs="宋体"/>
          <w:sz w:val="31"/>
          <w:szCs w:val="31"/>
        </w:rPr>
      </w:pPr>
      <w:bookmarkStart w:id="61" w:name="bookmark55"/>
      <w:bookmarkEnd w:id="61"/>
      <w:r>
        <w:rPr>
          <w:rFonts w:ascii="Times New Roman" w:hAnsi="Times New Roman" w:eastAsia="Times New Roman" w:cs="Times New Roman"/>
          <w:b/>
          <w:bCs/>
          <w:spacing w:val="4"/>
          <w:sz w:val="31"/>
          <w:szCs w:val="31"/>
        </w:rPr>
        <w:t>9.7</w:t>
      </w:r>
      <w:r>
        <w:rPr>
          <w:rFonts w:ascii="宋体" w:hAnsi="宋体" w:eastAsia="宋体" w:cs="宋体"/>
          <w:b/>
          <w:bCs/>
          <w:spacing w:val="4"/>
          <w:sz w:val="31"/>
          <w:szCs w:val="31"/>
        </w:rPr>
        <w:t>综合结论</w:t>
      </w:r>
    </w:p>
    <w:p w14:paraId="71DE5C19">
      <w:pPr>
        <w:pStyle w:val="2"/>
        <w:spacing w:line="321" w:lineRule="auto"/>
      </w:pPr>
    </w:p>
    <w:p w14:paraId="73B8FCF2">
      <w:pPr>
        <w:spacing w:before="78" w:line="359" w:lineRule="auto"/>
        <w:ind w:right="56" w:firstLine="481"/>
        <w:jc w:val="both"/>
        <w:rPr>
          <w:rFonts w:ascii="宋体" w:hAnsi="宋体" w:eastAsia="宋体" w:cs="宋体"/>
          <w:sz w:val="24"/>
          <w:szCs w:val="24"/>
        </w:rPr>
      </w:pPr>
      <w:r>
        <w:rPr>
          <w:rFonts w:ascii="宋体" w:hAnsi="宋体" w:eastAsia="宋体" w:cs="宋体"/>
          <w:spacing w:val="2"/>
          <w:sz w:val="24"/>
          <w:szCs w:val="24"/>
        </w:rPr>
        <w:t>综上所述，汕尾市天磊联信种养有限公司生猪养殖项目选址基本合理，项目建</w:t>
      </w:r>
      <w:r>
        <w:rPr>
          <w:rFonts w:ascii="宋体" w:hAnsi="宋体" w:eastAsia="宋体" w:cs="宋体"/>
          <w:spacing w:val="7"/>
          <w:sz w:val="24"/>
          <w:szCs w:val="24"/>
        </w:rPr>
        <w:t xml:space="preserve"> </w:t>
      </w:r>
      <w:r>
        <w:rPr>
          <w:rFonts w:ascii="宋体" w:hAnsi="宋体" w:eastAsia="宋体" w:cs="宋体"/>
          <w:spacing w:val="2"/>
          <w:sz w:val="24"/>
          <w:szCs w:val="24"/>
        </w:rPr>
        <w:t>设性质、规模，所采用的生产工艺符合产业政策的要求，拟采取的污染防治措施符</w:t>
      </w:r>
      <w:r>
        <w:rPr>
          <w:rFonts w:ascii="宋体" w:hAnsi="宋体" w:eastAsia="宋体" w:cs="宋体"/>
          <w:spacing w:val="5"/>
          <w:sz w:val="24"/>
          <w:szCs w:val="24"/>
        </w:rPr>
        <w:t xml:space="preserve"> </w:t>
      </w:r>
      <w:r>
        <w:rPr>
          <w:rFonts w:ascii="宋体" w:hAnsi="宋体" w:eastAsia="宋体" w:cs="宋体"/>
          <w:spacing w:val="-1"/>
          <w:sz w:val="24"/>
          <w:szCs w:val="24"/>
        </w:rPr>
        <w:t>合《畜禽养殖业污染防治技术规范》（</w:t>
      </w:r>
      <w:r>
        <w:rPr>
          <w:rFonts w:ascii="Times New Roman" w:hAnsi="Times New Roman" w:eastAsia="Times New Roman" w:cs="Times New Roman"/>
          <w:spacing w:val="-1"/>
          <w:sz w:val="24"/>
          <w:szCs w:val="24"/>
        </w:rPr>
        <w:t>HJ/T 81-2001</w:t>
      </w:r>
      <w:r>
        <w:rPr>
          <w:rFonts w:ascii="宋体" w:hAnsi="宋体" w:eastAsia="宋体" w:cs="宋体"/>
          <w:spacing w:val="-1"/>
          <w:sz w:val="24"/>
          <w:szCs w:val="24"/>
        </w:rPr>
        <w:t>）</w:t>
      </w:r>
      <w:r>
        <w:rPr>
          <w:rFonts w:ascii="宋体" w:hAnsi="宋体" w:eastAsia="宋体" w:cs="宋体"/>
          <w:spacing w:val="-2"/>
          <w:sz w:val="24"/>
          <w:szCs w:val="24"/>
        </w:rPr>
        <w:t>和《病死及病害动物无害化处</w:t>
      </w:r>
      <w:r>
        <w:rPr>
          <w:rFonts w:ascii="宋体" w:hAnsi="宋体" w:eastAsia="宋体" w:cs="宋体"/>
          <w:sz w:val="24"/>
          <w:szCs w:val="24"/>
        </w:rPr>
        <w:t xml:space="preserve"> </w:t>
      </w:r>
      <w:r>
        <w:rPr>
          <w:rFonts w:ascii="宋体" w:hAnsi="宋体" w:eastAsia="宋体" w:cs="宋体"/>
          <w:spacing w:val="2"/>
          <w:sz w:val="24"/>
          <w:szCs w:val="24"/>
        </w:rPr>
        <w:t>理技术规范》（农医发</w:t>
      </w:r>
      <w:r>
        <w:rPr>
          <w:rFonts w:ascii="Times New Roman" w:hAnsi="Times New Roman" w:eastAsia="Times New Roman" w:cs="Times New Roman"/>
          <w:spacing w:val="2"/>
          <w:sz w:val="24"/>
          <w:szCs w:val="24"/>
        </w:rPr>
        <w:t xml:space="preserve">201725 </w:t>
      </w:r>
      <w:r>
        <w:rPr>
          <w:rFonts w:ascii="宋体" w:hAnsi="宋体" w:eastAsia="宋体" w:cs="宋体"/>
          <w:spacing w:val="2"/>
          <w:sz w:val="24"/>
          <w:szCs w:val="24"/>
        </w:rPr>
        <w:t>号）的要求。</w:t>
      </w:r>
    </w:p>
    <w:p w14:paraId="0726A67E">
      <w:pPr>
        <w:spacing w:before="3" w:line="359" w:lineRule="auto"/>
        <w:ind w:right="63" w:firstLine="481"/>
        <w:jc w:val="both"/>
        <w:rPr>
          <w:rFonts w:ascii="宋体" w:hAnsi="宋体" w:eastAsia="宋体" w:cs="宋体"/>
          <w:sz w:val="24"/>
          <w:szCs w:val="24"/>
        </w:rPr>
      </w:pPr>
      <w:r>
        <w:rPr>
          <w:rFonts w:ascii="宋体" w:hAnsi="宋体" w:eastAsia="宋体" w:cs="宋体"/>
          <w:spacing w:val="1"/>
          <w:sz w:val="24"/>
          <w:szCs w:val="24"/>
        </w:rPr>
        <w:t>建设单位必须严格遵守“三同时</w:t>
      </w:r>
      <w:r>
        <w:rPr>
          <w:rFonts w:ascii="宋体" w:hAnsi="宋体" w:eastAsia="宋体" w:cs="宋体"/>
          <w:spacing w:val="-82"/>
          <w:sz w:val="24"/>
          <w:szCs w:val="24"/>
        </w:rPr>
        <w:t xml:space="preserve"> </w:t>
      </w:r>
      <w:r>
        <w:rPr>
          <w:rFonts w:ascii="宋体" w:hAnsi="宋体" w:eastAsia="宋体" w:cs="宋体"/>
          <w:spacing w:val="1"/>
          <w:sz w:val="24"/>
          <w:szCs w:val="24"/>
        </w:rPr>
        <w:t>”的管理规定，完成各项报建手续，确实保证</w:t>
      </w:r>
      <w:r>
        <w:rPr>
          <w:rFonts w:ascii="宋体" w:hAnsi="宋体" w:eastAsia="宋体" w:cs="宋体"/>
          <w:sz w:val="24"/>
          <w:szCs w:val="24"/>
        </w:rPr>
        <w:t xml:space="preserve"> </w:t>
      </w:r>
      <w:r>
        <w:rPr>
          <w:rFonts w:ascii="宋体" w:hAnsi="宋体" w:eastAsia="宋体" w:cs="宋体"/>
          <w:spacing w:val="2"/>
          <w:sz w:val="24"/>
          <w:szCs w:val="24"/>
        </w:rPr>
        <w:t>本报告提出的各项环保措施的落实，并尽一切可能确保本项目所在区域的环境质量</w:t>
      </w:r>
      <w:r>
        <w:rPr>
          <w:rFonts w:ascii="宋体" w:hAnsi="宋体" w:eastAsia="宋体" w:cs="宋体"/>
          <w:spacing w:val="5"/>
          <w:sz w:val="24"/>
          <w:szCs w:val="24"/>
        </w:rPr>
        <w:t xml:space="preserve"> </w:t>
      </w:r>
      <w:r>
        <w:rPr>
          <w:rFonts w:ascii="宋体" w:hAnsi="宋体" w:eastAsia="宋体" w:cs="宋体"/>
          <w:spacing w:val="2"/>
          <w:sz w:val="24"/>
          <w:szCs w:val="24"/>
        </w:rPr>
        <w:t>不因本项目的建设而受到不良影响，真正实现环境保护与经济建设的可持续协调发</w:t>
      </w:r>
      <w:r>
        <w:rPr>
          <w:rFonts w:ascii="宋体" w:hAnsi="宋体" w:eastAsia="宋体" w:cs="宋体"/>
          <w:spacing w:val="5"/>
          <w:sz w:val="24"/>
          <w:szCs w:val="24"/>
        </w:rPr>
        <w:t xml:space="preserve"> </w:t>
      </w:r>
      <w:r>
        <w:rPr>
          <w:rFonts w:ascii="宋体" w:hAnsi="宋体" w:eastAsia="宋体" w:cs="宋体"/>
          <w:spacing w:val="2"/>
          <w:sz w:val="24"/>
          <w:szCs w:val="24"/>
        </w:rPr>
        <w:t>展。项目建成后，须经过验收合格后方可投入使用，在投入使用后，应加强对设备</w:t>
      </w:r>
      <w:r>
        <w:rPr>
          <w:rFonts w:ascii="宋体" w:hAnsi="宋体" w:eastAsia="宋体" w:cs="宋体"/>
          <w:spacing w:val="5"/>
          <w:sz w:val="24"/>
          <w:szCs w:val="24"/>
        </w:rPr>
        <w:t xml:space="preserve"> </w:t>
      </w:r>
      <w:r>
        <w:rPr>
          <w:rFonts w:ascii="宋体" w:hAnsi="宋体" w:eastAsia="宋体" w:cs="宋体"/>
          <w:spacing w:val="2"/>
          <w:sz w:val="24"/>
          <w:szCs w:val="24"/>
        </w:rPr>
        <w:t>的维修保养，确保环保设施的正常运转。在达到本报告所提出的各项要求后，该项</w:t>
      </w:r>
      <w:r>
        <w:rPr>
          <w:rFonts w:ascii="宋体" w:hAnsi="宋体" w:eastAsia="宋体" w:cs="宋体"/>
          <w:spacing w:val="5"/>
          <w:sz w:val="24"/>
          <w:szCs w:val="24"/>
        </w:rPr>
        <w:t xml:space="preserve"> </w:t>
      </w:r>
      <w:r>
        <w:rPr>
          <w:rFonts w:ascii="宋体" w:hAnsi="宋体" w:eastAsia="宋体" w:cs="宋体"/>
          <w:spacing w:val="-1"/>
          <w:sz w:val="24"/>
          <w:szCs w:val="24"/>
        </w:rPr>
        <w:t>目对周围环境将不会产生明显的不利影响。</w:t>
      </w:r>
    </w:p>
    <w:p w14:paraId="03D3418A">
      <w:pPr>
        <w:spacing w:before="86" w:line="219" w:lineRule="auto"/>
        <w:ind w:left="482"/>
        <w:rPr>
          <w:rFonts w:ascii="宋体" w:hAnsi="宋体" w:eastAsia="宋体" w:cs="宋体"/>
          <w:sz w:val="24"/>
          <w:szCs w:val="24"/>
        </w:rPr>
      </w:pPr>
      <w:r>
        <w:rPr>
          <w:rFonts w:ascii="宋体" w:hAnsi="宋体" w:eastAsia="宋体" w:cs="宋体"/>
          <w:spacing w:val="-1"/>
          <w:sz w:val="24"/>
          <w:szCs w:val="24"/>
        </w:rPr>
        <w:t>从环保的角度看，该项目的建设是可行的。</w:t>
      </w:r>
    </w:p>
    <w:p w14:paraId="7ACB53C1">
      <w:pPr>
        <w:pStyle w:val="2"/>
        <w:spacing w:line="403" w:lineRule="auto"/>
      </w:pPr>
    </w:p>
    <w:p w14:paraId="2953E519">
      <w:pPr>
        <w:spacing w:before="101" w:line="226" w:lineRule="auto"/>
        <w:ind w:left="4"/>
        <w:outlineLvl w:val="1"/>
        <w:rPr>
          <w:rFonts w:ascii="宋体" w:hAnsi="宋体" w:eastAsia="宋体" w:cs="宋体"/>
          <w:sz w:val="31"/>
          <w:szCs w:val="31"/>
        </w:rPr>
      </w:pPr>
      <w:bookmarkStart w:id="62" w:name="bookmark56"/>
      <w:bookmarkEnd w:id="62"/>
      <w:r>
        <w:rPr>
          <w:rFonts w:ascii="宋体" w:hAnsi="宋体" w:eastAsia="宋体" w:cs="宋体"/>
          <w:b/>
          <w:bCs/>
          <w:spacing w:val="3"/>
          <w:sz w:val="31"/>
          <w:szCs w:val="31"/>
        </w:rPr>
        <w:t>9.8其他建议</w:t>
      </w:r>
    </w:p>
    <w:p w14:paraId="314C9C0B">
      <w:pPr>
        <w:pStyle w:val="2"/>
        <w:spacing w:line="409" w:lineRule="auto"/>
      </w:pPr>
    </w:p>
    <w:p w14:paraId="7F3CDF82">
      <w:pPr>
        <w:spacing w:before="78" w:line="362" w:lineRule="auto"/>
        <w:ind w:right="63" w:firstLine="481"/>
        <w:rPr>
          <w:rFonts w:ascii="宋体" w:hAnsi="宋体" w:eastAsia="宋体" w:cs="宋体"/>
          <w:sz w:val="24"/>
          <w:szCs w:val="24"/>
        </w:rPr>
      </w:pPr>
      <w:r>
        <w:rPr>
          <w:rFonts w:ascii="宋体" w:hAnsi="宋体" w:eastAsia="宋体" w:cs="宋体"/>
          <w:spacing w:val="2"/>
          <w:sz w:val="24"/>
          <w:szCs w:val="24"/>
        </w:rPr>
        <w:t>为了更好地落实报告书中提出的各种环境保护措施，建议建设单位在项目运行</w:t>
      </w:r>
      <w:r>
        <w:rPr>
          <w:rFonts w:ascii="宋体" w:hAnsi="宋体" w:eastAsia="宋体" w:cs="宋体"/>
          <w:spacing w:val="7"/>
          <w:sz w:val="24"/>
          <w:szCs w:val="24"/>
        </w:rPr>
        <w:t xml:space="preserve"> </w:t>
      </w:r>
      <w:r>
        <w:rPr>
          <w:rFonts w:ascii="宋体" w:hAnsi="宋体" w:eastAsia="宋体" w:cs="宋体"/>
          <w:spacing w:val="-1"/>
          <w:sz w:val="24"/>
          <w:szCs w:val="24"/>
        </w:rPr>
        <w:t>过程中进一步落实下列工作：</w:t>
      </w:r>
    </w:p>
    <w:p w14:paraId="676E7D1C">
      <w:pPr>
        <w:spacing w:before="2" w:line="333" w:lineRule="auto"/>
        <w:ind w:right="63" w:firstLine="498"/>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、建设单位全体职工应增强环保意识，确保环境保护资金的到位，切实落实到</w:t>
      </w:r>
      <w:r>
        <w:rPr>
          <w:rFonts w:ascii="宋体" w:hAnsi="宋体" w:eastAsia="宋体" w:cs="宋体"/>
          <w:sz w:val="24"/>
          <w:szCs w:val="24"/>
        </w:rPr>
        <w:t xml:space="preserve"> </w:t>
      </w:r>
      <w:r>
        <w:rPr>
          <w:rFonts w:ascii="宋体" w:hAnsi="宋体" w:eastAsia="宋体" w:cs="宋体"/>
          <w:spacing w:val="2"/>
          <w:sz w:val="24"/>
          <w:szCs w:val="24"/>
        </w:rPr>
        <w:t>环评报告中提出的各项环境保护治理措施，并确保计划内容按时按质完成，达到预</w:t>
      </w:r>
      <w:r>
        <w:rPr>
          <w:rFonts w:ascii="宋体" w:hAnsi="宋体" w:eastAsia="宋体" w:cs="宋体"/>
          <w:spacing w:val="6"/>
          <w:sz w:val="24"/>
          <w:szCs w:val="24"/>
        </w:rPr>
        <w:t xml:space="preserve"> </w:t>
      </w:r>
      <w:r>
        <w:rPr>
          <w:rFonts w:ascii="宋体" w:hAnsi="宋体" w:eastAsia="宋体" w:cs="宋体"/>
          <w:spacing w:val="-1"/>
          <w:sz w:val="24"/>
          <w:szCs w:val="24"/>
        </w:rPr>
        <w:t>期环保治理目的和效果。</w:t>
      </w:r>
    </w:p>
    <w:p w14:paraId="59C16FAD">
      <w:pPr>
        <w:spacing w:before="165" w:line="312" w:lineRule="auto"/>
        <w:ind w:left="3" w:right="63" w:firstLine="471"/>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、建议建设单位关注恶臭问题，确保种植树木的数量、设置合理的卫生防护距</w:t>
      </w:r>
      <w:r>
        <w:rPr>
          <w:rFonts w:ascii="宋体" w:hAnsi="宋体" w:eastAsia="宋体" w:cs="宋体"/>
          <w:sz w:val="24"/>
          <w:szCs w:val="24"/>
        </w:rPr>
        <w:t xml:space="preserve"> </w:t>
      </w:r>
      <w:r>
        <w:rPr>
          <w:rFonts w:ascii="宋体" w:hAnsi="宋体" w:eastAsia="宋体" w:cs="宋体"/>
          <w:spacing w:val="-1"/>
          <w:sz w:val="24"/>
          <w:szCs w:val="24"/>
        </w:rPr>
        <w:t>离，做好清洁生产，保证好粪污处理系统的正常运行。</w:t>
      </w:r>
    </w:p>
    <w:p w14:paraId="69804D45">
      <w:pPr>
        <w:spacing w:before="168" w:line="361" w:lineRule="exact"/>
        <w:ind w:left="480"/>
        <w:rPr>
          <w:rFonts w:ascii="宋体" w:hAnsi="宋体" w:eastAsia="宋体" w:cs="宋体"/>
          <w:sz w:val="24"/>
          <w:szCs w:val="24"/>
        </w:rPr>
      </w:pPr>
      <w:r>
        <w:rPr>
          <w:rFonts w:ascii="Times New Roman" w:hAnsi="Times New Roman" w:eastAsia="Times New Roman" w:cs="Times New Roman"/>
          <w:spacing w:val="-2"/>
          <w:position w:val="2"/>
          <w:sz w:val="24"/>
          <w:szCs w:val="24"/>
        </w:rPr>
        <w:t>3</w:t>
      </w:r>
      <w:r>
        <w:rPr>
          <w:rFonts w:ascii="Times New Roman" w:hAnsi="Times New Roman" w:eastAsia="Times New Roman" w:cs="Times New Roman"/>
          <w:spacing w:val="-19"/>
          <w:position w:val="2"/>
          <w:sz w:val="24"/>
          <w:szCs w:val="24"/>
        </w:rPr>
        <w:t xml:space="preserve"> </w:t>
      </w:r>
      <w:r>
        <w:rPr>
          <w:rFonts w:ascii="宋体" w:hAnsi="宋体" w:eastAsia="宋体" w:cs="宋体"/>
          <w:spacing w:val="-2"/>
          <w:position w:val="2"/>
          <w:sz w:val="24"/>
          <w:szCs w:val="24"/>
        </w:rPr>
        <w:t>、应加强对设备的日常维护、检查，及时发现事故隐患。</w:t>
      </w:r>
    </w:p>
    <w:p w14:paraId="51176520">
      <w:pPr>
        <w:spacing w:before="126" w:line="313" w:lineRule="auto"/>
        <w:ind w:firstLine="474"/>
        <w:rPr>
          <w:rFonts w:ascii="宋体" w:hAnsi="宋体" w:eastAsia="宋体" w:cs="宋体"/>
          <w:sz w:val="24"/>
          <w:szCs w:val="24"/>
        </w:rPr>
      </w:pPr>
      <w:r>
        <w:rPr>
          <w:rFonts w:ascii="Times New Roman" w:hAnsi="Times New Roman" w:eastAsia="Times New Roman" w:cs="Times New Roman"/>
          <w:spacing w:val="-6"/>
          <w:sz w:val="24"/>
          <w:szCs w:val="24"/>
        </w:rPr>
        <w:t>4</w:t>
      </w:r>
      <w:r>
        <w:rPr>
          <w:rFonts w:ascii="宋体" w:hAnsi="宋体" w:eastAsia="宋体" w:cs="宋体"/>
          <w:spacing w:val="-6"/>
          <w:sz w:val="24"/>
          <w:szCs w:val="24"/>
        </w:rPr>
        <w:t>、当地卫生防疫部门、环境卫生监测站等单位应依据有关卫生防护距离的要求，</w:t>
      </w:r>
      <w:r>
        <w:rPr>
          <w:rFonts w:ascii="宋体" w:hAnsi="宋体" w:eastAsia="宋体" w:cs="宋体"/>
          <w:spacing w:val="3"/>
          <w:sz w:val="24"/>
          <w:szCs w:val="24"/>
        </w:rPr>
        <w:t xml:space="preserve"> </w:t>
      </w:r>
      <w:r>
        <w:rPr>
          <w:rFonts w:ascii="宋体" w:hAnsi="宋体" w:eastAsia="宋体" w:cs="宋体"/>
          <w:spacing w:val="2"/>
          <w:sz w:val="24"/>
          <w:szCs w:val="24"/>
        </w:rPr>
        <w:t>加强监督管理。当地规划部门应按照有关法律实行严格控制，为避免对居民区造成</w:t>
      </w:r>
    </w:p>
    <w:p w14:paraId="69576392">
      <w:pPr>
        <w:spacing w:line="313" w:lineRule="auto"/>
        <w:rPr>
          <w:rFonts w:ascii="宋体" w:hAnsi="宋体" w:eastAsia="宋体" w:cs="宋体"/>
          <w:sz w:val="24"/>
          <w:szCs w:val="24"/>
        </w:rPr>
        <w:sectPr>
          <w:footerReference r:id="rId186" w:type="default"/>
          <w:pgSz w:w="11906" w:h="16839"/>
          <w:pgMar w:top="400" w:right="1525" w:bottom="1485" w:left="1598" w:header="0" w:footer="1249" w:gutter="0"/>
          <w:cols w:space="720" w:num="1"/>
        </w:sectPr>
      </w:pPr>
    </w:p>
    <w:p w14:paraId="1D579864">
      <w:pPr>
        <w:spacing w:before="292" w:line="221" w:lineRule="auto"/>
        <w:ind w:left="1"/>
        <w:rPr>
          <w:rFonts w:ascii="宋体" w:hAnsi="宋体" w:eastAsia="宋体" w:cs="宋体"/>
          <w:sz w:val="24"/>
          <w:szCs w:val="24"/>
        </w:rPr>
      </w:pPr>
      <w:r>
        <w:rPr>
          <w:rFonts w:ascii="宋体" w:hAnsi="宋体" w:eastAsia="宋体" w:cs="宋体"/>
          <w:spacing w:val="-3"/>
          <w:sz w:val="24"/>
          <w:szCs w:val="24"/>
        </w:rPr>
        <w:t>污染影响。</w:t>
      </w:r>
    </w:p>
    <w:p w14:paraId="39A67921">
      <w:pPr>
        <w:spacing w:before="200" w:line="378" w:lineRule="auto"/>
        <w:ind w:firstLine="482"/>
        <w:jc w:val="both"/>
        <w:rPr>
          <w:rFonts w:ascii="宋体" w:hAnsi="宋体" w:eastAsia="宋体" w:cs="宋体"/>
          <w:sz w:val="24"/>
          <w:szCs w:val="24"/>
        </w:rPr>
      </w:pPr>
      <w:r>
        <w:rPr>
          <w:rFonts w:ascii="Times New Roman" w:hAnsi="Times New Roman" w:eastAsia="Times New Roman" w:cs="Times New Roman"/>
          <w:spacing w:val="-2"/>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、积极做好厂区绿化、美化工作，在进场道路两侧、厂房周围及厂区空地、围</w:t>
      </w:r>
      <w:r>
        <w:rPr>
          <w:rFonts w:ascii="宋体" w:hAnsi="宋体" w:eastAsia="宋体" w:cs="宋体"/>
          <w:sz w:val="24"/>
          <w:szCs w:val="24"/>
        </w:rPr>
        <w:t xml:space="preserve"> </w:t>
      </w:r>
      <w:r>
        <w:rPr>
          <w:rFonts w:ascii="宋体" w:hAnsi="宋体" w:eastAsia="宋体" w:cs="宋体"/>
          <w:spacing w:val="2"/>
          <w:sz w:val="24"/>
          <w:szCs w:val="24"/>
        </w:rPr>
        <w:t>墙、办公管理区等场所，种植大量对硫化氢、氨等刺激性气体有吸收作用或抗性作</w:t>
      </w:r>
      <w:r>
        <w:rPr>
          <w:rFonts w:ascii="宋体" w:hAnsi="宋体" w:eastAsia="宋体" w:cs="宋体"/>
          <w:spacing w:val="6"/>
          <w:sz w:val="24"/>
          <w:szCs w:val="24"/>
        </w:rPr>
        <w:t xml:space="preserve"> </w:t>
      </w:r>
      <w:r>
        <w:rPr>
          <w:rFonts w:ascii="宋体" w:hAnsi="宋体" w:eastAsia="宋体" w:cs="宋体"/>
          <w:spacing w:val="-2"/>
          <w:sz w:val="24"/>
          <w:szCs w:val="24"/>
        </w:rPr>
        <w:t>用的花草树木</w:t>
      </w:r>
    </w:p>
    <w:p w14:paraId="6F53F76F">
      <w:pPr>
        <w:spacing w:line="378" w:lineRule="auto"/>
        <w:rPr>
          <w:rFonts w:ascii="宋体" w:hAnsi="宋体" w:eastAsia="宋体" w:cs="宋体"/>
          <w:sz w:val="24"/>
          <w:szCs w:val="24"/>
        </w:rPr>
        <w:sectPr>
          <w:footerReference r:id="rId187" w:type="default"/>
          <w:pgSz w:w="11906" w:h="16839"/>
          <w:pgMar w:top="400" w:right="1588" w:bottom="1485" w:left="1598" w:header="0" w:footer="1249" w:gutter="0"/>
          <w:cols w:space="720" w:num="1"/>
        </w:sectPr>
      </w:pPr>
    </w:p>
    <w:p w14:paraId="3E81086B">
      <w:pPr>
        <w:spacing w:before="292" w:line="219" w:lineRule="auto"/>
        <w:ind w:left="170"/>
        <w:rPr>
          <w:rFonts w:ascii="宋体" w:hAnsi="宋体" w:eastAsia="宋体" w:cs="宋体"/>
          <w:sz w:val="24"/>
          <w:szCs w:val="24"/>
        </w:rPr>
      </w:pPr>
      <w:r>
        <w:rPr>
          <w:rFonts w:ascii="宋体" w:hAnsi="宋体" w:eastAsia="宋体" w:cs="宋体"/>
          <w:b/>
          <w:bCs/>
          <w:spacing w:val="-12"/>
          <w:sz w:val="24"/>
          <w:szCs w:val="24"/>
        </w:rPr>
        <w:t>附表：</w:t>
      </w:r>
    </w:p>
    <w:p w14:paraId="3C850D18">
      <w:pPr>
        <w:spacing w:before="201" w:line="219" w:lineRule="auto"/>
        <w:ind w:left="650"/>
        <w:outlineLvl w:val="0"/>
        <w:rPr>
          <w:rFonts w:ascii="宋体" w:hAnsi="宋体" w:eastAsia="宋体" w:cs="宋体"/>
          <w:sz w:val="24"/>
          <w:szCs w:val="24"/>
        </w:rPr>
      </w:pPr>
      <w:r>
        <w:rPr>
          <w:rFonts w:ascii="宋体" w:hAnsi="宋体" w:eastAsia="宋体" w:cs="宋体"/>
          <w:b/>
          <w:bCs/>
          <w:spacing w:val="-4"/>
          <w:sz w:val="24"/>
          <w:szCs w:val="24"/>
        </w:rPr>
        <w:t>附表</w:t>
      </w:r>
      <w:r>
        <w:rPr>
          <w:rFonts w:ascii="宋体" w:hAnsi="宋体" w:eastAsia="宋体" w:cs="宋体"/>
          <w:spacing w:val="-44"/>
          <w:sz w:val="24"/>
          <w:szCs w:val="24"/>
        </w:rPr>
        <w:t xml:space="preserve"> </w:t>
      </w:r>
      <w:r>
        <w:rPr>
          <w:rFonts w:ascii="Times New Roman" w:hAnsi="Times New Roman" w:eastAsia="Times New Roman" w:cs="Times New Roman"/>
          <w:b/>
          <w:bCs/>
          <w:spacing w:val="-4"/>
          <w:sz w:val="24"/>
          <w:szCs w:val="24"/>
        </w:rPr>
        <w:t xml:space="preserve">1 </w:t>
      </w:r>
      <w:r>
        <w:rPr>
          <w:rFonts w:ascii="宋体" w:hAnsi="宋体" w:eastAsia="宋体" w:cs="宋体"/>
          <w:b/>
          <w:bCs/>
          <w:spacing w:val="-4"/>
          <w:sz w:val="24"/>
          <w:szCs w:val="24"/>
        </w:rPr>
        <w:t>建设项目大气环境影响评价自查表</w:t>
      </w:r>
    </w:p>
    <w:p w14:paraId="7ECC6640">
      <w:pPr>
        <w:spacing w:line="81" w:lineRule="exact"/>
      </w:pPr>
    </w:p>
    <w:tbl>
      <w:tblPr>
        <w:tblStyle w:val="5"/>
        <w:tblW w:w="9503"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2"/>
        <w:gridCol w:w="1767"/>
        <w:gridCol w:w="1022"/>
        <w:gridCol w:w="393"/>
        <w:gridCol w:w="120"/>
        <w:gridCol w:w="273"/>
        <w:gridCol w:w="132"/>
        <w:gridCol w:w="122"/>
        <w:gridCol w:w="588"/>
        <w:gridCol w:w="277"/>
        <w:gridCol w:w="122"/>
        <w:gridCol w:w="110"/>
        <w:gridCol w:w="126"/>
        <w:gridCol w:w="413"/>
        <w:gridCol w:w="436"/>
        <w:gridCol w:w="189"/>
        <w:gridCol w:w="648"/>
        <w:gridCol w:w="197"/>
        <w:gridCol w:w="246"/>
        <w:gridCol w:w="510"/>
        <w:gridCol w:w="770"/>
      </w:tblGrid>
      <w:tr w14:paraId="12EC8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2809" w:type="dxa"/>
            <w:gridSpan w:val="2"/>
            <w:tcBorders>
              <w:top w:val="single" w:color="000000" w:sz="10" w:space="0"/>
              <w:left w:val="single" w:color="000000" w:sz="10" w:space="0"/>
            </w:tcBorders>
            <w:vAlign w:val="top"/>
          </w:tcPr>
          <w:p w14:paraId="15838053">
            <w:pPr>
              <w:pStyle w:val="6"/>
              <w:spacing w:before="78" w:line="220" w:lineRule="auto"/>
              <w:ind w:left="829"/>
              <w:rPr>
                <w:sz w:val="18"/>
                <w:szCs w:val="18"/>
              </w:rPr>
            </w:pPr>
            <w:r>
              <w:rPr>
                <w:spacing w:val="-3"/>
                <w:sz w:val="18"/>
                <w:szCs w:val="18"/>
              </w:rPr>
              <w:t>工作内容</w:t>
            </w:r>
          </w:p>
        </w:tc>
        <w:tc>
          <w:tcPr>
            <w:tcW w:w="6694" w:type="dxa"/>
            <w:gridSpan w:val="19"/>
            <w:tcBorders>
              <w:top w:val="single" w:color="000000" w:sz="10" w:space="0"/>
              <w:right w:val="single" w:color="000000" w:sz="10" w:space="0"/>
            </w:tcBorders>
            <w:vAlign w:val="top"/>
          </w:tcPr>
          <w:p w14:paraId="0A4EEC7F">
            <w:pPr>
              <w:pStyle w:val="6"/>
              <w:spacing w:before="78" w:line="221" w:lineRule="auto"/>
              <w:ind w:left="3011"/>
              <w:rPr>
                <w:sz w:val="18"/>
                <w:szCs w:val="18"/>
              </w:rPr>
            </w:pPr>
            <w:r>
              <w:rPr>
                <w:spacing w:val="-10"/>
                <w:sz w:val="18"/>
                <w:szCs w:val="18"/>
              </w:rPr>
              <w:t>自查项目</w:t>
            </w:r>
          </w:p>
        </w:tc>
      </w:tr>
      <w:tr w14:paraId="33BCD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restart"/>
            <w:tcBorders>
              <w:left w:val="single" w:color="000000" w:sz="10" w:space="0"/>
              <w:bottom w:val="nil"/>
            </w:tcBorders>
            <w:vAlign w:val="top"/>
          </w:tcPr>
          <w:p w14:paraId="7ED6033E">
            <w:pPr>
              <w:pStyle w:val="6"/>
              <w:spacing w:before="78" w:line="219" w:lineRule="auto"/>
              <w:ind w:left="63"/>
              <w:rPr>
                <w:sz w:val="18"/>
                <w:szCs w:val="18"/>
              </w:rPr>
            </w:pPr>
            <w:r>
              <w:rPr>
                <w:spacing w:val="-2"/>
                <w:sz w:val="18"/>
                <w:szCs w:val="18"/>
              </w:rPr>
              <w:t>评价等级与</w:t>
            </w:r>
          </w:p>
          <w:p w14:paraId="3519FAF9">
            <w:pPr>
              <w:pStyle w:val="6"/>
              <w:spacing w:before="113" w:line="221" w:lineRule="auto"/>
              <w:ind w:left="339"/>
              <w:rPr>
                <w:sz w:val="18"/>
                <w:szCs w:val="18"/>
              </w:rPr>
            </w:pPr>
            <w:r>
              <w:rPr>
                <w:spacing w:val="-6"/>
                <w:sz w:val="18"/>
                <w:szCs w:val="18"/>
              </w:rPr>
              <w:t>范围</w:t>
            </w:r>
          </w:p>
        </w:tc>
        <w:tc>
          <w:tcPr>
            <w:tcW w:w="1767" w:type="dxa"/>
            <w:vAlign w:val="top"/>
          </w:tcPr>
          <w:p w14:paraId="43D3E264">
            <w:pPr>
              <w:pStyle w:val="6"/>
              <w:spacing w:before="71" w:line="219" w:lineRule="auto"/>
              <w:ind w:left="516"/>
              <w:rPr>
                <w:sz w:val="18"/>
                <w:szCs w:val="18"/>
              </w:rPr>
            </w:pPr>
            <w:r>
              <w:rPr>
                <w:spacing w:val="-2"/>
                <w:sz w:val="18"/>
                <w:szCs w:val="18"/>
              </w:rPr>
              <w:t>评价等级</w:t>
            </w:r>
          </w:p>
        </w:tc>
        <w:tc>
          <w:tcPr>
            <w:tcW w:w="2650" w:type="dxa"/>
            <w:gridSpan w:val="7"/>
            <w:vAlign w:val="top"/>
          </w:tcPr>
          <w:p w14:paraId="22917553">
            <w:pPr>
              <w:pStyle w:val="6"/>
              <w:spacing w:before="71" w:line="222" w:lineRule="auto"/>
              <w:ind w:left="1093"/>
              <w:rPr>
                <w:rFonts w:ascii="Times New Roman" w:hAnsi="Times New Roman" w:eastAsia="Times New Roman" w:cs="Times New Roman"/>
                <w:sz w:val="18"/>
                <w:szCs w:val="18"/>
              </w:rPr>
            </w:pPr>
            <w:r>
              <w:rPr>
                <w:spacing w:val="-4"/>
                <w:sz w:val="18"/>
                <w:szCs w:val="18"/>
              </w:rPr>
              <w:t>一级</w:t>
            </w:r>
            <w:r>
              <w:rPr>
                <w:rFonts w:ascii="Times New Roman" w:hAnsi="Times New Roman" w:eastAsia="Times New Roman" w:cs="Times New Roman"/>
                <w:spacing w:val="-4"/>
                <w:sz w:val="18"/>
                <w:szCs w:val="18"/>
              </w:rPr>
              <w:t>□</w:t>
            </w:r>
          </w:p>
        </w:tc>
        <w:tc>
          <w:tcPr>
            <w:tcW w:w="2321" w:type="dxa"/>
            <w:gridSpan w:val="8"/>
            <w:vAlign w:val="top"/>
          </w:tcPr>
          <w:p w14:paraId="41EFAF14">
            <w:pPr>
              <w:pStyle w:val="6"/>
              <w:spacing w:before="62" w:line="227" w:lineRule="auto"/>
              <w:ind w:left="910"/>
              <w:rPr>
                <w:sz w:val="18"/>
                <w:szCs w:val="18"/>
              </w:rPr>
            </w:pPr>
            <w:r>
              <w:rPr>
                <w:spacing w:val="-5"/>
                <w:sz w:val="18"/>
                <w:szCs w:val="18"/>
              </w:rPr>
              <w:t>二级</w:t>
            </w:r>
            <w:r>
              <w:rPr>
                <w:position w:val="-3"/>
                <w:sz w:val="18"/>
                <w:szCs w:val="18"/>
              </w:rPr>
              <w:drawing>
                <wp:inline distT="0" distB="0" distL="0" distR="0">
                  <wp:extent cx="100330" cy="12636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37"/>
                          <a:stretch>
                            <a:fillRect/>
                          </a:stretch>
                        </pic:blipFill>
                        <pic:spPr>
                          <a:xfrm>
                            <a:off x="0" y="0"/>
                            <a:ext cx="100584" cy="126644"/>
                          </a:xfrm>
                          <a:prstGeom prst="rect">
                            <a:avLst/>
                          </a:prstGeom>
                        </pic:spPr>
                      </pic:pic>
                    </a:graphicData>
                  </a:graphic>
                </wp:inline>
              </w:drawing>
            </w:r>
          </w:p>
        </w:tc>
        <w:tc>
          <w:tcPr>
            <w:tcW w:w="1723" w:type="dxa"/>
            <w:gridSpan w:val="4"/>
            <w:tcBorders>
              <w:right w:val="single" w:color="000000" w:sz="10" w:space="0"/>
            </w:tcBorders>
            <w:vAlign w:val="top"/>
          </w:tcPr>
          <w:p w14:paraId="6A0FE4F9">
            <w:pPr>
              <w:pStyle w:val="6"/>
              <w:spacing w:before="71" w:line="222" w:lineRule="auto"/>
              <w:ind w:left="629"/>
              <w:rPr>
                <w:rFonts w:ascii="Times New Roman" w:hAnsi="Times New Roman" w:eastAsia="Times New Roman" w:cs="Times New Roman"/>
                <w:sz w:val="18"/>
                <w:szCs w:val="18"/>
              </w:rPr>
            </w:pPr>
            <w:r>
              <w:rPr>
                <w:spacing w:val="-3"/>
                <w:sz w:val="18"/>
                <w:szCs w:val="18"/>
              </w:rPr>
              <w:t>三级</w:t>
            </w:r>
            <w:r>
              <w:rPr>
                <w:rFonts w:ascii="Times New Roman" w:hAnsi="Times New Roman" w:eastAsia="Times New Roman" w:cs="Times New Roman"/>
                <w:spacing w:val="-3"/>
                <w:sz w:val="18"/>
                <w:szCs w:val="18"/>
              </w:rPr>
              <w:t>□</w:t>
            </w:r>
          </w:p>
        </w:tc>
      </w:tr>
      <w:tr w14:paraId="66959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continue"/>
            <w:tcBorders>
              <w:top w:val="nil"/>
              <w:left w:val="single" w:color="000000" w:sz="10" w:space="0"/>
            </w:tcBorders>
            <w:vAlign w:val="top"/>
          </w:tcPr>
          <w:p w14:paraId="1186A7BE">
            <w:pPr>
              <w:rPr>
                <w:rFonts w:ascii="Arial"/>
                <w:sz w:val="21"/>
              </w:rPr>
            </w:pPr>
          </w:p>
        </w:tc>
        <w:tc>
          <w:tcPr>
            <w:tcW w:w="1767" w:type="dxa"/>
            <w:vAlign w:val="top"/>
          </w:tcPr>
          <w:p w14:paraId="2965877A">
            <w:pPr>
              <w:pStyle w:val="6"/>
              <w:spacing w:before="72" w:line="219" w:lineRule="auto"/>
              <w:ind w:left="516"/>
              <w:rPr>
                <w:sz w:val="18"/>
                <w:szCs w:val="18"/>
              </w:rPr>
            </w:pPr>
            <w:r>
              <w:rPr>
                <w:spacing w:val="-2"/>
                <w:sz w:val="18"/>
                <w:szCs w:val="18"/>
              </w:rPr>
              <w:t>评价范围</w:t>
            </w:r>
          </w:p>
        </w:tc>
        <w:tc>
          <w:tcPr>
            <w:tcW w:w="2650" w:type="dxa"/>
            <w:gridSpan w:val="7"/>
            <w:vAlign w:val="top"/>
          </w:tcPr>
          <w:p w14:paraId="4774010B">
            <w:pPr>
              <w:pStyle w:val="6"/>
              <w:spacing w:before="45" w:line="274" w:lineRule="exact"/>
              <w:ind w:left="835"/>
              <w:rPr>
                <w:rFonts w:ascii="Times New Roman" w:hAnsi="Times New Roman" w:eastAsia="Times New Roman" w:cs="Times New Roman"/>
                <w:sz w:val="18"/>
                <w:szCs w:val="18"/>
              </w:rPr>
            </w:pPr>
            <w:r>
              <w:rPr>
                <w:spacing w:val="-1"/>
                <w:position w:val="2"/>
                <w:sz w:val="18"/>
                <w:szCs w:val="18"/>
              </w:rPr>
              <w:t>边长</w:t>
            </w:r>
            <w:r>
              <w:rPr>
                <w:rFonts w:ascii="Times New Roman" w:hAnsi="Times New Roman" w:eastAsia="Times New Roman" w:cs="Times New Roman"/>
                <w:spacing w:val="-1"/>
                <w:position w:val="2"/>
                <w:sz w:val="18"/>
                <w:szCs w:val="18"/>
              </w:rPr>
              <w:t>=50km□</w:t>
            </w:r>
          </w:p>
        </w:tc>
        <w:tc>
          <w:tcPr>
            <w:tcW w:w="2321" w:type="dxa"/>
            <w:gridSpan w:val="8"/>
            <w:vAlign w:val="top"/>
          </w:tcPr>
          <w:p w14:paraId="4D67FC6D">
            <w:pPr>
              <w:pStyle w:val="6"/>
              <w:spacing w:before="45" w:line="274" w:lineRule="exact"/>
              <w:ind w:left="571"/>
              <w:rPr>
                <w:rFonts w:ascii="Times New Roman" w:hAnsi="Times New Roman" w:eastAsia="Times New Roman" w:cs="Times New Roman"/>
                <w:sz w:val="18"/>
                <w:szCs w:val="18"/>
              </w:rPr>
            </w:pPr>
            <w:r>
              <w:rPr>
                <w:spacing w:val="-2"/>
                <w:position w:val="2"/>
                <w:sz w:val="18"/>
                <w:szCs w:val="18"/>
              </w:rPr>
              <w:t>边长</w:t>
            </w:r>
            <w:r>
              <w:rPr>
                <w:spacing w:val="-35"/>
                <w:position w:val="2"/>
                <w:sz w:val="18"/>
                <w:szCs w:val="18"/>
              </w:rPr>
              <w:t xml:space="preserve"> </w:t>
            </w:r>
            <w:r>
              <w:rPr>
                <w:rFonts w:ascii="Times New Roman" w:hAnsi="Times New Roman" w:eastAsia="Times New Roman" w:cs="Times New Roman"/>
                <w:spacing w:val="-2"/>
                <w:position w:val="2"/>
                <w:sz w:val="18"/>
                <w:szCs w:val="18"/>
              </w:rPr>
              <w:t>5</w:t>
            </w:r>
            <w:r>
              <w:rPr>
                <w:spacing w:val="-2"/>
                <w:position w:val="2"/>
                <w:sz w:val="18"/>
                <w:szCs w:val="18"/>
              </w:rPr>
              <w:t>～</w:t>
            </w:r>
            <w:r>
              <w:rPr>
                <w:rFonts w:ascii="Times New Roman" w:hAnsi="Times New Roman" w:eastAsia="Times New Roman" w:cs="Times New Roman"/>
                <w:spacing w:val="-2"/>
                <w:position w:val="2"/>
                <w:sz w:val="18"/>
                <w:szCs w:val="18"/>
              </w:rPr>
              <w:t>50km□</w:t>
            </w:r>
          </w:p>
        </w:tc>
        <w:tc>
          <w:tcPr>
            <w:tcW w:w="1723" w:type="dxa"/>
            <w:gridSpan w:val="4"/>
            <w:tcBorders>
              <w:right w:val="single" w:color="000000" w:sz="10" w:space="0"/>
            </w:tcBorders>
            <w:vAlign w:val="top"/>
          </w:tcPr>
          <w:p w14:paraId="7AD77449">
            <w:pPr>
              <w:pStyle w:val="6"/>
              <w:spacing w:before="45" w:line="259" w:lineRule="exact"/>
              <w:ind w:left="391"/>
              <w:rPr>
                <w:sz w:val="18"/>
                <w:szCs w:val="18"/>
              </w:rPr>
            </w:pPr>
            <w:r>
              <w:rPr>
                <w:spacing w:val="-2"/>
                <w:position w:val="1"/>
                <w:sz w:val="18"/>
                <w:szCs w:val="18"/>
              </w:rPr>
              <w:t>边长</w:t>
            </w:r>
            <w:r>
              <w:rPr>
                <w:rFonts w:ascii="Times New Roman" w:hAnsi="Times New Roman" w:eastAsia="Times New Roman" w:cs="Times New Roman"/>
                <w:spacing w:val="-2"/>
                <w:position w:val="1"/>
                <w:sz w:val="18"/>
                <w:szCs w:val="18"/>
              </w:rPr>
              <w:t>=5km</w:t>
            </w:r>
            <w:r>
              <w:rPr>
                <w:rFonts w:ascii="Times New Roman" w:hAnsi="Times New Roman" w:eastAsia="Times New Roman" w:cs="Times New Roman"/>
                <w:spacing w:val="-25"/>
                <w:position w:val="1"/>
                <w:sz w:val="18"/>
                <w:szCs w:val="18"/>
              </w:rPr>
              <w:t xml:space="preserve"> </w:t>
            </w:r>
            <w:r>
              <w:rPr>
                <w:position w:val="-2"/>
                <w:sz w:val="18"/>
                <w:szCs w:val="18"/>
              </w:rPr>
              <w:drawing>
                <wp:inline distT="0" distB="0" distL="0" distR="0">
                  <wp:extent cx="90805" cy="12636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38"/>
                          <a:stretch>
                            <a:fillRect/>
                          </a:stretch>
                        </pic:blipFill>
                        <pic:spPr>
                          <a:xfrm>
                            <a:off x="0" y="0"/>
                            <a:ext cx="90982" cy="126644"/>
                          </a:xfrm>
                          <a:prstGeom prst="rect">
                            <a:avLst/>
                          </a:prstGeom>
                        </pic:spPr>
                      </pic:pic>
                    </a:graphicData>
                  </a:graphic>
                </wp:inline>
              </w:drawing>
            </w:r>
          </w:p>
        </w:tc>
      </w:tr>
      <w:tr w14:paraId="3582F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restart"/>
            <w:tcBorders>
              <w:left w:val="single" w:color="000000" w:sz="10" w:space="0"/>
              <w:bottom w:val="nil"/>
            </w:tcBorders>
            <w:vAlign w:val="top"/>
          </w:tcPr>
          <w:p w14:paraId="1B59C10F">
            <w:pPr>
              <w:spacing w:line="345" w:lineRule="auto"/>
              <w:rPr>
                <w:rFonts w:ascii="Arial"/>
                <w:sz w:val="21"/>
              </w:rPr>
            </w:pPr>
          </w:p>
          <w:p w14:paraId="7883B177">
            <w:pPr>
              <w:pStyle w:val="6"/>
              <w:spacing w:before="59" w:line="219" w:lineRule="auto"/>
              <w:ind w:left="154"/>
              <w:rPr>
                <w:sz w:val="18"/>
                <w:szCs w:val="18"/>
              </w:rPr>
            </w:pPr>
            <w:r>
              <w:rPr>
                <w:spacing w:val="-2"/>
                <w:sz w:val="18"/>
                <w:szCs w:val="18"/>
              </w:rPr>
              <w:t>评价因子</w:t>
            </w:r>
          </w:p>
        </w:tc>
        <w:tc>
          <w:tcPr>
            <w:tcW w:w="1767" w:type="dxa"/>
            <w:vAlign w:val="top"/>
          </w:tcPr>
          <w:p w14:paraId="39D54DD8">
            <w:pPr>
              <w:pStyle w:val="6"/>
              <w:spacing w:before="56" w:line="263" w:lineRule="exact"/>
              <w:ind w:left="166"/>
              <w:rPr>
                <w:sz w:val="18"/>
                <w:szCs w:val="18"/>
              </w:rPr>
            </w:pPr>
            <w:r>
              <w:rPr>
                <w:rFonts w:ascii="Times New Roman" w:hAnsi="Times New Roman" w:eastAsia="Times New Roman" w:cs="Times New Roman"/>
                <w:spacing w:val="-1"/>
                <w:position w:val="1"/>
                <w:sz w:val="18"/>
                <w:szCs w:val="18"/>
              </w:rPr>
              <w:t>SO2 +NO</w:t>
            </w:r>
            <w:r>
              <w:rPr>
                <w:rFonts w:ascii="Times New Roman" w:hAnsi="Times New Roman" w:eastAsia="Times New Roman" w:cs="Times New Roman"/>
                <w:i/>
                <w:iCs/>
                <w:spacing w:val="-1"/>
                <w:position w:val="1"/>
                <w:sz w:val="18"/>
                <w:szCs w:val="18"/>
              </w:rPr>
              <w:t xml:space="preserve">x  </w:t>
            </w:r>
            <w:r>
              <w:rPr>
                <w:spacing w:val="-1"/>
                <w:position w:val="1"/>
                <w:sz w:val="18"/>
                <w:szCs w:val="18"/>
              </w:rPr>
              <w:t>排放量</w:t>
            </w:r>
          </w:p>
        </w:tc>
        <w:tc>
          <w:tcPr>
            <w:tcW w:w="1415" w:type="dxa"/>
            <w:gridSpan w:val="2"/>
            <w:vAlign w:val="top"/>
          </w:tcPr>
          <w:p w14:paraId="19B9E6B5">
            <w:pPr>
              <w:spacing w:before="46" w:line="236" w:lineRule="exact"/>
              <w:ind w:left="305"/>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 2000t/a□</w:t>
            </w:r>
          </w:p>
        </w:tc>
        <w:tc>
          <w:tcPr>
            <w:tcW w:w="3556" w:type="dxa"/>
            <w:gridSpan w:val="13"/>
            <w:vAlign w:val="top"/>
          </w:tcPr>
          <w:p w14:paraId="646D46F0">
            <w:pPr>
              <w:spacing w:before="46" w:line="236" w:lineRule="exact"/>
              <w:ind w:left="123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500 ~ 2000t/a□</w:t>
            </w:r>
          </w:p>
        </w:tc>
        <w:tc>
          <w:tcPr>
            <w:tcW w:w="1723" w:type="dxa"/>
            <w:gridSpan w:val="4"/>
            <w:tcBorders>
              <w:right w:val="single" w:color="000000" w:sz="10" w:space="0"/>
            </w:tcBorders>
            <w:vAlign w:val="top"/>
          </w:tcPr>
          <w:p w14:paraId="4F8ABC75">
            <w:pPr>
              <w:pStyle w:val="6"/>
              <w:spacing w:before="46" w:line="259" w:lineRule="exact"/>
              <w:ind w:left="460"/>
              <w:rPr>
                <w:sz w:val="18"/>
                <w:szCs w:val="18"/>
              </w:rPr>
            </w:pPr>
            <w:r>
              <w:rPr>
                <w:spacing w:val="8"/>
                <w:position w:val="1"/>
                <w:sz w:val="18"/>
                <w:szCs w:val="18"/>
              </w:rPr>
              <w:t>&lt;</w:t>
            </w:r>
            <w:r>
              <w:rPr>
                <w:rFonts w:ascii="Times New Roman" w:hAnsi="Times New Roman" w:eastAsia="Times New Roman" w:cs="Times New Roman"/>
                <w:spacing w:val="8"/>
                <w:position w:val="1"/>
                <w:sz w:val="18"/>
                <w:szCs w:val="18"/>
              </w:rPr>
              <w:t>500 t/a</w:t>
            </w:r>
            <w:r>
              <w:rPr>
                <w:position w:val="-2"/>
                <w:sz w:val="18"/>
                <w:szCs w:val="18"/>
              </w:rPr>
              <w:drawing>
                <wp:inline distT="0" distB="0" distL="0" distR="0">
                  <wp:extent cx="99695" cy="12636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37"/>
                          <a:stretch>
                            <a:fillRect/>
                          </a:stretch>
                        </pic:blipFill>
                        <pic:spPr>
                          <a:xfrm>
                            <a:off x="0" y="0"/>
                            <a:ext cx="100252" cy="126644"/>
                          </a:xfrm>
                          <a:prstGeom prst="rect">
                            <a:avLst/>
                          </a:prstGeom>
                        </pic:spPr>
                      </pic:pic>
                    </a:graphicData>
                  </a:graphic>
                </wp:inline>
              </w:drawing>
            </w:r>
          </w:p>
        </w:tc>
      </w:tr>
      <w:tr w14:paraId="5D4F0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continue"/>
            <w:tcBorders>
              <w:top w:val="nil"/>
              <w:left w:val="single" w:color="000000" w:sz="10" w:space="0"/>
            </w:tcBorders>
            <w:vAlign w:val="top"/>
          </w:tcPr>
          <w:p w14:paraId="434596CC">
            <w:pPr>
              <w:rPr>
                <w:rFonts w:ascii="Arial"/>
                <w:sz w:val="21"/>
              </w:rPr>
            </w:pPr>
          </w:p>
        </w:tc>
        <w:tc>
          <w:tcPr>
            <w:tcW w:w="1767" w:type="dxa"/>
            <w:vAlign w:val="top"/>
          </w:tcPr>
          <w:p w14:paraId="6FEA0AFE">
            <w:pPr>
              <w:pStyle w:val="6"/>
              <w:spacing w:before="236" w:line="219" w:lineRule="auto"/>
              <w:ind w:left="516"/>
              <w:rPr>
                <w:sz w:val="18"/>
                <w:szCs w:val="18"/>
              </w:rPr>
            </w:pPr>
            <w:r>
              <w:rPr>
                <w:spacing w:val="-2"/>
                <w:sz w:val="18"/>
                <w:szCs w:val="18"/>
              </w:rPr>
              <w:t>评价因子</w:t>
            </w:r>
          </w:p>
        </w:tc>
        <w:tc>
          <w:tcPr>
            <w:tcW w:w="3698" w:type="dxa"/>
            <w:gridSpan w:val="12"/>
            <w:vAlign w:val="top"/>
          </w:tcPr>
          <w:p w14:paraId="5ADBEF3B">
            <w:pPr>
              <w:pStyle w:val="6"/>
              <w:spacing w:before="47" w:line="250" w:lineRule="exact"/>
              <w:ind w:right="2"/>
              <w:jc w:val="right"/>
              <w:rPr>
                <w:rFonts w:ascii="Times New Roman" w:hAnsi="Times New Roman" w:eastAsia="Times New Roman" w:cs="Times New Roman"/>
                <w:sz w:val="18"/>
                <w:szCs w:val="18"/>
              </w:rPr>
            </w:pPr>
            <w:r>
              <w:rPr>
                <w:spacing w:val="-3"/>
                <w:position w:val="2"/>
                <w:sz w:val="18"/>
                <w:szCs w:val="18"/>
              </w:rPr>
              <w:t>基本污染物</w:t>
            </w:r>
            <w:r>
              <w:rPr>
                <w:rFonts w:ascii="Times New Roman" w:hAnsi="Times New Roman" w:eastAsia="Times New Roman" w:cs="Times New Roman"/>
                <w:spacing w:val="-3"/>
                <w:position w:val="2"/>
                <w:sz w:val="18"/>
                <w:szCs w:val="18"/>
              </w:rPr>
              <w:t>(SO</w:t>
            </w:r>
            <w:r>
              <w:rPr>
                <w:rFonts w:ascii="Times New Roman" w:hAnsi="Times New Roman" w:eastAsia="Times New Roman" w:cs="Times New Roman"/>
                <w:spacing w:val="-3"/>
                <w:position w:val="1"/>
                <w:sz w:val="11"/>
                <w:szCs w:val="11"/>
              </w:rPr>
              <w:t>2</w:t>
            </w:r>
            <w:r>
              <w:rPr>
                <w:rFonts w:ascii="Times New Roman" w:hAnsi="Times New Roman" w:eastAsia="Times New Roman" w:cs="Times New Roman"/>
                <w:spacing w:val="-5"/>
                <w:position w:val="1"/>
                <w:sz w:val="11"/>
                <w:szCs w:val="11"/>
              </w:rPr>
              <w:t xml:space="preserve"> </w:t>
            </w:r>
            <w:r>
              <w:rPr>
                <w:spacing w:val="-3"/>
                <w:position w:val="2"/>
                <w:sz w:val="18"/>
                <w:szCs w:val="18"/>
              </w:rPr>
              <w:t>、</w:t>
            </w:r>
            <w:r>
              <w:rPr>
                <w:rFonts w:ascii="Times New Roman" w:hAnsi="Times New Roman" w:eastAsia="Times New Roman" w:cs="Times New Roman"/>
                <w:spacing w:val="-3"/>
                <w:position w:val="2"/>
                <w:sz w:val="18"/>
                <w:szCs w:val="18"/>
              </w:rPr>
              <w:t>NO</w:t>
            </w:r>
            <w:r>
              <w:rPr>
                <w:rFonts w:ascii="Times New Roman" w:hAnsi="Times New Roman" w:eastAsia="Times New Roman" w:cs="Times New Roman"/>
                <w:spacing w:val="-3"/>
                <w:position w:val="1"/>
                <w:sz w:val="11"/>
                <w:szCs w:val="11"/>
              </w:rPr>
              <w:t>X</w:t>
            </w:r>
            <w:r>
              <w:rPr>
                <w:rFonts w:ascii="Times New Roman" w:hAnsi="Times New Roman" w:eastAsia="Times New Roman" w:cs="Times New Roman"/>
                <w:spacing w:val="-10"/>
                <w:position w:val="1"/>
                <w:sz w:val="11"/>
                <w:szCs w:val="11"/>
              </w:rPr>
              <w:t xml:space="preserve"> </w:t>
            </w:r>
            <w:r>
              <w:rPr>
                <w:spacing w:val="-3"/>
                <w:position w:val="2"/>
                <w:sz w:val="18"/>
                <w:szCs w:val="18"/>
              </w:rPr>
              <w:t>、</w:t>
            </w:r>
            <w:r>
              <w:rPr>
                <w:rFonts w:ascii="Times New Roman" w:hAnsi="Times New Roman" w:eastAsia="Times New Roman" w:cs="Times New Roman"/>
                <w:spacing w:val="-3"/>
                <w:position w:val="2"/>
                <w:sz w:val="18"/>
                <w:szCs w:val="18"/>
              </w:rPr>
              <w:t>PM</w:t>
            </w:r>
            <w:r>
              <w:rPr>
                <w:rFonts w:ascii="Times New Roman" w:hAnsi="Times New Roman" w:eastAsia="Times New Roman" w:cs="Times New Roman"/>
                <w:spacing w:val="-3"/>
                <w:position w:val="1"/>
                <w:sz w:val="11"/>
                <w:szCs w:val="11"/>
              </w:rPr>
              <w:t>10</w:t>
            </w:r>
            <w:r>
              <w:rPr>
                <w:rFonts w:ascii="Times New Roman" w:hAnsi="Times New Roman" w:eastAsia="Times New Roman" w:cs="Times New Roman"/>
                <w:spacing w:val="-7"/>
                <w:position w:val="1"/>
                <w:sz w:val="11"/>
                <w:szCs w:val="11"/>
              </w:rPr>
              <w:t xml:space="preserve"> </w:t>
            </w:r>
            <w:r>
              <w:rPr>
                <w:spacing w:val="-3"/>
                <w:position w:val="2"/>
                <w:sz w:val="18"/>
                <w:szCs w:val="18"/>
              </w:rPr>
              <w:t>、</w:t>
            </w:r>
            <w:r>
              <w:rPr>
                <w:rFonts w:ascii="Times New Roman" w:hAnsi="Times New Roman" w:eastAsia="Times New Roman" w:cs="Times New Roman"/>
                <w:spacing w:val="-3"/>
                <w:position w:val="2"/>
                <w:sz w:val="18"/>
                <w:szCs w:val="18"/>
              </w:rPr>
              <w:t>T</w:t>
            </w:r>
            <w:r>
              <w:rPr>
                <w:rFonts w:ascii="Times New Roman" w:hAnsi="Times New Roman" w:eastAsia="Times New Roman" w:cs="Times New Roman"/>
                <w:spacing w:val="-4"/>
                <w:position w:val="2"/>
                <w:sz w:val="18"/>
                <w:szCs w:val="18"/>
              </w:rPr>
              <w:t>SP</w:t>
            </w:r>
            <w:r>
              <w:rPr>
                <w:rFonts w:ascii="Times New Roman" w:hAnsi="Times New Roman" w:eastAsia="Times New Roman" w:cs="Times New Roman"/>
                <w:spacing w:val="-23"/>
                <w:position w:val="2"/>
                <w:sz w:val="18"/>
                <w:szCs w:val="18"/>
              </w:rPr>
              <w:t xml:space="preserve"> </w:t>
            </w:r>
            <w:r>
              <w:rPr>
                <w:spacing w:val="-4"/>
                <w:position w:val="2"/>
                <w:sz w:val="18"/>
                <w:szCs w:val="18"/>
              </w:rPr>
              <w:t>、</w:t>
            </w:r>
            <w:r>
              <w:rPr>
                <w:rFonts w:ascii="Times New Roman" w:hAnsi="Times New Roman" w:eastAsia="Times New Roman" w:cs="Times New Roman"/>
                <w:spacing w:val="-4"/>
                <w:position w:val="2"/>
                <w:sz w:val="18"/>
                <w:szCs w:val="18"/>
              </w:rPr>
              <w:t>CO</w:t>
            </w:r>
            <w:r>
              <w:rPr>
                <w:rFonts w:ascii="Times New Roman" w:hAnsi="Times New Roman" w:eastAsia="Times New Roman" w:cs="Times New Roman"/>
                <w:spacing w:val="-25"/>
                <w:position w:val="2"/>
                <w:sz w:val="18"/>
                <w:szCs w:val="18"/>
              </w:rPr>
              <w:t xml:space="preserve"> </w:t>
            </w:r>
            <w:r>
              <w:rPr>
                <w:spacing w:val="-4"/>
                <w:position w:val="2"/>
                <w:sz w:val="18"/>
                <w:szCs w:val="18"/>
              </w:rPr>
              <w:t>、</w:t>
            </w:r>
            <w:r>
              <w:rPr>
                <w:rFonts w:ascii="Times New Roman" w:hAnsi="Times New Roman" w:eastAsia="Times New Roman" w:cs="Times New Roman"/>
                <w:spacing w:val="-4"/>
                <w:position w:val="2"/>
                <w:sz w:val="18"/>
                <w:szCs w:val="18"/>
              </w:rPr>
              <w:t>O</w:t>
            </w:r>
            <w:r>
              <w:rPr>
                <w:rFonts w:ascii="Times New Roman" w:hAnsi="Times New Roman" w:eastAsia="Times New Roman" w:cs="Times New Roman"/>
                <w:spacing w:val="-4"/>
                <w:position w:val="1"/>
                <w:sz w:val="11"/>
                <w:szCs w:val="11"/>
              </w:rPr>
              <w:t>3</w:t>
            </w:r>
            <w:r>
              <w:rPr>
                <w:rFonts w:ascii="Times New Roman" w:hAnsi="Times New Roman" w:eastAsia="Times New Roman" w:cs="Times New Roman"/>
                <w:spacing w:val="-4"/>
                <w:position w:val="2"/>
                <w:sz w:val="18"/>
                <w:szCs w:val="18"/>
              </w:rPr>
              <w:t>)</w:t>
            </w:r>
          </w:p>
          <w:p w14:paraId="1B073925">
            <w:pPr>
              <w:pStyle w:val="6"/>
              <w:spacing w:before="76" w:line="250" w:lineRule="exact"/>
              <w:ind w:left="501"/>
              <w:rPr>
                <w:rFonts w:ascii="Times New Roman" w:hAnsi="Times New Roman" w:eastAsia="Times New Roman" w:cs="Times New Roman"/>
                <w:sz w:val="18"/>
                <w:szCs w:val="18"/>
              </w:rPr>
            </w:pPr>
            <w:r>
              <w:rPr>
                <w:spacing w:val="-3"/>
                <w:position w:val="2"/>
                <w:sz w:val="18"/>
                <w:szCs w:val="18"/>
              </w:rPr>
              <w:t>其他污染物</w:t>
            </w:r>
            <w:r>
              <w:rPr>
                <w:rFonts w:ascii="Times New Roman" w:hAnsi="Times New Roman" w:eastAsia="Times New Roman" w:cs="Times New Roman"/>
                <w:spacing w:val="-3"/>
                <w:position w:val="2"/>
                <w:sz w:val="18"/>
                <w:szCs w:val="18"/>
              </w:rPr>
              <w:t>(NH</w:t>
            </w:r>
            <w:r>
              <w:rPr>
                <w:rFonts w:ascii="Times New Roman" w:hAnsi="Times New Roman" w:eastAsia="Times New Roman" w:cs="Times New Roman"/>
                <w:spacing w:val="-3"/>
                <w:position w:val="1"/>
                <w:sz w:val="11"/>
                <w:szCs w:val="11"/>
              </w:rPr>
              <w:t>3</w:t>
            </w:r>
            <w:r>
              <w:rPr>
                <w:rFonts w:ascii="Times New Roman" w:hAnsi="Times New Roman" w:eastAsia="Times New Roman" w:cs="Times New Roman"/>
                <w:spacing w:val="5"/>
                <w:position w:val="1"/>
                <w:sz w:val="11"/>
                <w:szCs w:val="11"/>
              </w:rPr>
              <w:t xml:space="preserve"> </w:t>
            </w:r>
            <w:r>
              <w:rPr>
                <w:spacing w:val="-3"/>
                <w:position w:val="2"/>
                <w:sz w:val="18"/>
                <w:szCs w:val="18"/>
              </w:rPr>
              <w:t>、</w:t>
            </w:r>
            <w:r>
              <w:rPr>
                <w:rFonts w:ascii="Times New Roman" w:hAnsi="Times New Roman" w:eastAsia="Times New Roman" w:cs="Times New Roman"/>
                <w:spacing w:val="-3"/>
                <w:position w:val="2"/>
                <w:sz w:val="18"/>
                <w:szCs w:val="18"/>
              </w:rPr>
              <w:t>H</w:t>
            </w:r>
            <w:r>
              <w:rPr>
                <w:rFonts w:ascii="Times New Roman" w:hAnsi="Times New Roman" w:eastAsia="Times New Roman" w:cs="Times New Roman"/>
                <w:spacing w:val="-3"/>
                <w:position w:val="1"/>
                <w:sz w:val="11"/>
                <w:szCs w:val="11"/>
              </w:rPr>
              <w:t>2</w:t>
            </w:r>
            <w:r>
              <w:rPr>
                <w:rFonts w:ascii="Times New Roman" w:hAnsi="Times New Roman" w:eastAsia="Times New Roman" w:cs="Times New Roman"/>
                <w:spacing w:val="-3"/>
                <w:position w:val="2"/>
                <w:sz w:val="18"/>
                <w:szCs w:val="18"/>
              </w:rPr>
              <w:t>S</w:t>
            </w:r>
            <w:r>
              <w:rPr>
                <w:rFonts w:ascii="Times New Roman" w:hAnsi="Times New Roman" w:eastAsia="Times New Roman" w:cs="Times New Roman"/>
                <w:spacing w:val="-25"/>
                <w:position w:val="2"/>
                <w:sz w:val="18"/>
                <w:szCs w:val="18"/>
              </w:rPr>
              <w:t xml:space="preserve"> </w:t>
            </w:r>
            <w:r>
              <w:rPr>
                <w:spacing w:val="-3"/>
                <w:position w:val="2"/>
                <w:sz w:val="18"/>
                <w:szCs w:val="18"/>
              </w:rPr>
              <w:t>、臭气浓度</w:t>
            </w:r>
            <w:r>
              <w:rPr>
                <w:rFonts w:ascii="Times New Roman" w:hAnsi="Times New Roman" w:eastAsia="Times New Roman" w:cs="Times New Roman"/>
                <w:spacing w:val="-3"/>
                <w:position w:val="2"/>
                <w:sz w:val="18"/>
                <w:szCs w:val="18"/>
              </w:rPr>
              <w:t>)</w:t>
            </w:r>
          </w:p>
        </w:tc>
        <w:tc>
          <w:tcPr>
            <w:tcW w:w="2996" w:type="dxa"/>
            <w:gridSpan w:val="7"/>
            <w:tcBorders>
              <w:right w:val="single" w:color="000000" w:sz="10" w:space="0"/>
            </w:tcBorders>
            <w:vAlign w:val="top"/>
          </w:tcPr>
          <w:p w14:paraId="48BA8631">
            <w:pPr>
              <w:pStyle w:val="6"/>
              <w:spacing w:before="57" w:line="302" w:lineRule="auto"/>
              <w:ind w:left="664" w:right="651" w:firstLine="112"/>
              <w:rPr>
                <w:sz w:val="18"/>
                <w:szCs w:val="18"/>
              </w:rPr>
            </w:pPr>
            <w:r>
              <w:rPr>
                <w:spacing w:val="6"/>
                <w:sz w:val="18"/>
                <w:szCs w:val="18"/>
              </w:rPr>
              <w:t>包括二次</w:t>
            </w:r>
            <w:r>
              <w:rPr>
                <w:spacing w:val="-17"/>
                <w:sz w:val="18"/>
                <w:szCs w:val="18"/>
              </w:rPr>
              <w:t xml:space="preserve"> </w:t>
            </w:r>
            <w:r>
              <w:rPr>
                <w:rFonts w:ascii="Times New Roman" w:hAnsi="Times New Roman" w:eastAsia="Times New Roman" w:cs="Times New Roman"/>
                <w:sz w:val="18"/>
                <w:szCs w:val="18"/>
              </w:rPr>
              <w:t>PM</w:t>
            </w:r>
            <w:r>
              <w:rPr>
                <w:rFonts w:ascii="Times New Roman" w:hAnsi="Times New Roman" w:eastAsia="Times New Roman" w:cs="Times New Roman"/>
                <w:spacing w:val="6"/>
                <w:sz w:val="18"/>
                <w:szCs w:val="18"/>
              </w:rPr>
              <w:t>2.5□</w:t>
            </w:r>
            <w:r>
              <w:rPr>
                <w:rFonts w:ascii="Times New Roman" w:hAnsi="Times New Roman" w:eastAsia="Times New Roman" w:cs="Times New Roman"/>
                <w:sz w:val="18"/>
                <w:szCs w:val="18"/>
              </w:rPr>
              <w:t xml:space="preserve">   </w:t>
            </w:r>
            <w:r>
              <w:rPr>
                <w:spacing w:val="6"/>
                <w:sz w:val="18"/>
                <w:szCs w:val="18"/>
              </w:rPr>
              <w:t>不包括二次</w:t>
            </w:r>
            <w:r>
              <w:rPr>
                <w:spacing w:val="-19"/>
                <w:sz w:val="18"/>
                <w:szCs w:val="18"/>
              </w:rPr>
              <w:t xml:space="preserve"> </w:t>
            </w:r>
            <w:r>
              <w:rPr>
                <w:rFonts w:ascii="Times New Roman" w:hAnsi="Times New Roman" w:eastAsia="Times New Roman" w:cs="Times New Roman"/>
                <w:sz w:val="18"/>
                <w:szCs w:val="18"/>
              </w:rPr>
              <w:t>PM</w:t>
            </w:r>
            <w:r>
              <w:rPr>
                <w:rFonts w:ascii="Times New Roman" w:hAnsi="Times New Roman" w:eastAsia="Times New Roman" w:cs="Times New Roman"/>
                <w:spacing w:val="6"/>
                <w:sz w:val="18"/>
                <w:szCs w:val="18"/>
              </w:rPr>
              <w:t>2.5</w:t>
            </w:r>
            <w:r>
              <w:rPr>
                <w:position w:val="-3"/>
                <w:sz w:val="18"/>
                <w:szCs w:val="18"/>
              </w:rPr>
              <w:drawing>
                <wp:inline distT="0" distB="0" distL="0" distR="0">
                  <wp:extent cx="99695" cy="12636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38"/>
                          <a:stretch>
                            <a:fillRect/>
                          </a:stretch>
                        </pic:blipFill>
                        <pic:spPr>
                          <a:xfrm>
                            <a:off x="0" y="0"/>
                            <a:ext cx="99833" cy="126644"/>
                          </a:xfrm>
                          <a:prstGeom prst="rect">
                            <a:avLst/>
                          </a:prstGeom>
                        </pic:spPr>
                      </pic:pic>
                    </a:graphicData>
                  </a:graphic>
                </wp:inline>
              </w:drawing>
            </w:r>
          </w:p>
        </w:tc>
      </w:tr>
      <w:tr w14:paraId="6D336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tcBorders>
              <w:left w:val="single" w:color="000000" w:sz="10" w:space="0"/>
            </w:tcBorders>
            <w:vAlign w:val="top"/>
          </w:tcPr>
          <w:p w14:paraId="7EEB8B7A">
            <w:pPr>
              <w:pStyle w:val="6"/>
              <w:spacing w:before="74" w:line="219" w:lineRule="auto"/>
              <w:ind w:left="154"/>
              <w:rPr>
                <w:sz w:val="18"/>
                <w:szCs w:val="18"/>
              </w:rPr>
            </w:pPr>
            <w:r>
              <w:rPr>
                <w:spacing w:val="-2"/>
                <w:sz w:val="18"/>
                <w:szCs w:val="18"/>
              </w:rPr>
              <w:t>评价标准</w:t>
            </w:r>
          </w:p>
        </w:tc>
        <w:tc>
          <w:tcPr>
            <w:tcW w:w="1767" w:type="dxa"/>
            <w:vAlign w:val="top"/>
          </w:tcPr>
          <w:p w14:paraId="49E5E1A9">
            <w:pPr>
              <w:pStyle w:val="6"/>
              <w:spacing w:before="74" w:line="219" w:lineRule="auto"/>
              <w:ind w:left="516"/>
              <w:rPr>
                <w:sz w:val="18"/>
                <w:szCs w:val="18"/>
              </w:rPr>
            </w:pPr>
            <w:r>
              <w:rPr>
                <w:spacing w:val="-2"/>
                <w:sz w:val="18"/>
                <w:szCs w:val="18"/>
              </w:rPr>
              <w:t>评价标准</w:t>
            </w:r>
          </w:p>
        </w:tc>
        <w:tc>
          <w:tcPr>
            <w:tcW w:w="2062" w:type="dxa"/>
            <w:gridSpan w:val="6"/>
            <w:vAlign w:val="top"/>
          </w:tcPr>
          <w:p w14:paraId="010628BA">
            <w:pPr>
              <w:pStyle w:val="6"/>
              <w:spacing w:before="68" w:line="227" w:lineRule="auto"/>
              <w:ind w:left="609"/>
              <w:rPr>
                <w:sz w:val="18"/>
                <w:szCs w:val="18"/>
              </w:rPr>
            </w:pPr>
            <w:r>
              <w:rPr>
                <w:spacing w:val="-7"/>
                <w:sz w:val="18"/>
                <w:szCs w:val="18"/>
              </w:rPr>
              <w:t>国家标准</w:t>
            </w:r>
            <w:r>
              <w:rPr>
                <w:position w:val="-3"/>
                <w:sz w:val="18"/>
                <w:szCs w:val="18"/>
              </w:rPr>
              <w:drawing>
                <wp:inline distT="0" distB="0" distL="0" distR="0">
                  <wp:extent cx="100330" cy="12636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39"/>
                          <a:stretch>
                            <a:fillRect/>
                          </a:stretch>
                        </pic:blipFill>
                        <pic:spPr>
                          <a:xfrm>
                            <a:off x="0" y="0"/>
                            <a:ext cx="100583" cy="126644"/>
                          </a:xfrm>
                          <a:prstGeom prst="rect">
                            <a:avLst/>
                          </a:prstGeom>
                        </pic:spPr>
                      </pic:pic>
                    </a:graphicData>
                  </a:graphic>
                </wp:inline>
              </w:drawing>
            </w:r>
          </w:p>
        </w:tc>
        <w:tc>
          <w:tcPr>
            <w:tcW w:w="1636" w:type="dxa"/>
            <w:gridSpan w:val="6"/>
            <w:vAlign w:val="top"/>
          </w:tcPr>
          <w:p w14:paraId="04538608">
            <w:pPr>
              <w:pStyle w:val="6"/>
              <w:spacing w:before="68" w:line="227" w:lineRule="auto"/>
              <w:ind w:left="382"/>
              <w:rPr>
                <w:sz w:val="18"/>
                <w:szCs w:val="18"/>
              </w:rPr>
            </w:pPr>
            <w:r>
              <w:rPr>
                <w:spacing w:val="-2"/>
                <w:sz w:val="18"/>
                <w:szCs w:val="18"/>
              </w:rPr>
              <w:t>地方标准</w:t>
            </w:r>
            <w:r>
              <w:rPr>
                <w:position w:val="-3"/>
                <w:sz w:val="18"/>
                <w:szCs w:val="18"/>
              </w:rPr>
              <w:drawing>
                <wp:inline distT="0" distB="0" distL="0" distR="0">
                  <wp:extent cx="100330" cy="12636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38"/>
                          <a:stretch>
                            <a:fillRect/>
                          </a:stretch>
                        </pic:blipFill>
                        <pic:spPr>
                          <a:xfrm>
                            <a:off x="0" y="0"/>
                            <a:ext cx="100584" cy="126644"/>
                          </a:xfrm>
                          <a:prstGeom prst="rect">
                            <a:avLst/>
                          </a:prstGeom>
                        </pic:spPr>
                      </pic:pic>
                    </a:graphicData>
                  </a:graphic>
                </wp:inline>
              </w:drawing>
            </w:r>
          </w:p>
        </w:tc>
        <w:tc>
          <w:tcPr>
            <w:tcW w:w="1716" w:type="dxa"/>
            <w:gridSpan w:val="5"/>
            <w:vAlign w:val="top"/>
          </w:tcPr>
          <w:p w14:paraId="72CAC3BC">
            <w:pPr>
              <w:pStyle w:val="6"/>
              <w:spacing w:before="68" w:line="227" w:lineRule="auto"/>
              <w:ind w:left="533"/>
              <w:rPr>
                <w:sz w:val="18"/>
                <w:szCs w:val="18"/>
              </w:rPr>
            </w:pPr>
            <w:r>
              <w:rPr>
                <w:spacing w:val="-9"/>
                <w:sz w:val="18"/>
                <w:szCs w:val="18"/>
              </w:rPr>
              <w:t>附录</w:t>
            </w:r>
            <w:r>
              <w:rPr>
                <w:spacing w:val="-40"/>
                <w:sz w:val="18"/>
                <w:szCs w:val="18"/>
              </w:rPr>
              <w:t xml:space="preserve"> </w:t>
            </w:r>
            <w:r>
              <w:rPr>
                <w:rFonts w:ascii="Times New Roman" w:hAnsi="Times New Roman" w:eastAsia="Times New Roman" w:cs="Times New Roman"/>
                <w:spacing w:val="-9"/>
                <w:sz w:val="18"/>
                <w:szCs w:val="18"/>
              </w:rPr>
              <w:t>D</w:t>
            </w:r>
            <w:r>
              <w:rPr>
                <w:position w:val="-3"/>
                <w:sz w:val="18"/>
                <w:szCs w:val="18"/>
              </w:rPr>
              <w:drawing>
                <wp:inline distT="0" distB="0" distL="0" distR="0">
                  <wp:extent cx="100330" cy="12636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38"/>
                          <a:stretch>
                            <a:fillRect/>
                          </a:stretch>
                        </pic:blipFill>
                        <pic:spPr>
                          <a:xfrm>
                            <a:off x="0" y="0"/>
                            <a:ext cx="100343" cy="126644"/>
                          </a:xfrm>
                          <a:prstGeom prst="rect">
                            <a:avLst/>
                          </a:prstGeom>
                        </pic:spPr>
                      </pic:pic>
                    </a:graphicData>
                  </a:graphic>
                </wp:inline>
              </w:drawing>
            </w:r>
          </w:p>
        </w:tc>
        <w:tc>
          <w:tcPr>
            <w:tcW w:w="1280" w:type="dxa"/>
            <w:gridSpan w:val="2"/>
            <w:tcBorders>
              <w:right w:val="single" w:color="000000" w:sz="10" w:space="0"/>
            </w:tcBorders>
            <w:vAlign w:val="top"/>
          </w:tcPr>
          <w:p w14:paraId="79495710">
            <w:pPr>
              <w:pStyle w:val="6"/>
              <w:spacing w:before="74" w:line="221" w:lineRule="auto"/>
              <w:ind w:left="227"/>
              <w:rPr>
                <w:rFonts w:ascii="Times New Roman" w:hAnsi="Times New Roman" w:eastAsia="Times New Roman" w:cs="Times New Roman"/>
                <w:sz w:val="18"/>
                <w:szCs w:val="18"/>
              </w:rPr>
            </w:pPr>
            <w:r>
              <w:rPr>
                <w:spacing w:val="-2"/>
                <w:sz w:val="18"/>
                <w:szCs w:val="18"/>
              </w:rPr>
              <w:t>其他标准</w:t>
            </w:r>
            <w:r>
              <w:rPr>
                <w:rFonts w:ascii="Times New Roman" w:hAnsi="Times New Roman" w:eastAsia="Times New Roman" w:cs="Times New Roman"/>
                <w:spacing w:val="-2"/>
                <w:sz w:val="18"/>
                <w:szCs w:val="18"/>
              </w:rPr>
              <w:t>□</w:t>
            </w:r>
          </w:p>
        </w:tc>
      </w:tr>
      <w:tr w14:paraId="281AC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restart"/>
            <w:tcBorders>
              <w:left w:val="single" w:color="000000" w:sz="10" w:space="0"/>
              <w:bottom w:val="nil"/>
            </w:tcBorders>
            <w:vAlign w:val="top"/>
          </w:tcPr>
          <w:p w14:paraId="002521FA">
            <w:pPr>
              <w:spacing w:line="343" w:lineRule="auto"/>
              <w:rPr>
                <w:rFonts w:ascii="Arial"/>
                <w:sz w:val="21"/>
              </w:rPr>
            </w:pPr>
          </w:p>
          <w:p w14:paraId="4C14DD48">
            <w:pPr>
              <w:spacing w:line="344" w:lineRule="auto"/>
              <w:rPr>
                <w:rFonts w:ascii="Arial"/>
                <w:sz w:val="21"/>
              </w:rPr>
            </w:pPr>
          </w:p>
          <w:p w14:paraId="0D6913E2">
            <w:pPr>
              <w:pStyle w:val="6"/>
              <w:spacing w:before="58" w:line="219" w:lineRule="auto"/>
              <w:ind w:left="156"/>
              <w:rPr>
                <w:sz w:val="18"/>
                <w:szCs w:val="18"/>
              </w:rPr>
            </w:pPr>
            <w:r>
              <w:rPr>
                <w:spacing w:val="-3"/>
                <w:sz w:val="18"/>
                <w:szCs w:val="18"/>
              </w:rPr>
              <w:t>现状评价</w:t>
            </w:r>
          </w:p>
        </w:tc>
        <w:tc>
          <w:tcPr>
            <w:tcW w:w="1767" w:type="dxa"/>
            <w:vAlign w:val="top"/>
          </w:tcPr>
          <w:p w14:paraId="6B4C9103">
            <w:pPr>
              <w:pStyle w:val="6"/>
              <w:spacing w:before="75" w:line="221" w:lineRule="auto"/>
              <w:ind w:left="428"/>
              <w:rPr>
                <w:sz w:val="18"/>
                <w:szCs w:val="18"/>
              </w:rPr>
            </w:pPr>
            <w:r>
              <w:rPr>
                <w:spacing w:val="-2"/>
                <w:sz w:val="18"/>
                <w:szCs w:val="18"/>
              </w:rPr>
              <w:t>环境功能区</w:t>
            </w:r>
          </w:p>
        </w:tc>
        <w:tc>
          <w:tcPr>
            <w:tcW w:w="2650" w:type="dxa"/>
            <w:gridSpan w:val="7"/>
            <w:vAlign w:val="top"/>
          </w:tcPr>
          <w:p w14:paraId="3192E013">
            <w:pPr>
              <w:pStyle w:val="6"/>
              <w:spacing w:before="76" w:line="220" w:lineRule="auto"/>
              <w:ind w:left="1004"/>
              <w:rPr>
                <w:rFonts w:ascii="Times New Roman" w:hAnsi="Times New Roman" w:eastAsia="Times New Roman" w:cs="Times New Roman"/>
                <w:sz w:val="18"/>
                <w:szCs w:val="18"/>
              </w:rPr>
            </w:pPr>
            <w:r>
              <w:rPr>
                <w:spacing w:val="-3"/>
                <w:sz w:val="18"/>
                <w:szCs w:val="18"/>
              </w:rPr>
              <w:t>一类区</w:t>
            </w:r>
            <w:r>
              <w:rPr>
                <w:rFonts w:ascii="Times New Roman" w:hAnsi="Times New Roman" w:eastAsia="Times New Roman" w:cs="Times New Roman"/>
                <w:spacing w:val="-3"/>
                <w:sz w:val="18"/>
                <w:szCs w:val="18"/>
              </w:rPr>
              <w:t>□</w:t>
            </w:r>
          </w:p>
        </w:tc>
        <w:tc>
          <w:tcPr>
            <w:tcW w:w="2321" w:type="dxa"/>
            <w:gridSpan w:val="8"/>
            <w:vAlign w:val="top"/>
          </w:tcPr>
          <w:p w14:paraId="642C3278">
            <w:pPr>
              <w:pStyle w:val="6"/>
              <w:spacing w:before="76" w:line="220" w:lineRule="auto"/>
              <w:ind w:left="845"/>
              <w:rPr>
                <w:rFonts w:ascii="Times New Roman" w:hAnsi="Times New Roman" w:eastAsia="Times New Roman" w:cs="Times New Roman"/>
                <w:sz w:val="18"/>
                <w:szCs w:val="18"/>
              </w:rPr>
            </w:pPr>
            <w:r>
              <w:rPr>
                <w:spacing w:val="-3"/>
                <w:sz w:val="18"/>
                <w:szCs w:val="18"/>
              </w:rPr>
              <w:t>二类区</w:t>
            </w:r>
            <w:r>
              <w:rPr>
                <w:rFonts w:ascii="Times New Roman" w:hAnsi="Times New Roman" w:eastAsia="Times New Roman" w:cs="Times New Roman"/>
                <w:spacing w:val="-3"/>
                <w:sz w:val="18"/>
                <w:szCs w:val="18"/>
              </w:rPr>
              <w:t>□</w:t>
            </w:r>
          </w:p>
        </w:tc>
        <w:tc>
          <w:tcPr>
            <w:tcW w:w="1723" w:type="dxa"/>
            <w:gridSpan w:val="4"/>
            <w:tcBorders>
              <w:right w:val="single" w:color="000000" w:sz="10" w:space="0"/>
            </w:tcBorders>
            <w:vAlign w:val="top"/>
          </w:tcPr>
          <w:p w14:paraId="12ACCA21">
            <w:pPr>
              <w:pStyle w:val="6"/>
              <w:spacing w:before="76" w:line="220" w:lineRule="auto"/>
              <w:ind w:left="180"/>
              <w:rPr>
                <w:rFonts w:ascii="Times New Roman" w:hAnsi="Times New Roman" w:eastAsia="Times New Roman" w:cs="Times New Roman"/>
                <w:sz w:val="18"/>
                <w:szCs w:val="18"/>
              </w:rPr>
            </w:pPr>
            <w:r>
              <w:rPr>
                <w:spacing w:val="-2"/>
                <w:sz w:val="18"/>
                <w:szCs w:val="18"/>
              </w:rPr>
              <w:t>一类区和二类区</w:t>
            </w:r>
            <w:r>
              <w:rPr>
                <w:rFonts w:ascii="Times New Roman" w:hAnsi="Times New Roman" w:eastAsia="Times New Roman" w:cs="Times New Roman"/>
                <w:spacing w:val="-2"/>
                <w:sz w:val="18"/>
                <w:szCs w:val="18"/>
              </w:rPr>
              <w:t>□</w:t>
            </w:r>
          </w:p>
        </w:tc>
      </w:tr>
      <w:tr w14:paraId="64CD6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continue"/>
            <w:tcBorders>
              <w:top w:val="nil"/>
              <w:left w:val="single" w:color="000000" w:sz="10" w:space="0"/>
              <w:bottom w:val="nil"/>
            </w:tcBorders>
            <w:vAlign w:val="top"/>
          </w:tcPr>
          <w:p w14:paraId="51636700">
            <w:pPr>
              <w:rPr>
                <w:rFonts w:ascii="Arial"/>
                <w:sz w:val="21"/>
              </w:rPr>
            </w:pPr>
          </w:p>
        </w:tc>
        <w:tc>
          <w:tcPr>
            <w:tcW w:w="1767" w:type="dxa"/>
            <w:vAlign w:val="top"/>
          </w:tcPr>
          <w:p w14:paraId="26533A05">
            <w:pPr>
              <w:pStyle w:val="6"/>
              <w:spacing w:before="76" w:line="219" w:lineRule="auto"/>
              <w:ind w:left="428"/>
              <w:rPr>
                <w:sz w:val="18"/>
                <w:szCs w:val="18"/>
              </w:rPr>
            </w:pPr>
            <w:r>
              <w:rPr>
                <w:spacing w:val="-2"/>
                <w:sz w:val="18"/>
                <w:szCs w:val="18"/>
              </w:rPr>
              <w:t>评价基准年</w:t>
            </w:r>
          </w:p>
        </w:tc>
        <w:tc>
          <w:tcPr>
            <w:tcW w:w="6694" w:type="dxa"/>
            <w:gridSpan w:val="19"/>
            <w:tcBorders>
              <w:right w:val="single" w:color="000000" w:sz="10" w:space="0"/>
            </w:tcBorders>
            <w:vAlign w:val="top"/>
          </w:tcPr>
          <w:p w14:paraId="6B3A52F4">
            <w:pPr>
              <w:pStyle w:val="6"/>
              <w:spacing w:before="50" w:line="270" w:lineRule="exact"/>
              <w:ind w:left="2900"/>
              <w:rPr>
                <w:sz w:val="18"/>
                <w:szCs w:val="18"/>
              </w:rPr>
            </w:pPr>
            <w:r>
              <w:rPr>
                <w:spacing w:val="-2"/>
                <w:position w:val="2"/>
                <w:sz w:val="18"/>
                <w:szCs w:val="18"/>
              </w:rPr>
              <w:t>（</w:t>
            </w:r>
            <w:r>
              <w:rPr>
                <w:rFonts w:ascii="Times New Roman" w:hAnsi="Times New Roman" w:eastAsia="Times New Roman" w:cs="Times New Roman"/>
                <w:spacing w:val="-2"/>
                <w:position w:val="2"/>
                <w:sz w:val="18"/>
                <w:szCs w:val="18"/>
              </w:rPr>
              <w:t>2019</w:t>
            </w:r>
            <w:r>
              <w:rPr>
                <w:spacing w:val="-2"/>
                <w:position w:val="2"/>
                <w:sz w:val="18"/>
                <w:szCs w:val="18"/>
              </w:rPr>
              <w:t>）年</w:t>
            </w:r>
          </w:p>
        </w:tc>
      </w:tr>
      <w:tr w14:paraId="2DF0C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continue"/>
            <w:tcBorders>
              <w:top w:val="nil"/>
              <w:left w:val="single" w:color="000000" w:sz="10" w:space="0"/>
              <w:bottom w:val="nil"/>
            </w:tcBorders>
            <w:vAlign w:val="top"/>
          </w:tcPr>
          <w:p w14:paraId="3FB77E3A">
            <w:pPr>
              <w:rPr>
                <w:rFonts w:ascii="Arial"/>
                <w:sz w:val="21"/>
              </w:rPr>
            </w:pPr>
          </w:p>
        </w:tc>
        <w:tc>
          <w:tcPr>
            <w:tcW w:w="1767" w:type="dxa"/>
            <w:vAlign w:val="top"/>
          </w:tcPr>
          <w:p w14:paraId="597E5C55">
            <w:pPr>
              <w:pStyle w:val="6"/>
              <w:spacing w:before="77" w:line="221" w:lineRule="auto"/>
              <w:ind w:left="337"/>
              <w:rPr>
                <w:sz w:val="18"/>
                <w:szCs w:val="18"/>
              </w:rPr>
            </w:pPr>
            <w:r>
              <w:rPr>
                <w:spacing w:val="-2"/>
                <w:sz w:val="18"/>
                <w:szCs w:val="18"/>
              </w:rPr>
              <w:t>环境空气质量</w:t>
            </w:r>
          </w:p>
          <w:p w14:paraId="6AE80412">
            <w:pPr>
              <w:pStyle w:val="6"/>
              <w:spacing w:before="111" w:line="220" w:lineRule="auto"/>
              <w:ind w:left="159"/>
              <w:rPr>
                <w:sz w:val="18"/>
                <w:szCs w:val="18"/>
              </w:rPr>
            </w:pPr>
            <w:r>
              <w:rPr>
                <w:spacing w:val="-2"/>
                <w:sz w:val="18"/>
                <w:szCs w:val="18"/>
              </w:rPr>
              <w:t>现状调查数据来源</w:t>
            </w:r>
          </w:p>
        </w:tc>
        <w:tc>
          <w:tcPr>
            <w:tcW w:w="2650" w:type="dxa"/>
            <w:gridSpan w:val="7"/>
            <w:vAlign w:val="top"/>
          </w:tcPr>
          <w:p w14:paraId="658E14E8">
            <w:pPr>
              <w:pStyle w:val="6"/>
              <w:spacing w:before="240" w:line="220" w:lineRule="auto"/>
              <w:ind w:left="551"/>
              <w:rPr>
                <w:rFonts w:ascii="Times New Roman" w:hAnsi="Times New Roman" w:eastAsia="Times New Roman" w:cs="Times New Roman"/>
                <w:sz w:val="18"/>
                <w:szCs w:val="18"/>
              </w:rPr>
            </w:pPr>
            <w:r>
              <w:rPr>
                <w:spacing w:val="-1"/>
                <w:sz w:val="18"/>
                <w:szCs w:val="18"/>
              </w:rPr>
              <w:t>长期例行监测数据</w:t>
            </w:r>
            <w:r>
              <w:rPr>
                <w:rFonts w:ascii="Times New Roman" w:hAnsi="Times New Roman" w:eastAsia="Times New Roman" w:cs="Times New Roman"/>
                <w:spacing w:val="-1"/>
                <w:sz w:val="18"/>
                <w:szCs w:val="18"/>
              </w:rPr>
              <w:t>□</w:t>
            </w:r>
          </w:p>
        </w:tc>
        <w:tc>
          <w:tcPr>
            <w:tcW w:w="2321" w:type="dxa"/>
            <w:gridSpan w:val="8"/>
            <w:vAlign w:val="top"/>
          </w:tcPr>
          <w:p w14:paraId="5E9B6F34">
            <w:pPr>
              <w:pStyle w:val="6"/>
              <w:spacing w:before="234" w:line="227" w:lineRule="auto"/>
              <w:ind w:left="278"/>
              <w:rPr>
                <w:sz w:val="18"/>
                <w:szCs w:val="18"/>
              </w:rPr>
            </w:pPr>
            <w:r>
              <w:rPr>
                <w:spacing w:val="-1"/>
                <w:sz w:val="18"/>
                <w:szCs w:val="18"/>
              </w:rPr>
              <w:t>主管部门发布的数据</w:t>
            </w:r>
            <w:r>
              <w:rPr>
                <w:position w:val="-3"/>
                <w:sz w:val="18"/>
                <w:szCs w:val="18"/>
              </w:rPr>
              <w:drawing>
                <wp:inline distT="0" distB="0" distL="0" distR="0">
                  <wp:extent cx="100330" cy="12636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37"/>
                          <a:stretch>
                            <a:fillRect/>
                          </a:stretch>
                        </pic:blipFill>
                        <pic:spPr>
                          <a:xfrm>
                            <a:off x="0" y="0"/>
                            <a:ext cx="100584" cy="126644"/>
                          </a:xfrm>
                          <a:prstGeom prst="rect">
                            <a:avLst/>
                          </a:prstGeom>
                        </pic:spPr>
                      </pic:pic>
                    </a:graphicData>
                  </a:graphic>
                </wp:inline>
              </w:drawing>
            </w:r>
          </w:p>
        </w:tc>
        <w:tc>
          <w:tcPr>
            <w:tcW w:w="1723" w:type="dxa"/>
            <w:gridSpan w:val="4"/>
            <w:tcBorders>
              <w:right w:val="single" w:color="000000" w:sz="10" w:space="0"/>
            </w:tcBorders>
            <w:vAlign w:val="top"/>
          </w:tcPr>
          <w:p w14:paraId="0308F439">
            <w:pPr>
              <w:pStyle w:val="6"/>
              <w:spacing w:before="234" w:line="227" w:lineRule="auto"/>
              <w:ind w:left="244"/>
              <w:rPr>
                <w:sz w:val="18"/>
                <w:szCs w:val="18"/>
              </w:rPr>
            </w:pPr>
            <w:r>
              <w:rPr>
                <w:spacing w:val="-2"/>
                <w:sz w:val="18"/>
                <w:szCs w:val="18"/>
              </w:rPr>
              <w:t>现状补充监测</w:t>
            </w:r>
            <w:r>
              <w:rPr>
                <w:position w:val="-3"/>
                <w:sz w:val="18"/>
                <w:szCs w:val="18"/>
              </w:rPr>
              <w:drawing>
                <wp:inline distT="0" distB="0" distL="0" distR="0">
                  <wp:extent cx="100330" cy="12636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38"/>
                          <a:stretch>
                            <a:fillRect/>
                          </a:stretch>
                        </pic:blipFill>
                        <pic:spPr>
                          <a:xfrm>
                            <a:off x="0" y="0"/>
                            <a:ext cx="100583" cy="126644"/>
                          </a:xfrm>
                          <a:prstGeom prst="rect">
                            <a:avLst/>
                          </a:prstGeom>
                        </pic:spPr>
                      </pic:pic>
                    </a:graphicData>
                  </a:graphic>
                </wp:inline>
              </w:drawing>
            </w:r>
          </w:p>
        </w:tc>
      </w:tr>
      <w:tr w14:paraId="38AF3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continue"/>
            <w:tcBorders>
              <w:top w:val="nil"/>
              <w:left w:val="single" w:color="000000" w:sz="10" w:space="0"/>
            </w:tcBorders>
            <w:vAlign w:val="top"/>
          </w:tcPr>
          <w:p w14:paraId="1F70AC68">
            <w:pPr>
              <w:rPr>
                <w:rFonts w:ascii="Arial"/>
                <w:sz w:val="21"/>
              </w:rPr>
            </w:pPr>
          </w:p>
        </w:tc>
        <w:tc>
          <w:tcPr>
            <w:tcW w:w="1767" w:type="dxa"/>
            <w:vAlign w:val="top"/>
          </w:tcPr>
          <w:p w14:paraId="72861E5A">
            <w:pPr>
              <w:pStyle w:val="6"/>
              <w:spacing w:before="78" w:line="219" w:lineRule="auto"/>
              <w:ind w:left="519"/>
              <w:rPr>
                <w:sz w:val="18"/>
                <w:szCs w:val="18"/>
              </w:rPr>
            </w:pPr>
            <w:r>
              <w:rPr>
                <w:spacing w:val="-3"/>
                <w:sz w:val="18"/>
                <w:szCs w:val="18"/>
              </w:rPr>
              <w:t>现状评价</w:t>
            </w:r>
          </w:p>
        </w:tc>
        <w:tc>
          <w:tcPr>
            <w:tcW w:w="3698" w:type="dxa"/>
            <w:gridSpan w:val="12"/>
            <w:vAlign w:val="top"/>
          </w:tcPr>
          <w:p w14:paraId="53136A1B">
            <w:pPr>
              <w:pStyle w:val="6"/>
              <w:spacing w:before="72" w:line="227" w:lineRule="auto"/>
              <w:ind w:left="1500"/>
              <w:rPr>
                <w:sz w:val="18"/>
                <w:szCs w:val="18"/>
              </w:rPr>
            </w:pPr>
            <w:r>
              <w:rPr>
                <w:spacing w:val="-3"/>
                <w:sz w:val="18"/>
                <w:szCs w:val="18"/>
              </w:rPr>
              <w:t>达标区</w:t>
            </w:r>
            <w:r>
              <w:rPr>
                <w:position w:val="-3"/>
                <w:sz w:val="18"/>
                <w:szCs w:val="18"/>
              </w:rPr>
              <w:drawing>
                <wp:inline distT="0" distB="0" distL="0" distR="0">
                  <wp:extent cx="100330" cy="12636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240"/>
                          <a:stretch>
                            <a:fillRect/>
                          </a:stretch>
                        </pic:blipFill>
                        <pic:spPr>
                          <a:xfrm>
                            <a:off x="0" y="0"/>
                            <a:ext cx="100584" cy="126644"/>
                          </a:xfrm>
                          <a:prstGeom prst="rect">
                            <a:avLst/>
                          </a:prstGeom>
                        </pic:spPr>
                      </pic:pic>
                    </a:graphicData>
                  </a:graphic>
                </wp:inline>
              </w:drawing>
            </w:r>
          </w:p>
        </w:tc>
        <w:tc>
          <w:tcPr>
            <w:tcW w:w="2996" w:type="dxa"/>
            <w:gridSpan w:val="7"/>
            <w:tcBorders>
              <w:right w:val="single" w:color="000000" w:sz="10" w:space="0"/>
            </w:tcBorders>
            <w:vAlign w:val="top"/>
          </w:tcPr>
          <w:p w14:paraId="5F797101">
            <w:pPr>
              <w:pStyle w:val="6"/>
              <w:spacing w:before="78" w:line="221" w:lineRule="auto"/>
              <w:ind w:left="1086"/>
              <w:rPr>
                <w:rFonts w:ascii="Times New Roman" w:hAnsi="Times New Roman" w:eastAsia="Times New Roman" w:cs="Times New Roman"/>
                <w:sz w:val="18"/>
                <w:szCs w:val="18"/>
              </w:rPr>
            </w:pPr>
            <w:r>
              <w:rPr>
                <w:spacing w:val="-2"/>
                <w:sz w:val="18"/>
                <w:szCs w:val="18"/>
              </w:rPr>
              <w:t>不达标区</w:t>
            </w:r>
            <w:r>
              <w:rPr>
                <w:rFonts w:ascii="Times New Roman" w:hAnsi="Times New Roman" w:eastAsia="Times New Roman" w:cs="Times New Roman"/>
                <w:spacing w:val="-2"/>
                <w:sz w:val="18"/>
                <w:szCs w:val="18"/>
              </w:rPr>
              <w:t>□</w:t>
            </w:r>
          </w:p>
        </w:tc>
      </w:tr>
      <w:tr w14:paraId="4F5B6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1042" w:type="dxa"/>
            <w:tcBorders>
              <w:left w:val="single" w:color="000000" w:sz="10" w:space="0"/>
            </w:tcBorders>
            <w:vAlign w:val="top"/>
          </w:tcPr>
          <w:p w14:paraId="11A28794">
            <w:pPr>
              <w:spacing w:line="345" w:lineRule="auto"/>
              <w:rPr>
                <w:rFonts w:ascii="Arial"/>
                <w:sz w:val="21"/>
              </w:rPr>
            </w:pPr>
          </w:p>
          <w:p w14:paraId="415AEA63">
            <w:pPr>
              <w:pStyle w:val="6"/>
              <w:spacing w:before="58" w:line="221" w:lineRule="auto"/>
              <w:ind w:left="65"/>
              <w:rPr>
                <w:sz w:val="18"/>
                <w:szCs w:val="18"/>
              </w:rPr>
            </w:pPr>
            <w:r>
              <w:rPr>
                <w:spacing w:val="-2"/>
                <w:sz w:val="18"/>
                <w:szCs w:val="18"/>
              </w:rPr>
              <w:t>污染源调查</w:t>
            </w:r>
          </w:p>
        </w:tc>
        <w:tc>
          <w:tcPr>
            <w:tcW w:w="1767" w:type="dxa"/>
            <w:vAlign w:val="top"/>
          </w:tcPr>
          <w:p w14:paraId="0A908D72">
            <w:pPr>
              <w:spacing w:line="345" w:lineRule="auto"/>
              <w:rPr>
                <w:rFonts w:ascii="Arial"/>
                <w:sz w:val="21"/>
              </w:rPr>
            </w:pPr>
          </w:p>
          <w:p w14:paraId="30483DE3">
            <w:pPr>
              <w:pStyle w:val="6"/>
              <w:spacing w:before="58" w:line="220" w:lineRule="auto"/>
              <w:ind w:left="519"/>
              <w:rPr>
                <w:sz w:val="18"/>
                <w:szCs w:val="18"/>
              </w:rPr>
            </w:pPr>
            <w:r>
              <w:rPr>
                <w:spacing w:val="-3"/>
                <w:sz w:val="18"/>
                <w:szCs w:val="18"/>
              </w:rPr>
              <w:t>调查内容</w:t>
            </w:r>
          </w:p>
        </w:tc>
        <w:tc>
          <w:tcPr>
            <w:tcW w:w="2062" w:type="dxa"/>
            <w:gridSpan w:val="6"/>
            <w:vAlign w:val="top"/>
          </w:tcPr>
          <w:p w14:paraId="0E598898">
            <w:pPr>
              <w:pStyle w:val="6"/>
              <w:spacing w:before="72" w:line="227" w:lineRule="auto"/>
              <w:ind w:left="232"/>
              <w:rPr>
                <w:sz w:val="18"/>
                <w:szCs w:val="18"/>
              </w:rPr>
            </w:pPr>
            <w:r>
              <w:rPr>
                <w:spacing w:val="-1"/>
                <w:sz w:val="18"/>
                <w:szCs w:val="18"/>
              </w:rPr>
              <w:t>本项目正常排放源</w:t>
            </w:r>
            <w:r>
              <w:rPr>
                <w:position w:val="-3"/>
                <w:sz w:val="18"/>
                <w:szCs w:val="18"/>
              </w:rPr>
              <w:drawing>
                <wp:inline distT="0" distB="0" distL="0" distR="0">
                  <wp:extent cx="100330" cy="12636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239"/>
                          <a:stretch>
                            <a:fillRect/>
                          </a:stretch>
                        </pic:blipFill>
                        <pic:spPr>
                          <a:xfrm>
                            <a:off x="0" y="0"/>
                            <a:ext cx="100583" cy="126644"/>
                          </a:xfrm>
                          <a:prstGeom prst="rect">
                            <a:avLst/>
                          </a:prstGeom>
                        </pic:spPr>
                      </pic:pic>
                    </a:graphicData>
                  </a:graphic>
                </wp:inline>
              </w:drawing>
            </w:r>
          </w:p>
          <w:p w14:paraId="02D15893">
            <w:pPr>
              <w:pStyle w:val="6"/>
              <w:spacing w:before="112" w:line="219" w:lineRule="auto"/>
              <w:ind w:left="167"/>
              <w:rPr>
                <w:rFonts w:ascii="Times New Roman" w:hAnsi="Times New Roman" w:eastAsia="Times New Roman" w:cs="Times New Roman"/>
                <w:sz w:val="18"/>
                <w:szCs w:val="18"/>
              </w:rPr>
            </w:pPr>
            <w:r>
              <w:rPr>
                <w:spacing w:val="-1"/>
                <w:sz w:val="18"/>
                <w:szCs w:val="18"/>
              </w:rPr>
              <w:t>本项目非正常排放源</w:t>
            </w:r>
            <w:r>
              <w:rPr>
                <w:rFonts w:ascii="Times New Roman" w:hAnsi="Times New Roman" w:eastAsia="Times New Roman" w:cs="Times New Roman"/>
                <w:spacing w:val="-1"/>
                <w:sz w:val="18"/>
                <w:szCs w:val="18"/>
              </w:rPr>
              <w:t>□</w:t>
            </w:r>
          </w:p>
          <w:p w14:paraId="077E93FC">
            <w:pPr>
              <w:pStyle w:val="6"/>
              <w:spacing w:before="112" w:line="221" w:lineRule="auto"/>
              <w:ind w:left="535"/>
              <w:rPr>
                <w:rFonts w:ascii="Times New Roman" w:hAnsi="Times New Roman" w:eastAsia="Times New Roman" w:cs="Times New Roman"/>
                <w:sz w:val="18"/>
                <w:szCs w:val="18"/>
              </w:rPr>
            </w:pPr>
            <w:r>
              <w:rPr>
                <w:spacing w:val="-2"/>
                <w:sz w:val="18"/>
                <w:szCs w:val="18"/>
              </w:rPr>
              <w:t>现有污染源</w:t>
            </w:r>
            <w:r>
              <w:rPr>
                <w:rFonts w:ascii="Times New Roman" w:hAnsi="Times New Roman" w:eastAsia="Times New Roman" w:cs="Times New Roman"/>
                <w:spacing w:val="-2"/>
                <w:sz w:val="18"/>
                <w:szCs w:val="18"/>
              </w:rPr>
              <w:t>□</w:t>
            </w:r>
          </w:p>
        </w:tc>
        <w:tc>
          <w:tcPr>
            <w:tcW w:w="1636" w:type="dxa"/>
            <w:gridSpan w:val="6"/>
            <w:vAlign w:val="top"/>
          </w:tcPr>
          <w:p w14:paraId="69328978">
            <w:pPr>
              <w:spacing w:line="345" w:lineRule="auto"/>
              <w:rPr>
                <w:rFonts w:ascii="Arial"/>
                <w:sz w:val="21"/>
              </w:rPr>
            </w:pPr>
          </w:p>
          <w:p w14:paraId="23A4D561">
            <w:pPr>
              <w:pStyle w:val="6"/>
              <w:spacing w:before="59" w:line="219" w:lineRule="auto"/>
              <w:ind w:left="137"/>
              <w:rPr>
                <w:rFonts w:ascii="Times New Roman" w:hAnsi="Times New Roman" w:eastAsia="Times New Roman" w:cs="Times New Roman"/>
                <w:sz w:val="18"/>
                <w:szCs w:val="18"/>
              </w:rPr>
            </w:pPr>
            <w:r>
              <w:rPr>
                <w:spacing w:val="-1"/>
                <w:sz w:val="18"/>
                <w:szCs w:val="18"/>
              </w:rPr>
              <w:t>拟替代的污染源</w:t>
            </w:r>
            <w:r>
              <w:rPr>
                <w:rFonts w:ascii="Times New Roman" w:hAnsi="Times New Roman" w:eastAsia="Times New Roman" w:cs="Times New Roman"/>
                <w:spacing w:val="-1"/>
                <w:sz w:val="18"/>
                <w:szCs w:val="18"/>
              </w:rPr>
              <w:t>□</w:t>
            </w:r>
          </w:p>
        </w:tc>
        <w:tc>
          <w:tcPr>
            <w:tcW w:w="1716" w:type="dxa"/>
            <w:gridSpan w:val="5"/>
            <w:vAlign w:val="top"/>
          </w:tcPr>
          <w:p w14:paraId="19E7F102">
            <w:pPr>
              <w:pStyle w:val="6"/>
              <w:spacing w:before="243" w:line="337" w:lineRule="auto"/>
              <w:ind w:left="544" w:right="36" w:hanging="487"/>
              <w:rPr>
                <w:rFonts w:ascii="Times New Roman" w:hAnsi="Times New Roman" w:eastAsia="Times New Roman" w:cs="Times New Roman"/>
                <w:sz w:val="18"/>
                <w:szCs w:val="18"/>
              </w:rPr>
            </w:pPr>
            <w:r>
              <w:rPr>
                <w:spacing w:val="-1"/>
                <w:sz w:val="18"/>
                <w:szCs w:val="18"/>
              </w:rPr>
              <w:t>其他在建、拟建项目</w:t>
            </w:r>
            <w:r>
              <w:rPr>
                <w:sz w:val="18"/>
                <w:szCs w:val="18"/>
              </w:rPr>
              <w:t xml:space="preserve"> </w:t>
            </w:r>
            <w:r>
              <w:rPr>
                <w:spacing w:val="-3"/>
                <w:sz w:val="18"/>
                <w:szCs w:val="18"/>
              </w:rPr>
              <w:t>污染源</w:t>
            </w:r>
            <w:r>
              <w:rPr>
                <w:rFonts w:ascii="Times New Roman" w:hAnsi="Times New Roman" w:eastAsia="Times New Roman" w:cs="Times New Roman"/>
                <w:spacing w:val="-3"/>
                <w:sz w:val="18"/>
                <w:szCs w:val="18"/>
              </w:rPr>
              <w:t>□</w:t>
            </w:r>
          </w:p>
        </w:tc>
        <w:tc>
          <w:tcPr>
            <w:tcW w:w="1280" w:type="dxa"/>
            <w:gridSpan w:val="2"/>
            <w:tcBorders>
              <w:right w:val="single" w:color="000000" w:sz="10" w:space="0"/>
            </w:tcBorders>
            <w:vAlign w:val="top"/>
          </w:tcPr>
          <w:p w14:paraId="11D44AD7">
            <w:pPr>
              <w:spacing w:line="345" w:lineRule="auto"/>
              <w:rPr>
                <w:rFonts w:ascii="Arial"/>
                <w:sz w:val="21"/>
              </w:rPr>
            </w:pPr>
          </w:p>
          <w:p w14:paraId="5A8B4D5A">
            <w:pPr>
              <w:pStyle w:val="6"/>
              <w:spacing w:before="58" w:line="221" w:lineRule="auto"/>
              <w:ind w:left="151"/>
              <w:rPr>
                <w:rFonts w:ascii="Times New Roman" w:hAnsi="Times New Roman" w:eastAsia="Times New Roman" w:cs="Times New Roman"/>
                <w:sz w:val="18"/>
                <w:szCs w:val="18"/>
              </w:rPr>
            </w:pPr>
            <w:r>
              <w:rPr>
                <w:spacing w:val="-4"/>
                <w:sz w:val="18"/>
                <w:szCs w:val="18"/>
              </w:rPr>
              <w:t>区域污染源</w:t>
            </w:r>
            <w:r>
              <w:rPr>
                <w:rFonts w:ascii="Times New Roman" w:hAnsi="Times New Roman" w:eastAsia="Times New Roman" w:cs="Times New Roman"/>
                <w:spacing w:val="-4"/>
                <w:sz w:val="18"/>
                <w:szCs w:val="18"/>
              </w:rPr>
              <w:t>□</w:t>
            </w:r>
          </w:p>
        </w:tc>
      </w:tr>
      <w:tr w14:paraId="47C69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restart"/>
            <w:tcBorders>
              <w:left w:val="single" w:color="000000" w:sz="10" w:space="0"/>
              <w:bottom w:val="nil"/>
            </w:tcBorders>
            <w:vAlign w:val="top"/>
          </w:tcPr>
          <w:p w14:paraId="55F9A0C4">
            <w:pPr>
              <w:spacing w:line="268" w:lineRule="auto"/>
              <w:rPr>
                <w:rFonts w:ascii="Arial"/>
                <w:sz w:val="21"/>
              </w:rPr>
            </w:pPr>
          </w:p>
          <w:p w14:paraId="2DDBDE91">
            <w:pPr>
              <w:spacing w:line="269" w:lineRule="auto"/>
              <w:rPr>
                <w:rFonts w:ascii="Arial"/>
                <w:sz w:val="21"/>
              </w:rPr>
            </w:pPr>
          </w:p>
          <w:p w14:paraId="1D9B839B">
            <w:pPr>
              <w:spacing w:line="269" w:lineRule="auto"/>
              <w:rPr>
                <w:rFonts w:ascii="Arial"/>
                <w:sz w:val="21"/>
              </w:rPr>
            </w:pPr>
          </w:p>
          <w:p w14:paraId="3FCDD9AA">
            <w:pPr>
              <w:spacing w:line="269" w:lineRule="auto"/>
              <w:rPr>
                <w:rFonts w:ascii="Arial"/>
                <w:sz w:val="21"/>
              </w:rPr>
            </w:pPr>
          </w:p>
          <w:p w14:paraId="4086EC84">
            <w:pPr>
              <w:spacing w:line="269" w:lineRule="auto"/>
              <w:rPr>
                <w:rFonts w:ascii="Arial"/>
                <w:sz w:val="21"/>
              </w:rPr>
            </w:pPr>
          </w:p>
          <w:p w14:paraId="4ED94176">
            <w:pPr>
              <w:spacing w:line="269" w:lineRule="auto"/>
              <w:rPr>
                <w:rFonts w:ascii="Arial"/>
                <w:sz w:val="21"/>
              </w:rPr>
            </w:pPr>
          </w:p>
          <w:p w14:paraId="26BE9D77">
            <w:pPr>
              <w:spacing w:line="269" w:lineRule="auto"/>
              <w:rPr>
                <w:rFonts w:ascii="Arial"/>
                <w:sz w:val="21"/>
              </w:rPr>
            </w:pPr>
          </w:p>
          <w:p w14:paraId="38876729">
            <w:pPr>
              <w:spacing w:line="269" w:lineRule="auto"/>
              <w:rPr>
                <w:rFonts w:ascii="Arial"/>
                <w:sz w:val="21"/>
              </w:rPr>
            </w:pPr>
          </w:p>
          <w:p w14:paraId="5561DA2D">
            <w:pPr>
              <w:pStyle w:val="6"/>
              <w:spacing w:before="58" w:line="221" w:lineRule="auto"/>
              <w:ind w:left="87"/>
              <w:rPr>
                <w:sz w:val="18"/>
                <w:szCs w:val="18"/>
              </w:rPr>
            </w:pPr>
            <w:r>
              <w:rPr>
                <w:spacing w:val="-7"/>
                <w:sz w:val="18"/>
                <w:szCs w:val="18"/>
              </w:rPr>
              <w:t>大气环境影</w:t>
            </w:r>
          </w:p>
          <w:p w14:paraId="1D729F49">
            <w:pPr>
              <w:pStyle w:val="6"/>
              <w:spacing w:before="110" w:line="221" w:lineRule="auto"/>
              <w:ind w:left="73"/>
              <w:rPr>
                <w:sz w:val="18"/>
                <w:szCs w:val="18"/>
              </w:rPr>
            </w:pPr>
            <w:r>
              <w:rPr>
                <w:spacing w:val="-4"/>
                <w:sz w:val="18"/>
                <w:szCs w:val="18"/>
              </w:rPr>
              <w:t>响预测与评</w:t>
            </w:r>
          </w:p>
          <w:p w14:paraId="08BD6FDF">
            <w:pPr>
              <w:pStyle w:val="6"/>
              <w:spacing w:before="108" w:line="219" w:lineRule="auto"/>
              <w:ind w:left="424"/>
              <w:rPr>
                <w:sz w:val="18"/>
                <w:szCs w:val="18"/>
              </w:rPr>
            </w:pPr>
            <w:r>
              <w:rPr>
                <w:sz w:val="18"/>
                <w:szCs w:val="18"/>
              </w:rPr>
              <w:t>价</w:t>
            </w:r>
          </w:p>
        </w:tc>
        <w:tc>
          <w:tcPr>
            <w:tcW w:w="1767" w:type="dxa"/>
            <w:vAlign w:val="top"/>
          </w:tcPr>
          <w:p w14:paraId="61948B47">
            <w:pPr>
              <w:pStyle w:val="6"/>
              <w:spacing w:before="245" w:line="220" w:lineRule="auto"/>
              <w:ind w:left="519"/>
              <w:rPr>
                <w:sz w:val="18"/>
                <w:szCs w:val="18"/>
              </w:rPr>
            </w:pPr>
            <w:r>
              <w:rPr>
                <w:spacing w:val="-3"/>
                <w:sz w:val="18"/>
                <w:szCs w:val="18"/>
              </w:rPr>
              <w:t>预测模型</w:t>
            </w:r>
          </w:p>
        </w:tc>
        <w:tc>
          <w:tcPr>
            <w:tcW w:w="1022" w:type="dxa"/>
            <w:vAlign w:val="top"/>
          </w:tcPr>
          <w:p w14:paraId="2215B6F0">
            <w:pPr>
              <w:spacing w:before="113" w:line="188" w:lineRule="auto"/>
              <w:ind w:left="11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AERMOD</w:t>
            </w:r>
          </w:p>
          <w:p w14:paraId="679C9170">
            <w:pPr>
              <w:spacing w:before="201" w:line="123" w:lineRule="exact"/>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18" w:type="dxa"/>
            <w:gridSpan w:val="4"/>
            <w:vAlign w:val="top"/>
          </w:tcPr>
          <w:p w14:paraId="7959210F">
            <w:pPr>
              <w:spacing w:before="113" w:line="188" w:lineRule="auto"/>
              <w:ind w:left="19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ADMS</w:t>
            </w:r>
          </w:p>
          <w:p w14:paraId="2725B039">
            <w:pPr>
              <w:spacing w:before="201" w:line="123" w:lineRule="exact"/>
              <w:ind w:left="4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09" w:type="dxa"/>
            <w:gridSpan w:val="4"/>
            <w:vAlign w:val="top"/>
          </w:tcPr>
          <w:p w14:paraId="4D2DB19E">
            <w:pPr>
              <w:spacing w:before="55" w:line="236" w:lineRule="exact"/>
              <w:ind w:left="3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AUSTAL2000</w:t>
            </w:r>
          </w:p>
          <w:p w14:paraId="0263A217">
            <w:pPr>
              <w:spacing w:before="184" w:line="123" w:lineRule="exact"/>
              <w:ind w:left="51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085" w:type="dxa"/>
            <w:gridSpan w:val="4"/>
            <w:vAlign w:val="top"/>
          </w:tcPr>
          <w:p w14:paraId="0DA78568">
            <w:pPr>
              <w:spacing w:before="55" w:line="236" w:lineRule="exact"/>
              <w:ind w:left="3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EDMS/AEDT</w:t>
            </w:r>
          </w:p>
          <w:p w14:paraId="38A62052">
            <w:pPr>
              <w:spacing w:before="184" w:line="123" w:lineRule="exact"/>
              <w:ind w:left="50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37" w:type="dxa"/>
            <w:gridSpan w:val="2"/>
            <w:vAlign w:val="top"/>
          </w:tcPr>
          <w:p w14:paraId="47F9AAEF">
            <w:pPr>
              <w:spacing w:before="113" w:line="188" w:lineRule="auto"/>
              <w:ind w:left="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CALPUFF</w:t>
            </w:r>
          </w:p>
          <w:p w14:paraId="5BD76A24">
            <w:pPr>
              <w:spacing w:before="200" w:line="124" w:lineRule="exact"/>
              <w:ind w:left="37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53" w:type="dxa"/>
            <w:gridSpan w:val="3"/>
            <w:vAlign w:val="top"/>
          </w:tcPr>
          <w:p w14:paraId="3C3B17CD">
            <w:pPr>
              <w:pStyle w:val="6"/>
              <w:spacing w:before="82" w:line="220" w:lineRule="auto"/>
              <w:ind w:left="141"/>
              <w:rPr>
                <w:sz w:val="18"/>
                <w:szCs w:val="18"/>
              </w:rPr>
            </w:pPr>
            <w:r>
              <w:rPr>
                <w:spacing w:val="-6"/>
                <w:sz w:val="18"/>
                <w:szCs w:val="18"/>
              </w:rPr>
              <w:t>网格模型</w:t>
            </w:r>
          </w:p>
          <w:p w14:paraId="5862FA54">
            <w:pPr>
              <w:spacing w:before="179" w:line="123" w:lineRule="exact"/>
              <w:ind w:left="44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70" w:type="dxa"/>
            <w:tcBorders>
              <w:right w:val="single" w:color="000000" w:sz="10" w:space="0"/>
            </w:tcBorders>
            <w:vAlign w:val="top"/>
          </w:tcPr>
          <w:p w14:paraId="5BBA88F0">
            <w:pPr>
              <w:pStyle w:val="6"/>
              <w:spacing w:before="81" w:line="221" w:lineRule="auto"/>
              <w:ind w:left="207"/>
              <w:rPr>
                <w:sz w:val="18"/>
                <w:szCs w:val="18"/>
              </w:rPr>
            </w:pPr>
            <w:r>
              <w:rPr>
                <w:spacing w:val="-4"/>
                <w:sz w:val="18"/>
                <w:szCs w:val="18"/>
              </w:rPr>
              <w:t>其他</w:t>
            </w:r>
          </w:p>
          <w:p w14:paraId="38CA7B2E">
            <w:pPr>
              <w:spacing w:before="179" w:line="123" w:lineRule="exact"/>
              <w:ind w:left="33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14:paraId="36FAA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continue"/>
            <w:tcBorders>
              <w:top w:val="nil"/>
              <w:left w:val="single" w:color="000000" w:sz="10" w:space="0"/>
              <w:bottom w:val="nil"/>
            </w:tcBorders>
            <w:vAlign w:val="top"/>
          </w:tcPr>
          <w:p w14:paraId="6435F806">
            <w:pPr>
              <w:rPr>
                <w:rFonts w:ascii="Arial"/>
                <w:sz w:val="21"/>
              </w:rPr>
            </w:pPr>
          </w:p>
        </w:tc>
        <w:tc>
          <w:tcPr>
            <w:tcW w:w="1767" w:type="dxa"/>
            <w:vAlign w:val="top"/>
          </w:tcPr>
          <w:p w14:paraId="03E5D9E7">
            <w:pPr>
              <w:pStyle w:val="6"/>
              <w:spacing w:before="83" w:line="221" w:lineRule="auto"/>
              <w:ind w:left="519"/>
              <w:rPr>
                <w:sz w:val="18"/>
                <w:szCs w:val="18"/>
              </w:rPr>
            </w:pPr>
            <w:r>
              <w:rPr>
                <w:spacing w:val="-3"/>
                <w:sz w:val="18"/>
                <w:szCs w:val="18"/>
              </w:rPr>
              <w:t>预测范围</w:t>
            </w:r>
          </w:p>
        </w:tc>
        <w:tc>
          <w:tcPr>
            <w:tcW w:w="1940" w:type="dxa"/>
            <w:gridSpan w:val="5"/>
            <w:vAlign w:val="top"/>
          </w:tcPr>
          <w:p w14:paraId="54248727">
            <w:pPr>
              <w:pStyle w:val="6"/>
              <w:spacing w:before="56" w:line="263" w:lineRule="exact"/>
              <w:ind w:left="458"/>
              <w:rPr>
                <w:rFonts w:ascii="Times New Roman" w:hAnsi="Times New Roman" w:eastAsia="Times New Roman" w:cs="Times New Roman"/>
                <w:sz w:val="18"/>
                <w:szCs w:val="18"/>
              </w:rPr>
            </w:pPr>
            <w:r>
              <w:rPr>
                <w:spacing w:val="-1"/>
                <w:position w:val="1"/>
                <w:sz w:val="18"/>
                <w:szCs w:val="18"/>
              </w:rPr>
              <w:t>边长</w:t>
            </w:r>
            <w:r>
              <w:rPr>
                <w:rFonts w:ascii="Times New Roman" w:hAnsi="Times New Roman" w:eastAsia="Times New Roman" w:cs="Times New Roman"/>
                <w:spacing w:val="-1"/>
                <w:position w:val="1"/>
                <w:sz w:val="18"/>
                <w:szCs w:val="18"/>
              </w:rPr>
              <w:t>≥ 50km□</w:t>
            </w:r>
          </w:p>
        </w:tc>
        <w:tc>
          <w:tcPr>
            <w:tcW w:w="3031" w:type="dxa"/>
            <w:gridSpan w:val="10"/>
            <w:vAlign w:val="top"/>
          </w:tcPr>
          <w:p w14:paraId="22DBDBC1">
            <w:pPr>
              <w:pStyle w:val="6"/>
              <w:spacing w:before="56" w:line="263" w:lineRule="exact"/>
              <w:ind w:left="902"/>
              <w:rPr>
                <w:rFonts w:ascii="Times New Roman" w:hAnsi="Times New Roman" w:eastAsia="Times New Roman" w:cs="Times New Roman"/>
                <w:sz w:val="18"/>
                <w:szCs w:val="18"/>
              </w:rPr>
            </w:pPr>
            <w:r>
              <w:rPr>
                <w:spacing w:val="-2"/>
                <w:position w:val="1"/>
                <w:sz w:val="18"/>
                <w:szCs w:val="18"/>
              </w:rPr>
              <w:t>边长</w:t>
            </w:r>
            <w:r>
              <w:rPr>
                <w:spacing w:val="-37"/>
                <w:position w:val="1"/>
                <w:sz w:val="18"/>
                <w:szCs w:val="18"/>
              </w:rPr>
              <w:t xml:space="preserve"> </w:t>
            </w:r>
            <w:r>
              <w:rPr>
                <w:rFonts w:ascii="Times New Roman" w:hAnsi="Times New Roman" w:eastAsia="Times New Roman" w:cs="Times New Roman"/>
                <w:spacing w:val="-2"/>
                <w:position w:val="1"/>
                <w:sz w:val="18"/>
                <w:szCs w:val="18"/>
              </w:rPr>
              <w:t>5</w:t>
            </w:r>
            <w:r>
              <w:rPr>
                <w:spacing w:val="-2"/>
                <w:position w:val="1"/>
                <w:sz w:val="18"/>
                <w:szCs w:val="18"/>
              </w:rPr>
              <w:t>～</w:t>
            </w:r>
            <w:r>
              <w:rPr>
                <w:rFonts w:ascii="Times New Roman" w:hAnsi="Times New Roman" w:eastAsia="Times New Roman" w:cs="Times New Roman"/>
                <w:spacing w:val="-2"/>
                <w:position w:val="1"/>
                <w:sz w:val="18"/>
                <w:szCs w:val="18"/>
              </w:rPr>
              <w:t>50km</w:t>
            </w:r>
            <w:r>
              <w:rPr>
                <w:rFonts w:ascii="Times New Roman" w:hAnsi="Times New Roman" w:eastAsia="Times New Roman" w:cs="Times New Roman"/>
                <w:spacing w:val="13"/>
                <w:w w:val="101"/>
                <w:position w:val="1"/>
                <w:sz w:val="18"/>
                <w:szCs w:val="18"/>
              </w:rPr>
              <w:t xml:space="preserve"> </w:t>
            </w:r>
            <w:r>
              <w:rPr>
                <w:rFonts w:ascii="Times New Roman" w:hAnsi="Times New Roman" w:eastAsia="Times New Roman" w:cs="Times New Roman"/>
                <w:spacing w:val="-2"/>
                <w:position w:val="1"/>
                <w:sz w:val="18"/>
                <w:szCs w:val="18"/>
              </w:rPr>
              <w:t>□</w:t>
            </w:r>
          </w:p>
        </w:tc>
        <w:tc>
          <w:tcPr>
            <w:tcW w:w="1723" w:type="dxa"/>
            <w:gridSpan w:val="4"/>
            <w:tcBorders>
              <w:right w:val="single" w:color="000000" w:sz="10" w:space="0"/>
            </w:tcBorders>
            <w:vAlign w:val="top"/>
          </w:tcPr>
          <w:p w14:paraId="1448866D">
            <w:pPr>
              <w:pStyle w:val="6"/>
              <w:spacing w:before="56" w:line="263" w:lineRule="exact"/>
              <w:ind w:left="350"/>
              <w:rPr>
                <w:rFonts w:ascii="Times New Roman" w:hAnsi="Times New Roman" w:eastAsia="Times New Roman" w:cs="Times New Roman"/>
                <w:sz w:val="18"/>
                <w:szCs w:val="18"/>
              </w:rPr>
            </w:pPr>
            <w:r>
              <w:rPr>
                <w:spacing w:val="-3"/>
                <w:position w:val="1"/>
                <w:sz w:val="18"/>
                <w:szCs w:val="18"/>
              </w:rPr>
              <w:t>边长</w:t>
            </w:r>
            <w:r>
              <w:rPr>
                <w:rFonts w:ascii="Times New Roman" w:hAnsi="Times New Roman" w:eastAsia="Times New Roman" w:cs="Times New Roman"/>
                <w:spacing w:val="-3"/>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3"/>
                <w:position w:val="1"/>
                <w:sz w:val="18"/>
                <w:szCs w:val="18"/>
              </w:rPr>
              <w:t>5 km</w:t>
            </w:r>
            <w:r>
              <w:rPr>
                <w:rFonts w:ascii="Times New Roman" w:hAnsi="Times New Roman" w:eastAsia="Times New Roman" w:cs="Times New Roman"/>
                <w:spacing w:val="15"/>
                <w:position w:val="1"/>
                <w:sz w:val="18"/>
                <w:szCs w:val="18"/>
              </w:rPr>
              <w:t xml:space="preserve"> </w:t>
            </w:r>
            <w:r>
              <w:rPr>
                <w:rFonts w:ascii="Times New Roman" w:hAnsi="Times New Roman" w:eastAsia="Times New Roman" w:cs="Times New Roman"/>
                <w:spacing w:val="-3"/>
                <w:position w:val="1"/>
                <w:sz w:val="18"/>
                <w:szCs w:val="18"/>
              </w:rPr>
              <w:t>□</w:t>
            </w:r>
          </w:p>
        </w:tc>
      </w:tr>
      <w:tr w14:paraId="52696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continue"/>
            <w:tcBorders>
              <w:top w:val="nil"/>
              <w:left w:val="single" w:color="000000" w:sz="10" w:space="0"/>
              <w:bottom w:val="nil"/>
            </w:tcBorders>
            <w:vAlign w:val="top"/>
          </w:tcPr>
          <w:p w14:paraId="55B0FCB1">
            <w:pPr>
              <w:rPr>
                <w:rFonts w:ascii="Arial"/>
                <w:sz w:val="21"/>
              </w:rPr>
            </w:pPr>
          </w:p>
        </w:tc>
        <w:tc>
          <w:tcPr>
            <w:tcW w:w="1767" w:type="dxa"/>
            <w:vAlign w:val="top"/>
          </w:tcPr>
          <w:p w14:paraId="28A37B22">
            <w:pPr>
              <w:pStyle w:val="6"/>
              <w:spacing w:before="247" w:line="221" w:lineRule="auto"/>
              <w:ind w:left="519"/>
              <w:rPr>
                <w:sz w:val="18"/>
                <w:szCs w:val="18"/>
              </w:rPr>
            </w:pPr>
            <w:r>
              <w:rPr>
                <w:spacing w:val="-3"/>
                <w:sz w:val="18"/>
                <w:szCs w:val="18"/>
              </w:rPr>
              <w:t>预测因子</w:t>
            </w:r>
          </w:p>
        </w:tc>
        <w:tc>
          <w:tcPr>
            <w:tcW w:w="3698" w:type="dxa"/>
            <w:gridSpan w:val="12"/>
            <w:vAlign w:val="top"/>
          </w:tcPr>
          <w:p w14:paraId="71693AEB">
            <w:pPr>
              <w:pStyle w:val="6"/>
              <w:spacing w:before="220" w:line="250" w:lineRule="exact"/>
              <w:ind w:left="192"/>
              <w:rPr>
                <w:rFonts w:ascii="Times New Roman" w:hAnsi="Times New Roman" w:eastAsia="Times New Roman" w:cs="Times New Roman"/>
                <w:sz w:val="18"/>
                <w:szCs w:val="18"/>
              </w:rPr>
            </w:pPr>
            <w:r>
              <w:rPr>
                <w:position w:val="2"/>
                <w:sz w:val="18"/>
                <w:szCs w:val="18"/>
              </w:rPr>
              <w:t>预测因子</w:t>
            </w:r>
            <w:r>
              <w:rPr>
                <w:rFonts w:ascii="Times New Roman" w:hAnsi="Times New Roman" w:eastAsia="Times New Roman" w:cs="Times New Roman"/>
                <w:position w:val="2"/>
                <w:sz w:val="18"/>
                <w:szCs w:val="18"/>
              </w:rPr>
              <w:t xml:space="preserve">(                          /                      </w:t>
            </w:r>
            <w:r>
              <w:rPr>
                <w:rFonts w:ascii="Times New Roman" w:hAnsi="Times New Roman" w:eastAsia="Times New Roman" w:cs="Times New Roman"/>
                <w:spacing w:val="-1"/>
                <w:position w:val="2"/>
                <w:sz w:val="18"/>
                <w:szCs w:val="18"/>
              </w:rPr>
              <w:t xml:space="preserve">      )</w:t>
            </w:r>
          </w:p>
        </w:tc>
        <w:tc>
          <w:tcPr>
            <w:tcW w:w="2996" w:type="dxa"/>
            <w:gridSpan w:val="7"/>
            <w:tcBorders>
              <w:right w:val="single" w:color="000000" w:sz="10" w:space="0"/>
            </w:tcBorders>
            <w:vAlign w:val="top"/>
          </w:tcPr>
          <w:p w14:paraId="52C55B46">
            <w:pPr>
              <w:pStyle w:val="6"/>
              <w:spacing w:before="66" w:line="297" w:lineRule="auto"/>
              <w:ind w:left="688" w:right="676" w:firstLine="88"/>
              <w:rPr>
                <w:rFonts w:ascii="Times New Roman" w:hAnsi="Times New Roman" w:eastAsia="Times New Roman" w:cs="Times New Roman"/>
                <w:sz w:val="18"/>
                <w:szCs w:val="18"/>
              </w:rPr>
            </w:pPr>
            <w:r>
              <w:rPr>
                <w:spacing w:val="6"/>
                <w:sz w:val="18"/>
                <w:szCs w:val="18"/>
              </w:rPr>
              <w:t>包括二次</w:t>
            </w:r>
            <w:r>
              <w:rPr>
                <w:spacing w:val="-17"/>
                <w:sz w:val="18"/>
                <w:szCs w:val="18"/>
              </w:rPr>
              <w:t xml:space="preserve"> </w:t>
            </w:r>
            <w:r>
              <w:rPr>
                <w:rFonts w:ascii="Times New Roman" w:hAnsi="Times New Roman" w:eastAsia="Times New Roman" w:cs="Times New Roman"/>
                <w:sz w:val="18"/>
                <w:szCs w:val="18"/>
              </w:rPr>
              <w:t>PM</w:t>
            </w:r>
            <w:r>
              <w:rPr>
                <w:rFonts w:ascii="Times New Roman" w:hAnsi="Times New Roman" w:eastAsia="Times New Roman" w:cs="Times New Roman"/>
                <w:spacing w:val="6"/>
                <w:sz w:val="18"/>
                <w:szCs w:val="18"/>
              </w:rPr>
              <w:t>2.5□</w:t>
            </w:r>
            <w:r>
              <w:rPr>
                <w:rFonts w:ascii="Times New Roman" w:hAnsi="Times New Roman" w:eastAsia="Times New Roman" w:cs="Times New Roman"/>
                <w:sz w:val="18"/>
                <w:szCs w:val="18"/>
              </w:rPr>
              <w:t xml:space="preserve">   </w:t>
            </w:r>
            <w:r>
              <w:rPr>
                <w:spacing w:val="5"/>
                <w:sz w:val="18"/>
                <w:szCs w:val="18"/>
              </w:rPr>
              <w:t>不包括二次</w:t>
            </w:r>
            <w:r>
              <w:rPr>
                <w:spacing w:val="-17"/>
                <w:sz w:val="18"/>
                <w:szCs w:val="18"/>
              </w:rPr>
              <w:t xml:space="preserve"> </w:t>
            </w:r>
            <w:r>
              <w:rPr>
                <w:rFonts w:ascii="Times New Roman" w:hAnsi="Times New Roman" w:eastAsia="Times New Roman" w:cs="Times New Roman"/>
                <w:sz w:val="18"/>
                <w:szCs w:val="18"/>
              </w:rPr>
              <w:t>PM</w:t>
            </w:r>
            <w:r>
              <w:rPr>
                <w:rFonts w:ascii="Times New Roman" w:hAnsi="Times New Roman" w:eastAsia="Times New Roman" w:cs="Times New Roman"/>
                <w:spacing w:val="5"/>
                <w:sz w:val="18"/>
                <w:szCs w:val="18"/>
              </w:rPr>
              <w:t>2.5□</w:t>
            </w:r>
          </w:p>
        </w:tc>
      </w:tr>
      <w:tr w14:paraId="59B47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continue"/>
            <w:tcBorders>
              <w:top w:val="nil"/>
              <w:left w:val="single" w:color="000000" w:sz="10" w:space="0"/>
              <w:bottom w:val="nil"/>
            </w:tcBorders>
            <w:vAlign w:val="top"/>
          </w:tcPr>
          <w:p w14:paraId="04413BB2">
            <w:pPr>
              <w:rPr>
                <w:rFonts w:ascii="Arial"/>
                <w:sz w:val="21"/>
              </w:rPr>
            </w:pPr>
          </w:p>
        </w:tc>
        <w:tc>
          <w:tcPr>
            <w:tcW w:w="1767" w:type="dxa"/>
            <w:vAlign w:val="top"/>
          </w:tcPr>
          <w:p w14:paraId="42E82515">
            <w:pPr>
              <w:pStyle w:val="6"/>
              <w:spacing w:before="86" w:line="287" w:lineRule="auto"/>
              <w:ind w:left="697" w:right="75" w:hanging="625"/>
              <w:rPr>
                <w:sz w:val="18"/>
                <w:szCs w:val="18"/>
              </w:rPr>
            </w:pPr>
            <w:r>
              <w:rPr>
                <w:spacing w:val="-2"/>
                <w:sz w:val="18"/>
                <w:szCs w:val="18"/>
              </w:rPr>
              <w:t>正常排放短期浓度贡</w:t>
            </w:r>
            <w:r>
              <w:rPr>
                <w:spacing w:val="6"/>
                <w:sz w:val="18"/>
                <w:szCs w:val="18"/>
              </w:rPr>
              <w:t xml:space="preserve"> </w:t>
            </w:r>
            <w:r>
              <w:rPr>
                <w:spacing w:val="-4"/>
                <w:sz w:val="18"/>
                <w:szCs w:val="18"/>
              </w:rPr>
              <w:t>献值</w:t>
            </w:r>
          </w:p>
        </w:tc>
        <w:tc>
          <w:tcPr>
            <w:tcW w:w="3698" w:type="dxa"/>
            <w:gridSpan w:val="12"/>
            <w:vAlign w:val="top"/>
          </w:tcPr>
          <w:p w14:paraId="6B120EFB">
            <w:pPr>
              <w:pStyle w:val="6"/>
              <w:spacing w:before="195" w:line="258" w:lineRule="exact"/>
              <w:ind w:left="769"/>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本项目最大占标率</w:t>
            </w:r>
            <w:r>
              <w:rPr>
                <w:rFonts w:ascii="Times New Roman" w:hAnsi="Times New Roman" w:eastAsia="Times New Roman" w:cs="Times New Roman"/>
                <w:spacing w:val="-1"/>
                <w:position w:val="1"/>
                <w:sz w:val="18"/>
                <w:szCs w:val="18"/>
              </w:rPr>
              <w:t>≤100%□</w:t>
            </w:r>
          </w:p>
        </w:tc>
        <w:tc>
          <w:tcPr>
            <w:tcW w:w="2996" w:type="dxa"/>
            <w:gridSpan w:val="7"/>
            <w:tcBorders>
              <w:right w:val="single" w:color="000000" w:sz="10" w:space="0"/>
            </w:tcBorders>
            <w:vAlign w:val="top"/>
          </w:tcPr>
          <w:p w14:paraId="20440DFE">
            <w:pPr>
              <w:pStyle w:val="6"/>
              <w:spacing w:before="195" w:line="258" w:lineRule="exact"/>
              <w:ind w:left="351"/>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本项目最大占标率＞</w:t>
            </w:r>
            <w:r>
              <w:rPr>
                <w:rFonts w:ascii="Times New Roman" w:hAnsi="Times New Roman" w:eastAsia="Times New Roman" w:cs="Times New Roman"/>
                <w:spacing w:val="-1"/>
                <w:position w:val="1"/>
                <w:sz w:val="18"/>
                <w:szCs w:val="18"/>
              </w:rPr>
              <w:t>100%</w:t>
            </w:r>
            <w:r>
              <w:rPr>
                <w:rFonts w:ascii="Times New Roman" w:hAnsi="Times New Roman" w:eastAsia="Times New Roman" w:cs="Times New Roman"/>
                <w:spacing w:val="22"/>
                <w:position w:val="1"/>
                <w:sz w:val="18"/>
                <w:szCs w:val="18"/>
              </w:rPr>
              <w:t xml:space="preserve"> </w:t>
            </w:r>
            <w:r>
              <w:rPr>
                <w:rFonts w:ascii="Times New Roman" w:hAnsi="Times New Roman" w:eastAsia="Times New Roman" w:cs="Times New Roman"/>
                <w:spacing w:val="-1"/>
                <w:position w:val="1"/>
                <w:sz w:val="18"/>
                <w:szCs w:val="18"/>
              </w:rPr>
              <w:t>□</w:t>
            </w:r>
          </w:p>
        </w:tc>
      </w:tr>
      <w:tr w14:paraId="2E913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042" w:type="dxa"/>
            <w:vMerge w:val="continue"/>
            <w:tcBorders>
              <w:top w:val="nil"/>
              <w:left w:val="single" w:color="000000" w:sz="10" w:space="0"/>
              <w:bottom w:val="nil"/>
            </w:tcBorders>
            <w:vAlign w:val="top"/>
          </w:tcPr>
          <w:p w14:paraId="6A5FA70F">
            <w:pPr>
              <w:rPr>
                <w:rFonts w:ascii="Arial"/>
                <w:sz w:val="21"/>
              </w:rPr>
            </w:pPr>
          </w:p>
        </w:tc>
        <w:tc>
          <w:tcPr>
            <w:tcW w:w="1767" w:type="dxa"/>
            <w:vMerge w:val="restart"/>
            <w:tcBorders>
              <w:bottom w:val="nil"/>
            </w:tcBorders>
            <w:vAlign w:val="top"/>
          </w:tcPr>
          <w:p w14:paraId="6278D9D6">
            <w:pPr>
              <w:pStyle w:val="6"/>
              <w:spacing w:before="215" w:line="337" w:lineRule="auto"/>
              <w:ind w:left="697" w:right="75" w:hanging="625"/>
              <w:rPr>
                <w:sz w:val="18"/>
                <w:szCs w:val="18"/>
              </w:rPr>
            </w:pPr>
            <w:r>
              <w:rPr>
                <w:spacing w:val="-2"/>
                <w:sz w:val="18"/>
                <w:szCs w:val="18"/>
              </w:rPr>
              <w:t>正常排放年均浓度贡</w:t>
            </w:r>
            <w:r>
              <w:rPr>
                <w:spacing w:val="6"/>
                <w:sz w:val="18"/>
                <w:szCs w:val="18"/>
              </w:rPr>
              <w:t xml:space="preserve"> </w:t>
            </w:r>
            <w:r>
              <w:rPr>
                <w:spacing w:val="-4"/>
                <w:sz w:val="18"/>
                <w:szCs w:val="18"/>
              </w:rPr>
              <w:t>献值</w:t>
            </w:r>
          </w:p>
        </w:tc>
        <w:tc>
          <w:tcPr>
            <w:tcW w:w="1022" w:type="dxa"/>
            <w:tcBorders>
              <w:right w:val="single" w:color="000000" w:sz="2" w:space="0"/>
            </w:tcBorders>
            <w:vAlign w:val="top"/>
          </w:tcPr>
          <w:p w14:paraId="376B69AA">
            <w:pPr>
              <w:pStyle w:val="6"/>
              <w:spacing w:before="168" w:line="220" w:lineRule="auto"/>
              <w:ind w:left="241"/>
              <w:rPr>
                <w:sz w:val="18"/>
                <w:szCs w:val="18"/>
              </w:rPr>
            </w:pPr>
            <w:r>
              <w:rPr>
                <w:spacing w:val="-4"/>
                <w:sz w:val="18"/>
                <w:szCs w:val="18"/>
              </w:rPr>
              <w:t>一类区</w:t>
            </w:r>
          </w:p>
        </w:tc>
        <w:tc>
          <w:tcPr>
            <w:tcW w:w="2676" w:type="dxa"/>
            <w:gridSpan w:val="11"/>
            <w:tcBorders>
              <w:left w:val="single" w:color="000000" w:sz="2" w:space="0"/>
            </w:tcBorders>
            <w:vAlign w:val="top"/>
          </w:tcPr>
          <w:p w14:paraId="3EBA101E">
            <w:pPr>
              <w:pStyle w:val="6"/>
              <w:spacing w:before="115" w:line="257" w:lineRule="exact"/>
              <w:ind w:left="306"/>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本项目最大占标率</w:t>
            </w:r>
            <w:r>
              <w:rPr>
                <w:rFonts w:ascii="Times New Roman" w:hAnsi="Times New Roman" w:eastAsia="Times New Roman" w:cs="Times New Roman"/>
                <w:spacing w:val="-1"/>
                <w:position w:val="1"/>
                <w:sz w:val="18"/>
                <w:szCs w:val="18"/>
              </w:rPr>
              <w:t>≤</w:t>
            </w:r>
            <w:r>
              <w:rPr>
                <w:rFonts w:ascii="Times New Roman" w:hAnsi="Times New Roman" w:eastAsia="Times New Roman" w:cs="Times New Roman"/>
                <w:spacing w:val="-1"/>
                <w:position w:val="2"/>
                <w:sz w:val="18"/>
                <w:szCs w:val="18"/>
              </w:rPr>
              <w:t>10%□</w:t>
            </w:r>
          </w:p>
        </w:tc>
        <w:tc>
          <w:tcPr>
            <w:tcW w:w="2996" w:type="dxa"/>
            <w:gridSpan w:val="7"/>
            <w:tcBorders>
              <w:right w:val="single" w:color="000000" w:sz="10" w:space="0"/>
            </w:tcBorders>
            <w:vAlign w:val="top"/>
          </w:tcPr>
          <w:p w14:paraId="6DCEDEFB">
            <w:pPr>
              <w:pStyle w:val="6"/>
              <w:spacing w:before="115" w:line="257" w:lineRule="exact"/>
              <w:ind w:left="488"/>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本项目最大标率＞</w:t>
            </w:r>
            <w:r>
              <w:rPr>
                <w:rFonts w:ascii="Times New Roman" w:hAnsi="Times New Roman" w:eastAsia="Times New Roman" w:cs="Times New Roman"/>
                <w:spacing w:val="-1"/>
                <w:position w:val="1"/>
                <w:sz w:val="18"/>
                <w:szCs w:val="18"/>
              </w:rPr>
              <w:t>10%</w:t>
            </w:r>
            <w:r>
              <w:rPr>
                <w:rFonts w:ascii="Times New Roman" w:hAnsi="Times New Roman" w:eastAsia="Times New Roman" w:cs="Times New Roman"/>
                <w:spacing w:val="16"/>
                <w:w w:val="101"/>
                <w:position w:val="1"/>
                <w:sz w:val="18"/>
                <w:szCs w:val="18"/>
              </w:rPr>
              <w:t xml:space="preserve"> </w:t>
            </w:r>
            <w:r>
              <w:rPr>
                <w:rFonts w:ascii="Times New Roman" w:hAnsi="Times New Roman" w:eastAsia="Times New Roman" w:cs="Times New Roman"/>
                <w:spacing w:val="-1"/>
                <w:position w:val="2"/>
                <w:sz w:val="18"/>
                <w:szCs w:val="18"/>
              </w:rPr>
              <w:t>□</w:t>
            </w:r>
          </w:p>
        </w:tc>
      </w:tr>
      <w:tr w14:paraId="61D14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042" w:type="dxa"/>
            <w:vMerge w:val="continue"/>
            <w:tcBorders>
              <w:top w:val="nil"/>
              <w:left w:val="single" w:color="000000" w:sz="10" w:space="0"/>
              <w:bottom w:val="nil"/>
            </w:tcBorders>
            <w:vAlign w:val="top"/>
          </w:tcPr>
          <w:p w14:paraId="05AFCBA9">
            <w:pPr>
              <w:rPr>
                <w:rFonts w:ascii="Arial"/>
                <w:sz w:val="21"/>
              </w:rPr>
            </w:pPr>
          </w:p>
        </w:tc>
        <w:tc>
          <w:tcPr>
            <w:tcW w:w="1767" w:type="dxa"/>
            <w:vMerge w:val="continue"/>
            <w:tcBorders>
              <w:top w:val="nil"/>
            </w:tcBorders>
            <w:vAlign w:val="top"/>
          </w:tcPr>
          <w:p w14:paraId="0C3EA63F">
            <w:pPr>
              <w:rPr>
                <w:rFonts w:ascii="Arial"/>
                <w:sz w:val="21"/>
              </w:rPr>
            </w:pPr>
          </w:p>
        </w:tc>
        <w:tc>
          <w:tcPr>
            <w:tcW w:w="1022" w:type="dxa"/>
            <w:tcBorders>
              <w:right w:val="single" w:color="000000" w:sz="2" w:space="0"/>
            </w:tcBorders>
            <w:vAlign w:val="top"/>
          </w:tcPr>
          <w:p w14:paraId="31049A8F">
            <w:pPr>
              <w:pStyle w:val="6"/>
              <w:spacing w:before="129" w:line="220" w:lineRule="auto"/>
              <w:ind w:left="241"/>
              <w:rPr>
                <w:sz w:val="18"/>
                <w:szCs w:val="18"/>
              </w:rPr>
            </w:pPr>
            <w:r>
              <w:rPr>
                <w:spacing w:val="-4"/>
                <w:sz w:val="18"/>
                <w:szCs w:val="18"/>
              </w:rPr>
              <w:t>二类区</w:t>
            </w:r>
          </w:p>
        </w:tc>
        <w:tc>
          <w:tcPr>
            <w:tcW w:w="2676" w:type="dxa"/>
            <w:gridSpan w:val="11"/>
            <w:tcBorders>
              <w:left w:val="single" w:color="000000" w:sz="2" w:space="0"/>
            </w:tcBorders>
            <w:vAlign w:val="top"/>
          </w:tcPr>
          <w:p w14:paraId="2A54AB80">
            <w:pPr>
              <w:pStyle w:val="6"/>
              <w:spacing w:before="78" w:line="258" w:lineRule="exact"/>
              <w:ind w:left="306"/>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本项目最大占标率</w:t>
            </w:r>
            <w:r>
              <w:rPr>
                <w:rFonts w:ascii="Times New Roman" w:hAnsi="Times New Roman" w:eastAsia="Times New Roman" w:cs="Times New Roman"/>
                <w:spacing w:val="-1"/>
                <w:position w:val="1"/>
                <w:sz w:val="18"/>
                <w:szCs w:val="18"/>
              </w:rPr>
              <w:t>≤</w:t>
            </w:r>
            <w:r>
              <w:rPr>
                <w:rFonts w:ascii="Times New Roman" w:hAnsi="Times New Roman" w:eastAsia="Times New Roman" w:cs="Times New Roman"/>
                <w:spacing w:val="-1"/>
                <w:position w:val="2"/>
                <w:sz w:val="18"/>
                <w:szCs w:val="18"/>
              </w:rPr>
              <w:t>30%□</w:t>
            </w:r>
          </w:p>
        </w:tc>
        <w:tc>
          <w:tcPr>
            <w:tcW w:w="2996" w:type="dxa"/>
            <w:gridSpan w:val="7"/>
            <w:tcBorders>
              <w:right w:val="single" w:color="000000" w:sz="10" w:space="0"/>
            </w:tcBorders>
            <w:vAlign w:val="top"/>
          </w:tcPr>
          <w:p w14:paraId="77668D7F">
            <w:pPr>
              <w:pStyle w:val="6"/>
              <w:spacing w:before="78" w:line="258" w:lineRule="exact"/>
              <w:ind w:left="488"/>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本项目最大标率＞</w:t>
            </w:r>
            <w:r>
              <w:rPr>
                <w:rFonts w:ascii="Times New Roman" w:hAnsi="Times New Roman" w:eastAsia="Times New Roman" w:cs="Times New Roman"/>
                <w:spacing w:val="-1"/>
                <w:position w:val="1"/>
                <w:sz w:val="18"/>
                <w:szCs w:val="18"/>
              </w:rPr>
              <w:t>30%</w:t>
            </w:r>
            <w:r>
              <w:rPr>
                <w:rFonts w:ascii="Times New Roman" w:hAnsi="Times New Roman" w:eastAsia="Times New Roman" w:cs="Times New Roman"/>
                <w:spacing w:val="16"/>
                <w:w w:val="101"/>
                <w:position w:val="1"/>
                <w:sz w:val="18"/>
                <w:szCs w:val="18"/>
              </w:rPr>
              <w:t xml:space="preserve"> </w:t>
            </w:r>
            <w:r>
              <w:rPr>
                <w:rFonts w:ascii="Times New Roman" w:hAnsi="Times New Roman" w:eastAsia="Times New Roman" w:cs="Times New Roman"/>
                <w:spacing w:val="-1"/>
                <w:position w:val="2"/>
                <w:sz w:val="18"/>
                <w:szCs w:val="18"/>
              </w:rPr>
              <w:t>□</w:t>
            </w:r>
          </w:p>
        </w:tc>
      </w:tr>
      <w:tr w14:paraId="711E6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continue"/>
            <w:tcBorders>
              <w:top w:val="nil"/>
              <w:left w:val="single" w:color="000000" w:sz="10" w:space="0"/>
              <w:bottom w:val="nil"/>
            </w:tcBorders>
            <w:vAlign w:val="top"/>
          </w:tcPr>
          <w:p w14:paraId="24DB578A">
            <w:pPr>
              <w:rPr>
                <w:rFonts w:ascii="Arial"/>
                <w:sz w:val="21"/>
              </w:rPr>
            </w:pPr>
          </w:p>
        </w:tc>
        <w:tc>
          <w:tcPr>
            <w:tcW w:w="1767" w:type="dxa"/>
            <w:vAlign w:val="top"/>
          </w:tcPr>
          <w:p w14:paraId="60A4DCC9">
            <w:pPr>
              <w:pStyle w:val="6"/>
              <w:spacing w:before="60" w:line="300" w:lineRule="auto"/>
              <w:ind w:left="610" w:right="99" w:hanging="517"/>
              <w:rPr>
                <w:sz w:val="18"/>
                <w:szCs w:val="18"/>
              </w:rPr>
            </w:pPr>
            <w:r>
              <w:rPr>
                <w:spacing w:val="-3"/>
                <w:sz w:val="18"/>
                <w:szCs w:val="18"/>
              </w:rPr>
              <w:t>非正常排放</w:t>
            </w:r>
            <w:r>
              <w:rPr>
                <w:spacing w:val="-24"/>
                <w:sz w:val="18"/>
                <w:szCs w:val="18"/>
              </w:rPr>
              <w:t xml:space="preserve"> </w:t>
            </w:r>
            <w:r>
              <w:rPr>
                <w:rFonts w:ascii="Times New Roman" w:hAnsi="Times New Roman" w:eastAsia="Times New Roman" w:cs="Times New Roman"/>
                <w:spacing w:val="-3"/>
                <w:sz w:val="18"/>
                <w:szCs w:val="18"/>
              </w:rPr>
              <w:t xml:space="preserve">1h  </w:t>
            </w:r>
            <w:r>
              <w:rPr>
                <w:spacing w:val="-3"/>
                <w:sz w:val="18"/>
                <w:szCs w:val="18"/>
              </w:rPr>
              <w:t>浓度</w:t>
            </w:r>
            <w:r>
              <w:rPr>
                <w:sz w:val="18"/>
                <w:szCs w:val="18"/>
              </w:rPr>
              <w:t xml:space="preserve"> </w:t>
            </w:r>
            <w:r>
              <w:rPr>
                <w:spacing w:val="-4"/>
                <w:sz w:val="18"/>
                <w:szCs w:val="18"/>
              </w:rPr>
              <w:t>贡献值</w:t>
            </w:r>
          </w:p>
        </w:tc>
        <w:tc>
          <w:tcPr>
            <w:tcW w:w="1535" w:type="dxa"/>
            <w:gridSpan w:val="3"/>
            <w:tcBorders>
              <w:right w:val="single" w:color="000000" w:sz="2" w:space="0"/>
            </w:tcBorders>
            <w:vAlign w:val="top"/>
          </w:tcPr>
          <w:p w14:paraId="7FEE7E6F">
            <w:pPr>
              <w:pStyle w:val="6"/>
              <w:spacing w:before="87" w:line="220" w:lineRule="auto"/>
              <w:ind w:left="140"/>
              <w:rPr>
                <w:sz w:val="18"/>
                <w:szCs w:val="18"/>
              </w:rPr>
            </w:pPr>
            <w:r>
              <w:rPr>
                <w:spacing w:val="-2"/>
                <w:sz w:val="18"/>
                <w:szCs w:val="18"/>
              </w:rPr>
              <w:t>非正常持续时长</w:t>
            </w:r>
          </w:p>
          <w:p w14:paraId="4F60D7F1">
            <w:pPr>
              <w:pStyle w:val="6"/>
              <w:spacing w:before="85" w:line="259" w:lineRule="exact"/>
              <w:ind w:left="635"/>
              <w:rPr>
                <w:rFonts w:ascii="Times New Roman" w:hAnsi="Times New Roman" w:eastAsia="Times New Roman" w:cs="Times New Roman"/>
                <w:sz w:val="18"/>
                <w:szCs w:val="18"/>
              </w:rPr>
            </w:pPr>
            <w:r>
              <w:rPr>
                <w:spacing w:val="-8"/>
                <w:position w:val="1"/>
                <w:sz w:val="18"/>
                <w:szCs w:val="18"/>
              </w:rPr>
              <w:t>()</w:t>
            </w:r>
            <w:r>
              <w:rPr>
                <w:spacing w:val="12"/>
                <w:position w:val="1"/>
                <w:sz w:val="18"/>
                <w:szCs w:val="18"/>
              </w:rPr>
              <w:t xml:space="preserve"> </w:t>
            </w:r>
            <w:r>
              <w:rPr>
                <w:rFonts w:ascii="Times New Roman" w:hAnsi="Times New Roman" w:eastAsia="Times New Roman" w:cs="Times New Roman"/>
                <w:spacing w:val="-8"/>
                <w:position w:val="1"/>
                <w:sz w:val="18"/>
                <w:szCs w:val="18"/>
              </w:rPr>
              <w:t>h</w:t>
            </w:r>
          </w:p>
        </w:tc>
        <w:tc>
          <w:tcPr>
            <w:tcW w:w="2788" w:type="dxa"/>
            <w:gridSpan w:val="11"/>
            <w:tcBorders>
              <w:left w:val="single" w:color="000000" w:sz="2" w:space="0"/>
            </w:tcBorders>
            <w:vAlign w:val="top"/>
          </w:tcPr>
          <w:p w14:paraId="43843D39">
            <w:pPr>
              <w:pStyle w:val="6"/>
              <w:spacing w:before="197" w:line="260" w:lineRule="exact"/>
              <w:ind w:left="475"/>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非正常占标率</w:t>
            </w:r>
            <w:r>
              <w:rPr>
                <w:rFonts w:ascii="Times New Roman" w:hAnsi="Times New Roman" w:eastAsia="Times New Roman" w:cs="Times New Roman"/>
                <w:spacing w:val="-1"/>
                <w:position w:val="1"/>
                <w:sz w:val="18"/>
                <w:szCs w:val="18"/>
              </w:rPr>
              <w:t>≤</w:t>
            </w:r>
            <w:r>
              <w:rPr>
                <w:rFonts w:ascii="Times New Roman" w:hAnsi="Times New Roman" w:eastAsia="Times New Roman" w:cs="Times New Roman"/>
                <w:spacing w:val="-1"/>
                <w:position w:val="3"/>
                <w:sz w:val="18"/>
                <w:szCs w:val="18"/>
              </w:rPr>
              <w:t>100%</w:t>
            </w:r>
            <w:r>
              <w:rPr>
                <w:rFonts w:ascii="Times New Roman" w:hAnsi="Times New Roman" w:eastAsia="Times New Roman" w:cs="Times New Roman"/>
                <w:spacing w:val="19"/>
                <w:w w:val="102"/>
                <w:position w:val="3"/>
                <w:sz w:val="18"/>
                <w:szCs w:val="18"/>
              </w:rPr>
              <w:t xml:space="preserve"> </w:t>
            </w:r>
            <w:r>
              <w:rPr>
                <w:rFonts w:ascii="Times New Roman" w:hAnsi="Times New Roman" w:eastAsia="Times New Roman" w:cs="Times New Roman"/>
                <w:spacing w:val="-1"/>
                <w:position w:val="3"/>
                <w:sz w:val="18"/>
                <w:szCs w:val="18"/>
              </w:rPr>
              <w:t>□</w:t>
            </w:r>
          </w:p>
        </w:tc>
        <w:tc>
          <w:tcPr>
            <w:tcW w:w="2371" w:type="dxa"/>
            <w:gridSpan w:val="5"/>
            <w:tcBorders>
              <w:right w:val="single" w:color="000000" w:sz="10" w:space="0"/>
            </w:tcBorders>
            <w:vAlign w:val="top"/>
          </w:tcPr>
          <w:p w14:paraId="40B61BEE">
            <w:pPr>
              <w:pStyle w:val="6"/>
              <w:spacing w:before="197" w:line="260" w:lineRule="exact"/>
              <w:ind w:left="242"/>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非正常占标率＞</w:t>
            </w:r>
            <w:r>
              <w:rPr>
                <w:rFonts w:ascii="Times New Roman" w:hAnsi="Times New Roman" w:eastAsia="Times New Roman" w:cs="Times New Roman"/>
                <w:spacing w:val="-1"/>
                <w:position w:val="1"/>
                <w:sz w:val="18"/>
                <w:szCs w:val="18"/>
              </w:rPr>
              <w:t>100%</w:t>
            </w:r>
            <w:r>
              <w:rPr>
                <w:rFonts w:ascii="Times New Roman" w:hAnsi="Times New Roman" w:eastAsia="Times New Roman" w:cs="Times New Roman"/>
                <w:spacing w:val="-1"/>
                <w:position w:val="2"/>
                <w:sz w:val="18"/>
                <w:szCs w:val="18"/>
              </w:rPr>
              <w:t>□</w:t>
            </w:r>
          </w:p>
        </w:tc>
      </w:tr>
      <w:tr w14:paraId="3FCA8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continue"/>
            <w:tcBorders>
              <w:top w:val="nil"/>
              <w:left w:val="single" w:color="000000" w:sz="10" w:space="0"/>
              <w:bottom w:val="nil"/>
            </w:tcBorders>
            <w:vAlign w:val="top"/>
          </w:tcPr>
          <w:p w14:paraId="1B176928">
            <w:pPr>
              <w:rPr>
                <w:rFonts w:ascii="Arial"/>
                <w:sz w:val="21"/>
              </w:rPr>
            </w:pPr>
          </w:p>
        </w:tc>
        <w:tc>
          <w:tcPr>
            <w:tcW w:w="1767" w:type="dxa"/>
            <w:vAlign w:val="top"/>
          </w:tcPr>
          <w:p w14:paraId="1603F156">
            <w:pPr>
              <w:pStyle w:val="6"/>
              <w:spacing w:before="88" w:line="286" w:lineRule="auto"/>
              <w:ind w:left="157" w:right="75" w:hanging="88"/>
              <w:rPr>
                <w:sz w:val="18"/>
                <w:szCs w:val="18"/>
              </w:rPr>
            </w:pPr>
            <w:r>
              <w:rPr>
                <w:spacing w:val="-1"/>
                <w:sz w:val="18"/>
                <w:szCs w:val="18"/>
              </w:rPr>
              <w:t>保证率日平均浓度和</w:t>
            </w:r>
            <w:r>
              <w:rPr>
                <w:sz w:val="18"/>
                <w:szCs w:val="18"/>
              </w:rPr>
              <w:t xml:space="preserve"> </w:t>
            </w:r>
            <w:r>
              <w:rPr>
                <w:spacing w:val="-1"/>
                <w:sz w:val="18"/>
                <w:szCs w:val="18"/>
              </w:rPr>
              <w:t>年平均浓度叠加值</w:t>
            </w:r>
          </w:p>
        </w:tc>
        <w:tc>
          <w:tcPr>
            <w:tcW w:w="3159" w:type="dxa"/>
            <w:gridSpan w:val="10"/>
            <w:vAlign w:val="top"/>
          </w:tcPr>
          <w:p w14:paraId="1789CD71">
            <w:pPr>
              <w:pStyle w:val="6"/>
              <w:spacing w:before="227" w:line="266" w:lineRule="exact"/>
              <w:ind w:left="1117"/>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叠加达标</w:t>
            </w:r>
            <w:r>
              <w:rPr>
                <w:rFonts w:ascii="Times New Roman" w:hAnsi="Times New Roman" w:eastAsia="Times New Roman" w:cs="Times New Roman"/>
                <w:spacing w:val="-1"/>
                <w:position w:val="3"/>
                <w:sz w:val="18"/>
                <w:szCs w:val="18"/>
              </w:rPr>
              <w:t>□</w:t>
            </w:r>
          </w:p>
        </w:tc>
        <w:tc>
          <w:tcPr>
            <w:tcW w:w="3535" w:type="dxa"/>
            <w:gridSpan w:val="9"/>
            <w:tcBorders>
              <w:right w:val="single" w:color="000000" w:sz="10" w:space="0"/>
            </w:tcBorders>
            <w:vAlign w:val="top"/>
          </w:tcPr>
          <w:p w14:paraId="58473F44">
            <w:pPr>
              <w:pStyle w:val="6"/>
              <w:spacing w:before="227" w:line="266" w:lineRule="exact"/>
              <w:ind w:left="1212"/>
              <w:rPr>
                <w:rFonts w:ascii="Times New Roman" w:hAnsi="Times New Roman" w:eastAsia="Times New Roman" w:cs="Times New Roman"/>
                <w:sz w:val="18"/>
                <w:szCs w:val="18"/>
              </w:rPr>
            </w:pPr>
            <w:r>
              <w:rPr>
                <w:rFonts w:ascii="Cambria Math" w:hAnsi="Cambria Math" w:eastAsia="Cambria Math" w:cs="Cambria Math"/>
                <w:spacing w:val="-1"/>
                <w:position w:val="1"/>
                <w:sz w:val="18"/>
                <w:szCs w:val="18"/>
              </w:rPr>
              <w:t>C</w:t>
            </w:r>
            <w:r>
              <w:rPr>
                <w:spacing w:val="-1"/>
                <w:position w:val="1"/>
                <w:sz w:val="18"/>
                <w:szCs w:val="18"/>
              </w:rPr>
              <w:t>叠加不达标</w:t>
            </w:r>
            <w:r>
              <w:rPr>
                <w:rFonts w:ascii="Times New Roman" w:hAnsi="Times New Roman" w:eastAsia="Times New Roman" w:cs="Times New Roman"/>
                <w:spacing w:val="-1"/>
                <w:position w:val="2"/>
                <w:sz w:val="18"/>
                <w:szCs w:val="18"/>
              </w:rPr>
              <w:t>□</w:t>
            </w:r>
          </w:p>
        </w:tc>
      </w:tr>
      <w:tr w14:paraId="11232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continue"/>
            <w:tcBorders>
              <w:top w:val="nil"/>
              <w:left w:val="single" w:color="000000" w:sz="10" w:space="0"/>
            </w:tcBorders>
            <w:vAlign w:val="top"/>
          </w:tcPr>
          <w:p w14:paraId="3F4C924C">
            <w:pPr>
              <w:rPr>
                <w:rFonts w:ascii="Arial"/>
                <w:sz w:val="21"/>
              </w:rPr>
            </w:pPr>
          </w:p>
        </w:tc>
        <w:tc>
          <w:tcPr>
            <w:tcW w:w="1767" w:type="dxa"/>
            <w:vAlign w:val="top"/>
          </w:tcPr>
          <w:p w14:paraId="089162AC">
            <w:pPr>
              <w:pStyle w:val="6"/>
              <w:spacing w:before="90" w:line="285" w:lineRule="auto"/>
              <w:ind w:left="517" w:right="75" w:hanging="435"/>
              <w:rPr>
                <w:sz w:val="18"/>
                <w:szCs w:val="18"/>
              </w:rPr>
            </w:pPr>
            <w:r>
              <w:rPr>
                <w:spacing w:val="-3"/>
                <w:sz w:val="18"/>
                <w:szCs w:val="18"/>
              </w:rPr>
              <w:t>区域环境质量的整体</w:t>
            </w:r>
            <w:r>
              <w:rPr>
                <w:spacing w:val="5"/>
                <w:sz w:val="18"/>
                <w:szCs w:val="18"/>
              </w:rPr>
              <w:t xml:space="preserve"> </w:t>
            </w:r>
            <w:r>
              <w:rPr>
                <w:spacing w:val="-2"/>
                <w:sz w:val="18"/>
                <w:szCs w:val="18"/>
              </w:rPr>
              <w:t>变化情况</w:t>
            </w:r>
          </w:p>
        </w:tc>
        <w:tc>
          <w:tcPr>
            <w:tcW w:w="3159" w:type="dxa"/>
            <w:gridSpan w:val="10"/>
            <w:vAlign w:val="top"/>
          </w:tcPr>
          <w:p w14:paraId="6E507874">
            <w:pPr>
              <w:spacing w:before="223" w:line="239" w:lineRule="exact"/>
              <w:ind w:left="1126"/>
              <w:rPr>
                <w:rFonts w:ascii="Times New Roman" w:hAnsi="Times New Roman" w:eastAsia="Times New Roman" w:cs="Times New Roman"/>
                <w:sz w:val="18"/>
                <w:szCs w:val="18"/>
              </w:rPr>
            </w:pPr>
            <w:r>
              <w:rPr>
                <w:rFonts w:ascii="Times New Roman" w:hAnsi="Times New Roman" w:eastAsia="Times New Roman" w:cs="Times New Roman"/>
                <w:i/>
                <w:iCs/>
                <w:position w:val="2"/>
                <w:sz w:val="18"/>
                <w:szCs w:val="18"/>
              </w:rPr>
              <w:t>k</w:t>
            </w:r>
            <w:r>
              <w:rPr>
                <w:rFonts w:ascii="Times New Roman" w:hAnsi="Times New Roman" w:eastAsia="Times New Roman" w:cs="Times New Roman"/>
                <w:i/>
                <w:iCs/>
                <w:spacing w:val="13"/>
                <w:w w:val="101"/>
                <w:position w:val="2"/>
                <w:sz w:val="18"/>
                <w:szCs w:val="18"/>
              </w:rPr>
              <w:t xml:space="preserve">   </w:t>
            </w:r>
            <w:r>
              <w:rPr>
                <w:rFonts w:ascii="Times New Roman" w:hAnsi="Times New Roman" w:eastAsia="Times New Roman" w:cs="Times New Roman"/>
                <w:position w:val="2"/>
                <w:sz w:val="18"/>
                <w:szCs w:val="18"/>
              </w:rPr>
              <w:t>≤-20%</w:t>
            </w:r>
            <w:r>
              <w:rPr>
                <w:rFonts w:ascii="Times New Roman" w:hAnsi="Times New Roman" w:eastAsia="Times New Roman" w:cs="Times New Roman"/>
                <w:spacing w:val="13"/>
                <w:position w:val="2"/>
                <w:sz w:val="18"/>
                <w:szCs w:val="18"/>
              </w:rPr>
              <w:t xml:space="preserve"> </w:t>
            </w:r>
            <w:r>
              <w:rPr>
                <w:rFonts w:ascii="Times New Roman" w:hAnsi="Times New Roman" w:eastAsia="Times New Roman" w:cs="Times New Roman"/>
                <w:position w:val="2"/>
                <w:sz w:val="18"/>
                <w:szCs w:val="18"/>
              </w:rPr>
              <w:t>□</w:t>
            </w:r>
          </w:p>
        </w:tc>
        <w:tc>
          <w:tcPr>
            <w:tcW w:w="3535" w:type="dxa"/>
            <w:gridSpan w:val="9"/>
            <w:tcBorders>
              <w:right w:val="single" w:color="000000" w:sz="10" w:space="0"/>
            </w:tcBorders>
            <w:vAlign w:val="top"/>
          </w:tcPr>
          <w:p w14:paraId="787D37D4">
            <w:pPr>
              <w:pStyle w:val="6"/>
              <w:spacing w:before="223" w:line="239" w:lineRule="exact"/>
              <w:ind w:left="1269"/>
              <w:rPr>
                <w:rFonts w:ascii="Times New Roman" w:hAnsi="Times New Roman" w:eastAsia="Times New Roman" w:cs="Times New Roman"/>
                <w:sz w:val="18"/>
                <w:szCs w:val="18"/>
              </w:rPr>
            </w:pPr>
            <w:r>
              <w:rPr>
                <w:rFonts w:ascii="Times New Roman" w:hAnsi="Times New Roman" w:eastAsia="Times New Roman" w:cs="Times New Roman"/>
                <w:i/>
                <w:iCs/>
                <w:position w:val="1"/>
                <w:sz w:val="18"/>
                <w:szCs w:val="18"/>
              </w:rPr>
              <w:t>k</w:t>
            </w:r>
            <w:r>
              <w:rPr>
                <w:rFonts w:ascii="Times New Roman" w:hAnsi="Times New Roman" w:eastAsia="Times New Roman" w:cs="Times New Roman"/>
                <w:i/>
                <w:iCs/>
                <w:spacing w:val="13"/>
                <w:w w:val="101"/>
                <w:position w:val="1"/>
                <w:sz w:val="18"/>
                <w:szCs w:val="18"/>
              </w:rPr>
              <w:t xml:space="preserve">   </w:t>
            </w:r>
            <w:r>
              <w:rPr>
                <w:position w:val="1"/>
                <w:sz w:val="18"/>
                <w:szCs w:val="18"/>
              </w:rPr>
              <w:t>＞</w:t>
            </w:r>
            <w:r>
              <w:rPr>
                <w:rFonts w:ascii="Times New Roman" w:hAnsi="Times New Roman" w:eastAsia="Times New Roman" w:cs="Times New Roman"/>
                <w:position w:val="1"/>
                <w:sz w:val="18"/>
                <w:szCs w:val="18"/>
              </w:rPr>
              <w:t>-20%</w:t>
            </w:r>
            <w:r>
              <w:rPr>
                <w:rFonts w:ascii="Times New Roman" w:hAnsi="Times New Roman" w:eastAsia="Times New Roman" w:cs="Times New Roman"/>
                <w:spacing w:val="15"/>
                <w:w w:val="101"/>
                <w:position w:val="1"/>
                <w:sz w:val="18"/>
                <w:szCs w:val="18"/>
              </w:rPr>
              <w:t xml:space="preserve"> </w:t>
            </w:r>
            <w:r>
              <w:rPr>
                <w:rFonts w:ascii="Times New Roman" w:hAnsi="Times New Roman" w:eastAsia="Times New Roman" w:cs="Times New Roman"/>
                <w:position w:val="1"/>
                <w:sz w:val="18"/>
                <w:szCs w:val="18"/>
              </w:rPr>
              <w:t>□</w:t>
            </w:r>
          </w:p>
        </w:tc>
      </w:tr>
      <w:tr w14:paraId="1CF99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1042" w:type="dxa"/>
            <w:vMerge w:val="restart"/>
            <w:tcBorders>
              <w:left w:val="single" w:color="000000" w:sz="10" w:space="0"/>
              <w:bottom w:val="nil"/>
            </w:tcBorders>
            <w:vAlign w:val="top"/>
          </w:tcPr>
          <w:p w14:paraId="40361227">
            <w:pPr>
              <w:pStyle w:val="6"/>
              <w:spacing w:before="261" w:line="221" w:lineRule="auto"/>
              <w:ind w:left="64"/>
              <w:rPr>
                <w:sz w:val="18"/>
                <w:szCs w:val="18"/>
              </w:rPr>
            </w:pPr>
            <w:r>
              <w:rPr>
                <w:spacing w:val="-2"/>
                <w:sz w:val="18"/>
                <w:szCs w:val="18"/>
              </w:rPr>
              <w:t>环境监测计</w:t>
            </w:r>
          </w:p>
          <w:p w14:paraId="0D9C82E0">
            <w:pPr>
              <w:pStyle w:val="6"/>
              <w:spacing w:before="111" w:line="222" w:lineRule="auto"/>
              <w:ind w:left="423"/>
              <w:rPr>
                <w:sz w:val="18"/>
                <w:szCs w:val="18"/>
              </w:rPr>
            </w:pPr>
            <w:r>
              <w:rPr>
                <w:sz w:val="18"/>
                <w:szCs w:val="18"/>
              </w:rPr>
              <w:t>划</w:t>
            </w:r>
          </w:p>
        </w:tc>
        <w:tc>
          <w:tcPr>
            <w:tcW w:w="1767" w:type="dxa"/>
            <w:vAlign w:val="top"/>
          </w:tcPr>
          <w:p w14:paraId="69C5BE84">
            <w:pPr>
              <w:pStyle w:val="6"/>
              <w:spacing w:before="253" w:line="221" w:lineRule="auto"/>
              <w:ind w:left="430"/>
              <w:rPr>
                <w:sz w:val="18"/>
                <w:szCs w:val="18"/>
              </w:rPr>
            </w:pPr>
            <w:r>
              <w:rPr>
                <w:spacing w:val="-2"/>
                <w:sz w:val="18"/>
                <w:szCs w:val="18"/>
              </w:rPr>
              <w:t>污染源监测</w:t>
            </w:r>
          </w:p>
        </w:tc>
        <w:tc>
          <w:tcPr>
            <w:tcW w:w="2927" w:type="dxa"/>
            <w:gridSpan w:val="8"/>
            <w:vAlign w:val="top"/>
          </w:tcPr>
          <w:p w14:paraId="622834D2">
            <w:pPr>
              <w:pStyle w:val="6"/>
              <w:spacing w:before="254" w:line="220" w:lineRule="auto"/>
              <w:ind w:left="563"/>
              <w:rPr>
                <w:sz w:val="18"/>
                <w:szCs w:val="18"/>
              </w:rPr>
            </w:pPr>
            <w:r>
              <w:rPr>
                <w:spacing w:val="2"/>
                <w:sz w:val="18"/>
                <w:szCs w:val="18"/>
              </w:rPr>
              <w:t>监测因子</w:t>
            </w:r>
            <w:r>
              <w:rPr>
                <w:spacing w:val="-27"/>
                <w:w w:val="57"/>
                <w:sz w:val="18"/>
                <w:szCs w:val="18"/>
              </w:rPr>
              <w:t>：（</w:t>
            </w:r>
            <w:r>
              <w:rPr>
                <w:spacing w:val="2"/>
                <w:sz w:val="18"/>
                <w:szCs w:val="18"/>
              </w:rPr>
              <w:t>臭气浓度）</w:t>
            </w:r>
          </w:p>
        </w:tc>
        <w:tc>
          <w:tcPr>
            <w:tcW w:w="2487" w:type="dxa"/>
            <w:gridSpan w:val="9"/>
            <w:vAlign w:val="top"/>
          </w:tcPr>
          <w:p w14:paraId="30EC59E3">
            <w:pPr>
              <w:pStyle w:val="6"/>
              <w:spacing w:before="90" w:line="285" w:lineRule="auto"/>
              <w:ind w:left="543" w:right="523" w:firstLine="25"/>
              <w:rPr>
                <w:sz w:val="18"/>
                <w:szCs w:val="18"/>
              </w:rPr>
            </w:pPr>
            <w:r>
              <w:rPr>
                <w:spacing w:val="-1"/>
                <w:sz w:val="18"/>
                <w:szCs w:val="18"/>
              </w:rPr>
              <w:t>有组织废气监测</w:t>
            </w:r>
            <w:r>
              <w:rPr>
                <w:rFonts w:ascii="Times New Roman" w:hAnsi="Times New Roman" w:eastAsia="Times New Roman" w:cs="Times New Roman"/>
                <w:spacing w:val="-1"/>
                <w:sz w:val="18"/>
                <w:szCs w:val="18"/>
              </w:rPr>
              <w:t>□</w:t>
            </w:r>
            <w:r>
              <w:rPr>
                <w:rFonts w:ascii="Times New Roman" w:hAnsi="Times New Roman" w:eastAsia="Times New Roman" w:cs="Times New Roman"/>
                <w:sz w:val="18"/>
                <w:szCs w:val="18"/>
              </w:rPr>
              <w:t xml:space="preserve"> </w:t>
            </w:r>
            <w:r>
              <w:rPr>
                <w:spacing w:val="-2"/>
                <w:sz w:val="18"/>
                <w:szCs w:val="18"/>
              </w:rPr>
              <w:t>无组织废气监测</w:t>
            </w:r>
            <w:r>
              <w:rPr>
                <w:position w:val="-3"/>
                <w:sz w:val="18"/>
                <w:szCs w:val="18"/>
              </w:rPr>
              <w:drawing>
                <wp:inline distT="0" distB="0" distL="0" distR="0">
                  <wp:extent cx="100330" cy="12636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239"/>
                          <a:stretch>
                            <a:fillRect/>
                          </a:stretch>
                        </pic:blipFill>
                        <pic:spPr>
                          <a:xfrm>
                            <a:off x="0" y="0"/>
                            <a:ext cx="100584" cy="126644"/>
                          </a:xfrm>
                          <a:prstGeom prst="rect">
                            <a:avLst/>
                          </a:prstGeom>
                        </pic:spPr>
                      </pic:pic>
                    </a:graphicData>
                  </a:graphic>
                </wp:inline>
              </w:drawing>
            </w:r>
          </w:p>
        </w:tc>
        <w:tc>
          <w:tcPr>
            <w:tcW w:w="1280" w:type="dxa"/>
            <w:gridSpan w:val="2"/>
            <w:tcBorders>
              <w:right w:val="single" w:color="000000" w:sz="10" w:space="0"/>
            </w:tcBorders>
            <w:vAlign w:val="top"/>
          </w:tcPr>
          <w:p w14:paraId="5F512ACF">
            <w:pPr>
              <w:pStyle w:val="6"/>
              <w:spacing w:before="253" w:line="221" w:lineRule="auto"/>
              <w:ind w:left="319"/>
              <w:rPr>
                <w:rFonts w:ascii="Times New Roman" w:hAnsi="Times New Roman" w:eastAsia="Times New Roman" w:cs="Times New Roman"/>
                <w:sz w:val="18"/>
                <w:szCs w:val="18"/>
              </w:rPr>
            </w:pPr>
            <w:r>
              <w:rPr>
                <w:spacing w:val="-3"/>
                <w:sz w:val="18"/>
                <w:szCs w:val="18"/>
              </w:rPr>
              <w:t>无监测</w:t>
            </w:r>
            <w:r>
              <w:rPr>
                <w:rFonts w:ascii="Times New Roman" w:hAnsi="Times New Roman" w:eastAsia="Times New Roman" w:cs="Times New Roman"/>
                <w:spacing w:val="-3"/>
                <w:sz w:val="18"/>
                <w:szCs w:val="18"/>
              </w:rPr>
              <w:t>□</w:t>
            </w:r>
          </w:p>
        </w:tc>
      </w:tr>
      <w:tr w14:paraId="34BF3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continue"/>
            <w:tcBorders>
              <w:top w:val="nil"/>
              <w:left w:val="single" w:color="000000" w:sz="10" w:space="0"/>
            </w:tcBorders>
            <w:vAlign w:val="top"/>
          </w:tcPr>
          <w:p w14:paraId="7AF53DA8">
            <w:pPr>
              <w:rPr>
                <w:rFonts w:ascii="Arial"/>
                <w:sz w:val="21"/>
              </w:rPr>
            </w:pPr>
          </w:p>
        </w:tc>
        <w:tc>
          <w:tcPr>
            <w:tcW w:w="1767" w:type="dxa"/>
            <w:vAlign w:val="top"/>
          </w:tcPr>
          <w:p w14:paraId="6A3F298B">
            <w:pPr>
              <w:pStyle w:val="6"/>
              <w:spacing w:before="91" w:line="221" w:lineRule="auto"/>
              <w:ind w:left="337"/>
              <w:rPr>
                <w:sz w:val="18"/>
                <w:szCs w:val="18"/>
              </w:rPr>
            </w:pPr>
            <w:r>
              <w:rPr>
                <w:spacing w:val="-2"/>
                <w:sz w:val="18"/>
                <w:szCs w:val="18"/>
              </w:rPr>
              <w:t>环境质量监测</w:t>
            </w:r>
          </w:p>
        </w:tc>
        <w:tc>
          <w:tcPr>
            <w:tcW w:w="2927" w:type="dxa"/>
            <w:gridSpan w:val="8"/>
            <w:vAlign w:val="top"/>
          </w:tcPr>
          <w:p w14:paraId="2D97A185">
            <w:pPr>
              <w:pStyle w:val="6"/>
              <w:spacing w:before="91" w:line="234" w:lineRule="auto"/>
              <w:ind w:left="537"/>
              <w:rPr>
                <w:sz w:val="18"/>
                <w:szCs w:val="18"/>
              </w:rPr>
            </w:pPr>
            <w:r>
              <w:rPr>
                <w:spacing w:val="-1"/>
                <w:sz w:val="18"/>
                <w:szCs w:val="18"/>
              </w:rPr>
              <w:t>监测因子</w:t>
            </w:r>
            <w:r>
              <w:rPr>
                <w:spacing w:val="-29"/>
                <w:w w:val="61"/>
                <w:sz w:val="18"/>
                <w:szCs w:val="18"/>
              </w:rPr>
              <w:t>：（</w:t>
            </w:r>
            <w:r>
              <w:rPr>
                <w:rFonts w:ascii="Times New Roman" w:hAnsi="Times New Roman" w:eastAsia="Times New Roman" w:cs="Times New Roman"/>
                <w:spacing w:val="-1"/>
                <w:sz w:val="18"/>
                <w:szCs w:val="18"/>
              </w:rPr>
              <w:t>TSP</w:t>
            </w:r>
            <w:r>
              <w:rPr>
                <w:rFonts w:ascii="Times New Roman" w:hAnsi="Times New Roman" w:eastAsia="Times New Roman" w:cs="Times New Roman"/>
                <w:spacing w:val="-22"/>
                <w:sz w:val="18"/>
                <w:szCs w:val="18"/>
              </w:rPr>
              <w:t xml:space="preserve"> </w:t>
            </w:r>
            <w:r>
              <w:rPr>
                <w:spacing w:val="-1"/>
                <w:sz w:val="18"/>
                <w:szCs w:val="18"/>
              </w:rPr>
              <w:t>、</w:t>
            </w:r>
            <w:r>
              <w:rPr>
                <w:rFonts w:ascii="Times New Roman" w:hAnsi="Times New Roman" w:eastAsia="Times New Roman" w:cs="Times New Roman"/>
                <w:spacing w:val="-1"/>
                <w:sz w:val="18"/>
                <w:szCs w:val="18"/>
              </w:rPr>
              <w:t>H</w:t>
            </w:r>
            <w:r>
              <w:rPr>
                <w:rFonts w:ascii="Times New Roman" w:hAnsi="Times New Roman" w:eastAsia="Times New Roman" w:cs="Times New Roman"/>
                <w:spacing w:val="-1"/>
                <w:position w:val="-1"/>
                <w:sz w:val="11"/>
                <w:szCs w:val="11"/>
              </w:rPr>
              <w:t>2</w:t>
            </w:r>
            <w:r>
              <w:rPr>
                <w:rFonts w:ascii="Times New Roman" w:hAnsi="Times New Roman" w:eastAsia="Times New Roman" w:cs="Times New Roman"/>
                <w:spacing w:val="-1"/>
                <w:sz w:val="18"/>
                <w:szCs w:val="18"/>
              </w:rPr>
              <w:t>S</w:t>
            </w:r>
            <w:r>
              <w:rPr>
                <w:spacing w:val="-1"/>
                <w:sz w:val="18"/>
                <w:szCs w:val="18"/>
              </w:rPr>
              <w:t>）</w:t>
            </w:r>
          </w:p>
        </w:tc>
        <w:tc>
          <w:tcPr>
            <w:tcW w:w="2487" w:type="dxa"/>
            <w:gridSpan w:val="9"/>
            <w:vAlign w:val="top"/>
          </w:tcPr>
          <w:p w14:paraId="1B7E3F70">
            <w:pPr>
              <w:pStyle w:val="6"/>
              <w:spacing w:before="65" w:line="255" w:lineRule="exact"/>
              <w:ind w:left="576"/>
              <w:rPr>
                <w:sz w:val="18"/>
                <w:szCs w:val="18"/>
              </w:rPr>
            </w:pPr>
            <w:r>
              <w:rPr>
                <w:spacing w:val="-1"/>
                <w:position w:val="1"/>
                <w:sz w:val="18"/>
                <w:szCs w:val="18"/>
              </w:rPr>
              <w:t>监测点位数（</w:t>
            </w:r>
            <w:r>
              <w:rPr>
                <w:rFonts w:ascii="Times New Roman" w:hAnsi="Times New Roman" w:eastAsia="Times New Roman" w:cs="Times New Roman"/>
                <w:spacing w:val="-1"/>
                <w:position w:val="1"/>
                <w:sz w:val="18"/>
                <w:szCs w:val="18"/>
              </w:rPr>
              <w:t>1</w:t>
            </w:r>
            <w:r>
              <w:rPr>
                <w:spacing w:val="-1"/>
                <w:position w:val="1"/>
                <w:sz w:val="18"/>
                <w:szCs w:val="18"/>
              </w:rPr>
              <w:t>）</w:t>
            </w:r>
          </w:p>
        </w:tc>
        <w:tc>
          <w:tcPr>
            <w:tcW w:w="1280" w:type="dxa"/>
            <w:gridSpan w:val="2"/>
            <w:tcBorders>
              <w:right w:val="single" w:color="000000" w:sz="10" w:space="0"/>
            </w:tcBorders>
            <w:vAlign w:val="top"/>
          </w:tcPr>
          <w:p w14:paraId="25A73F27">
            <w:pPr>
              <w:pStyle w:val="6"/>
              <w:spacing w:before="91" w:line="221" w:lineRule="auto"/>
              <w:ind w:left="319"/>
              <w:rPr>
                <w:rFonts w:ascii="Times New Roman" w:hAnsi="Times New Roman" w:eastAsia="Times New Roman" w:cs="Times New Roman"/>
                <w:sz w:val="18"/>
                <w:szCs w:val="18"/>
              </w:rPr>
            </w:pPr>
            <w:r>
              <w:rPr>
                <w:spacing w:val="-3"/>
                <w:sz w:val="18"/>
                <w:szCs w:val="18"/>
              </w:rPr>
              <w:t>无监测</w:t>
            </w:r>
            <w:r>
              <w:rPr>
                <w:rFonts w:ascii="Times New Roman" w:hAnsi="Times New Roman" w:eastAsia="Times New Roman" w:cs="Times New Roman"/>
                <w:spacing w:val="-3"/>
                <w:sz w:val="18"/>
                <w:szCs w:val="18"/>
              </w:rPr>
              <w:t>□</w:t>
            </w:r>
          </w:p>
        </w:tc>
      </w:tr>
      <w:tr w14:paraId="3DAA6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42" w:type="dxa"/>
            <w:vMerge w:val="restart"/>
            <w:tcBorders>
              <w:left w:val="single" w:color="000000" w:sz="10" w:space="0"/>
              <w:bottom w:val="nil"/>
            </w:tcBorders>
            <w:vAlign w:val="top"/>
          </w:tcPr>
          <w:p w14:paraId="420F5981">
            <w:pPr>
              <w:spacing w:line="441" w:lineRule="auto"/>
              <w:rPr>
                <w:rFonts w:ascii="Arial"/>
                <w:sz w:val="21"/>
              </w:rPr>
            </w:pPr>
          </w:p>
          <w:p w14:paraId="1DF1E403">
            <w:pPr>
              <w:pStyle w:val="6"/>
              <w:spacing w:before="59" w:line="219" w:lineRule="auto"/>
              <w:ind w:left="154"/>
              <w:rPr>
                <w:sz w:val="18"/>
                <w:szCs w:val="18"/>
              </w:rPr>
            </w:pPr>
            <w:r>
              <w:rPr>
                <w:spacing w:val="-2"/>
                <w:sz w:val="18"/>
                <w:szCs w:val="18"/>
              </w:rPr>
              <w:t>评价结论</w:t>
            </w:r>
          </w:p>
        </w:tc>
        <w:tc>
          <w:tcPr>
            <w:tcW w:w="1767" w:type="dxa"/>
            <w:vAlign w:val="top"/>
          </w:tcPr>
          <w:p w14:paraId="34725837">
            <w:pPr>
              <w:pStyle w:val="6"/>
              <w:spacing w:before="126" w:line="221" w:lineRule="auto"/>
              <w:ind w:left="517"/>
              <w:rPr>
                <w:sz w:val="18"/>
                <w:szCs w:val="18"/>
              </w:rPr>
            </w:pPr>
            <w:r>
              <w:rPr>
                <w:spacing w:val="-2"/>
                <w:sz w:val="18"/>
                <w:szCs w:val="18"/>
              </w:rPr>
              <w:t>环境影响</w:t>
            </w:r>
          </w:p>
        </w:tc>
        <w:tc>
          <w:tcPr>
            <w:tcW w:w="6694" w:type="dxa"/>
            <w:gridSpan w:val="19"/>
            <w:tcBorders>
              <w:right w:val="single" w:color="000000" w:sz="10" w:space="0"/>
            </w:tcBorders>
            <w:vAlign w:val="top"/>
          </w:tcPr>
          <w:p w14:paraId="722B762D">
            <w:pPr>
              <w:pStyle w:val="6"/>
              <w:spacing w:before="117" w:line="227" w:lineRule="auto"/>
              <w:ind w:left="2212"/>
              <w:rPr>
                <w:rFonts w:ascii="Times New Roman" w:hAnsi="Times New Roman" w:eastAsia="Times New Roman" w:cs="Times New Roman"/>
                <w:sz w:val="18"/>
                <w:szCs w:val="18"/>
              </w:rPr>
            </w:pPr>
            <w:r>
              <w:rPr>
                <w:spacing w:val="-3"/>
                <w:sz w:val="18"/>
                <w:szCs w:val="18"/>
              </w:rPr>
              <w:t>可以接受</w:t>
            </w:r>
            <w:r>
              <w:rPr>
                <w:position w:val="-3"/>
                <w:sz w:val="18"/>
                <w:szCs w:val="18"/>
              </w:rPr>
              <w:drawing>
                <wp:inline distT="0" distB="0" distL="0" distR="0">
                  <wp:extent cx="100330" cy="12636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239"/>
                          <a:stretch>
                            <a:fillRect/>
                          </a:stretch>
                        </pic:blipFill>
                        <pic:spPr>
                          <a:xfrm>
                            <a:off x="0" y="0"/>
                            <a:ext cx="100584" cy="126644"/>
                          </a:xfrm>
                          <a:prstGeom prst="rect">
                            <a:avLst/>
                          </a:prstGeom>
                        </pic:spPr>
                      </pic:pic>
                    </a:graphicData>
                  </a:graphic>
                </wp:inline>
              </w:drawing>
            </w:r>
            <w:r>
              <w:rPr>
                <w:spacing w:val="8"/>
                <w:sz w:val="18"/>
                <w:szCs w:val="18"/>
              </w:rPr>
              <w:t xml:space="preserve">    </w:t>
            </w:r>
            <w:r>
              <w:rPr>
                <w:spacing w:val="-3"/>
                <w:sz w:val="18"/>
                <w:szCs w:val="18"/>
              </w:rPr>
              <w:t>不可以接受</w:t>
            </w:r>
            <w:r>
              <w:rPr>
                <w:rFonts w:ascii="Times New Roman" w:hAnsi="Times New Roman" w:eastAsia="Times New Roman" w:cs="Times New Roman"/>
                <w:spacing w:val="-3"/>
                <w:sz w:val="18"/>
                <w:szCs w:val="18"/>
              </w:rPr>
              <w:t>□</w:t>
            </w:r>
          </w:p>
        </w:tc>
      </w:tr>
      <w:tr w14:paraId="40BA9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042" w:type="dxa"/>
            <w:vMerge w:val="continue"/>
            <w:tcBorders>
              <w:top w:val="nil"/>
              <w:left w:val="single" w:color="000000" w:sz="10" w:space="0"/>
              <w:bottom w:val="nil"/>
            </w:tcBorders>
            <w:vAlign w:val="top"/>
          </w:tcPr>
          <w:p w14:paraId="4BE0DA9F">
            <w:pPr>
              <w:rPr>
                <w:rFonts w:ascii="Arial"/>
                <w:sz w:val="21"/>
              </w:rPr>
            </w:pPr>
          </w:p>
        </w:tc>
        <w:tc>
          <w:tcPr>
            <w:tcW w:w="1767" w:type="dxa"/>
            <w:vAlign w:val="top"/>
          </w:tcPr>
          <w:p w14:paraId="30E99460">
            <w:pPr>
              <w:pStyle w:val="6"/>
              <w:spacing w:before="128" w:line="221" w:lineRule="auto"/>
              <w:ind w:left="159"/>
              <w:rPr>
                <w:sz w:val="18"/>
                <w:szCs w:val="18"/>
              </w:rPr>
            </w:pPr>
            <w:r>
              <w:rPr>
                <w:spacing w:val="-2"/>
                <w:sz w:val="18"/>
                <w:szCs w:val="18"/>
              </w:rPr>
              <w:t>大气环境防护距离</w:t>
            </w:r>
          </w:p>
        </w:tc>
        <w:tc>
          <w:tcPr>
            <w:tcW w:w="6694" w:type="dxa"/>
            <w:gridSpan w:val="19"/>
            <w:tcBorders>
              <w:right w:val="single" w:color="000000" w:sz="10" w:space="0"/>
            </w:tcBorders>
            <w:vAlign w:val="top"/>
          </w:tcPr>
          <w:p w14:paraId="105E6D33">
            <w:pPr>
              <w:pStyle w:val="6"/>
              <w:spacing w:before="128" w:line="220" w:lineRule="auto"/>
              <w:ind w:left="2340"/>
              <w:rPr>
                <w:rFonts w:ascii="Times New Roman" w:hAnsi="Times New Roman" w:eastAsia="Times New Roman" w:cs="Times New Roman"/>
                <w:sz w:val="18"/>
                <w:szCs w:val="18"/>
              </w:rPr>
            </w:pPr>
            <w:r>
              <w:rPr>
                <w:spacing w:val="-3"/>
                <w:sz w:val="18"/>
                <w:szCs w:val="18"/>
              </w:rPr>
              <w:t>距</w:t>
            </w:r>
            <w:r>
              <w:rPr>
                <w:spacing w:val="-24"/>
                <w:sz w:val="18"/>
                <w:szCs w:val="18"/>
              </w:rPr>
              <w:t>（</w:t>
            </w:r>
            <w:r>
              <w:rPr>
                <w:spacing w:val="25"/>
                <w:w w:val="101"/>
                <w:sz w:val="18"/>
                <w:szCs w:val="18"/>
              </w:rPr>
              <w:t xml:space="preserve"> </w:t>
            </w:r>
            <w:r>
              <w:rPr>
                <w:spacing w:val="-24"/>
                <w:sz w:val="18"/>
                <w:szCs w:val="18"/>
              </w:rPr>
              <w:t>）</w:t>
            </w:r>
            <w:r>
              <w:rPr>
                <w:spacing w:val="-3"/>
                <w:sz w:val="18"/>
                <w:szCs w:val="18"/>
              </w:rPr>
              <w:t>厂界最远</w:t>
            </w:r>
            <w:r>
              <w:rPr>
                <w:spacing w:val="-24"/>
                <w:sz w:val="18"/>
                <w:szCs w:val="18"/>
              </w:rPr>
              <w:t>（</w:t>
            </w:r>
            <w:r>
              <w:rPr>
                <w:spacing w:val="26"/>
                <w:sz w:val="18"/>
                <w:szCs w:val="18"/>
              </w:rPr>
              <w:t xml:space="preserve">  </w:t>
            </w:r>
            <w:r>
              <w:rPr>
                <w:spacing w:val="-24"/>
                <w:sz w:val="18"/>
                <w:szCs w:val="18"/>
              </w:rPr>
              <w:t>）</w:t>
            </w:r>
            <w:r>
              <w:rPr>
                <w:rFonts w:ascii="Times New Roman" w:hAnsi="Times New Roman" w:eastAsia="Times New Roman" w:cs="Times New Roman"/>
                <w:spacing w:val="-3"/>
                <w:sz w:val="18"/>
                <w:szCs w:val="18"/>
              </w:rPr>
              <w:t>m</w:t>
            </w:r>
          </w:p>
        </w:tc>
      </w:tr>
      <w:tr w14:paraId="48EA0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42" w:type="dxa"/>
            <w:vMerge w:val="continue"/>
            <w:tcBorders>
              <w:top w:val="nil"/>
              <w:left w:val="single" w:color="000000" w:sz="10" w:space="0"/>
            </w:tcBorders>
            <w:vAlign w:val="top"/>
          </w:tcPr>
          <w:p w14:paraId="27381512">
            <w:pPr>
              <w:rPr>
                <w:rFonts w:ascii="Arial"/>
                <w:sz w:val="21"/>
              </w:rPr>
            </w:pPr>
          </w:p>
        </w:tc>
        <w:tc>
          <w:tcPr>
            <w:tcW w:w="1767" w:type="dxa"/>
            <w:vAlign w:val="top"/>
          </w:tcPr>
          <w:p w14:paraId="50B42502">
            <w:pPr>
              <w:pStyle w:val="6"/>
              <w:spacing w:before="94" w:line="220" w:lineRule="auto"/>
              <w:ind w:left="250"/>
              <w:rPr>
                <w:sz w:val="18"/>
                <w:szCs w:val="18"/>
              </w:rPr>
            </w:pPr>
            <w:r>
              <w:rPr>
                <w:spacing w:val="-2"/>
                <w:sz w:val="18"/>
                <w:szCs w:val="18"/>
              </w:rPr>
              <w:t>污染源年排放量</w:t>
            </w:r>
          </w:p>
        </w:tc>
        <w:tc>
          <w:tcPr>
            <w:tcW w:w="1808" w:type="dxa"/>
            <w:gridSpan w:val="4"/>
            <w:vAlign w:val="top"/>
          </w:tcPr>
          <w:p w14:paraId="7AD05C9B">
            <w:pPr>
              <w:pStyle w:val="6"/>
              <w:spacing w:before="67" w:line="241" w:lineRule="exact"/>
              <w:ind w:left="178"/>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SO</w:t>
            </w:r>
            <w:r>
              <w:rPr>
                <w:rFonts w:ascii="Times New Roman" w:hAnsi="Times New Roman" w:eastAsia="Times New Roman" w:cs="Times New Roman"/>
                <w:spacing w:val="-3"/>
                <w:sz w:val="11"/>
                <w:szCs w:val="11"/>
              </w:rPr>
              <w:t>2</w:t>
            </w:r>
            <w:r>
              <w:rPr>
                <w:rFonts w:ascii="Times New Roman" w:hAnsi="Times New Roman" w:eastAsia="Times New Roman" w:cs="Times New Roman"/>
                <w:spacing w:val="-3"/>
                <w:sz w:val="18"/>
                <w:szCs w:val="18"/>
              </w:rPr>
              <w:t>:</w:t>
            </w:r>
            <w:r>
              <w:rPr>
                <w:position w:val="1"/>
                <w:sz w:val="18"/>
                <w:szCs w:val="18"/>
              </w:rPr>
              <w:t>（</w:t>
            </w:r>
            <w:r>
              <w:rPr>
                <w:rFonts w:ascii="Times New Roman" w:hAnsi="Times New Roman" w:eastAsia="Times New Roman" w:cs="Times New Roman"/>
                <w:position w:val="1"/>
                <w:sz w:val="18"/>
                <w:szCs w:val="18"/>
              </w:rPr>
              <w:t>0.00056</w:t>
            </w:r>
            <w:r>
              <w:rPr>
                <w:position w:val="1"/>
                <w:sz w:val="18"/>
                <w:szCs w:val="18"/>
              </w:rPr>
              <w:t>）</w:t>
            </w:r>
            <w:r>
              <w:rPr>
                <w:rFonts w:ascii="Times New Roman" w:hAnsi="Times New Roman" w:eastAsia="Times New Roman" w:cs="Times New Roman"/>
                <w:position w:val="1"/>
                <w:sz w:val="18"/>
                <w:szCs w:val="18"/>
              </w:rPr>
              <w:t>t/a</w:t>
            </w:r>
          </w:p>
        </w:tc>
        <w:tc>
          <w:tcPr>
            <w:tcW w:w="1477" w:type="dxa"/>
            <w:gridSpan w:val="7"/>
            <w:vAlign w:val="top"/>
          </w:tcPr>
          <w:p w14:paraId="379B6B1D">
            <w:pPr>
              <w:pStyle w:val="6"/>
              <w:spacing w:before="67" w:line="252" w:lineRule="exact"/>
              <w:jc w:val="right"/>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NOx</w:t>
            </w:r>
            <w:r>
              <w:rPr>
                <w:rFonts w:ascii="Times New Roman" w:hAnsi="Times New Roman" w:eastAsia="Times New Roman" w:cs="Times New Roman"/>
                <w:spacing w:val="-4"/>
                <w:position w:val="1"/>
                <w:sz w:val="18"/>
                <w:szCs w:val="18"/>
              </w:rPr>
              <w:t>:</w:t>
            </w:r>
            <w:r>
              <w:rPr>
                <w:spacing w:val="-4"/>
                <w:position w:val="1"/>
                <w:sz w:val="18"/>
                <w:szCs w:val="18"/>
              </w:rPr>
              <w:t>（</w:t>
            </w:r>
            <w:r>
              <w:rPr>
                <w:rFonts w:ascii="Times New Roman" w:hAnsi="Times New Roman" w:eastAsia="Times New Roman" w:cs="Times New Roman"/>
                <w:spacing w:val="-4"/>
                <w:position w:val="1"/>
                <w:sz w:val="18"/>
                <w:szCs w:val="18"/>
              </w:rPr>
              <w:t>0.00133</w:t>
            </w:r>
            <w:r>
              <w:rPr>
                <w:spacing w:val="-4"/>
                <w:position w:val="1"/>
                <w:sz w:val="18"/>
                <w:szCs w:val="18"/>
              </w:rPr>
              <w:t>）</w:t>
            </w:r>
            <w:r>
              <w:rPr>
                <w:rFonts w:ascii="Times New Roman" w:hAnsi="Times New Roman" w:eastAsia="Times New Roman" w:cs="Times New Roman"/>
                <w:spacing w:val="-4"/>
                <w:position w:val="1"/>
                <w:sz w:val="18"/>
                <w:szCs w:val="18"/>
              </w:rPr>
              <w:t>t/</w:t>
            </w:r>
            <w:r>
              <w:rPr>
                <w:rFonts w:ascii="Times New Roman" w:hAnsi="Times New Roman" w:eastAsia="Times New Roman" w:cs="Times New Roman"/>
                <w:spacing w:val="-1"/>
                <w:position w:val="1"/>
                <w:sz w:val="18"/>
                <w:szCs w:val="18"/>
              </w:rPr>
              <w:t>a</w:t>
            </w:r>
          </w:p>
        </w:tc>
        <w:tc>
          <w:tcPr>
            <w:tcW w:w="1883" w:type="dxa"/>
            <w:gridSpan w:val="5"/>
            <w:vAlign w:val="top"/>
          </w:tcPr>
          <w:p w14:paraId="25501106">
            <w:pPr>
              <w:pStyle w:val="6"/>
              <w:spacing w:before="67" w:line="252" w:lineRule="exact"/>
              <w:ind w:left="92"/>
              <w:rPr>
                <w:rFonts w:ascii="Times New Roman" w:hAnsi="Times New Roman" w:eastAsia="Times New Roman" w:cs="Times New Roman"/>
                <w:sz w:val="18"/>
                <w:szCs w:val="18"/>
              </w:rPr>
            </w:pPr>
            <w:r>
              <w:rPr>
                <w:spacing w:val="-1"/>
                <w:position w:val="1"/>
                <w:sz w:val="18"/>
                <w:szCs w:val="18"/>
              </w:rPr>
              <w:t>颗粒物</w:t>
            </w:r>
            <w:r>
              <w:rPr>
                <w:rFonts w:ascii="Times New Roman" w:hAnsi="Times New Roman" w:eastAsia="Times New Roman" w:cs="Times New Roman"/>
                <w:spacing w:val="-1"/>
                <w:position w:val="1"/>
                <w:sz w:val="18"/>
                <w:szCs w:val="18"/>
              </w:rPr>
              <w:t>:</w:t>
            </w:r>
            <w:r>
              <w:rPr>
                <w:spacing w:val="-1"/>
                <w:position w:val="1"/>
                <w:sz w:val="18"/>
                <w:szCs w:val="18"/>
              </w:rPr>
              <w:t>（</w:t>
            </w:r>
            <w:r>
              <w:rPr>
                <w:rFonts w:ascii="Times New Roman" w:hAnsi="Times New Roman" w:eastAsia="Times New Roman" w:cs="Times New Roman"/>
                <w:spacing w:val="-1"/>
                <w:position w:val="1"/>
                <w:sz w:val="18"/>
                <w:szCs w:val="18"/>
              </w:rPr>
              <w:t>0.00768</w:t>
            </w:r>
            <w:r>
              <w:rPr>
                <w:spacing w:val="-1"/>
                <w:position w:val="1"/>
                <w:sz w:val="18"/>
                <w:szCs w:val="18"/>
              </w:rPr>
              <w:t>）</w:t>
            </w:r>
            <w:r>
              <w:rPr>
                <w:rFonts w:ascii="Times New Roman" w:hAnsi="Times New Roman" w:eastAsia="Times New Roman" w:cs="Times New Roman"/>
                <w:spacing w:val="-1"/>
                <w:position w:val="1"/>
                <w:sz w:val="18"/>
                <w:szCs w:val="18"/>
              </w:rPr>
              <w:t>t/a</w:t>
            </w:r>
          </w:p>
        </w:tc>
        <w:tc>
          <w:tcPr>
            <w:tcW w:w="1526" w:type="dxa"/>
            <w:gridSpan w:val="3"/>
            <w:tcBorders>
              <w:right w:val="single" w:color="000000" w:sz="10" w:space="0"/>
            </w:tcBorders>
            <w:vAlign w:val="top"/>
          </w:tcPr>
          <w:p w14:paraId="32FA6DA3">
            <w:pPr>
              <w:pStyle w:val="6"/>
              <w:spacing w:before="67" w:line="252" w:lineRule="exact"/>
              <w:ind w:left="21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VOCs:</w:t>
            </w:r>
            <w:r>
              <w:rPr>
                <w:spacing w:val="-1"/>
                <w:position w:val="1"/>
                <w:sz w:val="18"/>
                <w:szCs w:val="18"/>
              </w:rPr>
              <w:t>（</w:t>
            </w:r>
            <w:r>
              <w:rPr>
                <w:rFonts w:ascii="Times New Roman" w:hAnsi="Times New Roman" w:eastAsia="Times New Roman" w:cs="Times New Roman"/>
                <w:spacing w:val="-1"/>
                <w:position w:val="1"/>
                <w:sz w:val="18"/>
                <w:szCs w:val="18"/>
              </w:rPr>
              <w:t>/</w:t>
            </w:r>
            <w:r>
              <w:rPr>
                <w:spacing w:val="-1"/>
                <w:position w:val="1"/>
                <w:sz w:val="18"/>
                <w:szCs w:val="18"/>
              </w:rPr>
              <w:t>）</w:t>
            </w:r>
            <w:r>
              <w:rPr>
                <w:rFonts w:ascii="Times New Roman" w:hAnsi="Times New Roman" w:eastAsia="Times New Roman" w:cs="Times New Roman"/>
                <w:spacing w:val="-1"/>
                <w:position w:val="1"/>
                <w:sz w:val="18"/>
                <w:szCs w:val="18"/>
              </w:rPr>
              <w:t>t/a</w:t>
            </w:r>
          </w:p>
        </w:tc>
      </w:tr>
      <w:tr w14:paraId="6BBDB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9503" w:type="dxa"/>
            <w:gridSpan w:val="21"/>
            <w:tcBorders>
              <w:left w:val="single" w:color="000000" w:sz="10" w:space="0"/>
              <w:bottom w:val="single" w:color="000000" w:sz="10" w:space="0"/>
              <w:right w:val="single" w:color="000000" w:sz="10" w:space="0"/>
            </w:tcBorders>
            <w:vAlign w:val="top"/>
          </w:tcPr>
          <w:p w14:paraId="6C768B2D">
            <w:pPr>
              <w:pStyle w:val="6"/>
              <w:spacing w:before="111" w:line="271" w:lineRule="exact"/>
              <w:ind w:left="2728"/>
              <w:rPr>
                <w:sz w:val="18"/>
                <w:szCs w:val="18"/>
              </w:rPr>
            </w:pPr>
            <w:r>
              <w:rPr>
                <w:spacing w:val="-12"/>
                <w:position w:val="1"/>
                <w:sz w:val="18"/>
                <w:szCs w:val="18"/>
              </w:rPr>
              <w:t>注</w:t>
            </w:r>
            <w:r>
              <w:rPr>
                <w:rFonts w:ascii="Times New Roman" w:hAnsi="Times New Roman" w:eastAsia="Times New Roman" w:cs="Times New Roman"/>
                <w:spacing w:val="-12"/>
                <w:position w:val="1"/>
                <w:sz w:val="18"/>
                <w:szCs w:val="18"/>
              </w:rPr>
              <w:t>“</w:t>
            </w:r>
            <w:r>
              <w:rPr>
                <w:spacing w:val="-12"/>
                <w:position w:val="1"/>
                <w:sz w:val="18"/>
                <w:szCs w:val="18"/>
              </w:rPr>
              <w:t>：</w:t>
            </w:r>
            <w:r>
              <w:rPr>
                <w:rFonts w:ascii="Times New Roman" w:hAnsi="Times New Roman" w:eastAsia="Times New Roman" w:cs="Times New Roman"/>
                <w:spacing w:val="-12"/>
                <w:position w:val="1"/>
                <w:sz w:val="18"/>
                <w:szCs w:val="18"/>
              </w:rPr>
              <w:t>□”</w:t>
            </w:r>
            <w:r>
              <w:rPr>
                <w:spacing w:val="-12"/>
                <w:position w:val="1"/>
                <w:sz w:val="18"/>
                <w:szCs w:val="18"/>
              </w:rPr>
              <w:t>为勾选项，填</w:t>
            </w:r>
            <w:r>
              <w:rPr>
                <w:rFonts w:ascii="Times New Roman" w:hAnsi="Times New Roman" w:eastAsia="Times New Roman" w:cs="Times New Roman"/>
                <w:spacing w:val="-12"/>
                <w:position w:val="1"/>
                <w:sz w:val="18"/>
                <w:szCs w:val="18"/>
              </w:rPr>
              <w:t>“√”</w:t>
            </w:r>
            <w:r>
              <w:rPr>
                <w:rFonts w:ascii="Times New Roman" w:hAnsi="Times New Roman" w:eastAsia="Times New Roman" w:cs="Times New Roman"/>
                <w:spacing w:val="-20"/>
                <w:position w:val="1"/>
                <w:sz w:val="18"/>
                <w:szCs w:val="18"/>
              </w:rPr>
              <w:t xml:space="preserve"> </w:t>
            </w:r>
            <w:r>
              <w:rPr>
                <w:spacing w:val="-12"/>
                <w:position w:val="1"/>
                <w:sz w:val="18"/>
                <w:szCs w:val="18"/>
              </w:rPr>
              <w:t>;</w:t>
            </w:r>
            <w:r>
              <w:rPr>
                <w:spacing w:val="41"/>
                <w:position w:val="1"/>
                <w:sz w:val="18"/>
                <w:szCs w:val="18"/>
              </w:rPr>
              <w:t xml:space="preserve"> </w:t>
            </w:r>
            <w:r>
              <w:rPr>
                <w:rFonts w:ascii="Times New Roman" w:hAnsi="Times New Roman" w:eastAsia="Times New Roman" w:cs="Times New Roman"/>
                <w:spacing w:val="-12"/>
                <w:position w:val="1"/>
                <w:sz w:val="18"/>
                <w:szCs w:val="18"/>
              </w:rPr>
              <w:t xml:space="preserve">“  </w:t>
            </w:r>
            <w:r>
              <w:rPr>
                <w:spacing w:val="-12"/>
                <w:position w:val="1"/>
                <w:sz w:val="18"/>
                <w:szCs w:val="18"/>
              </w:rPr>
              <w:t>(</w:t>
            </w:r>
            <w:r>
              <w:rPr>
                <w:spacing w:val="25"/>
                <w:w w:val="101"/>
                <w:position w:val="1"/>
                <w:sz w:val="18"/>
                <w:szCs w:val="18"/>
              </w:rPr>
              <w:t xml:space="preserve">   </w:t>
            </w:r>
            <w:r>
              <w:rPr>
                <w:spacing w:val="-12"/>
                <w:position w:val="1"/>
                <w:sz w:val="18"/>
                <w:szCs w:val="18"/>
              </w:rPr>
              <w:t>)</w:t>
            </w:r>
            <w:r>
              <w:rPr>
                <w:spacing w:val="18"/>
                <w:position w:val="1"/>
                <w:sz w:val="18"/>
                <w:szCs w:val="18"/>
              </w:rPr>
              <w:t xml:space="preserve"> </w:t>
            </w:r>
            <w:r>
              <w:rPr>
                <w:rFonts w:ascii="Times New Roman" w:hAnsi="Times New Roman" w:eastAsia="Times New Roman" w:cs="Times New Roman"/>
                <w:spacing w:val="-13"/>
                <w:position w:val="1"/>
                <w:sz w:val="18"/>
                <w:szCs w:val="18"/>
              </w:rPr>
              <w:t>”</w:t>
            </w:r>
            <w:r>
              <w:rPr>
                <w:rFonts w:ascii="Times New Roman" w:hAnsi="Times New Roman" w:eastAsia="Times New Roman" w:cs="Times New Roman"/>
                <w:position w:val="1"/>
                <w:sz w:val="18"/>
                <w:szCs w:val="18"/>
              </w:rPr>
              <w:t xml:space="preserve">    </w:t>
            </w:r>
            <w:r>
              <w:rPr>
                <w:spacing w:val="-13"/>
                <w:position w:val="1"/>
                <w:sz w:val="18"/>
                <w:szCs w:val="18"/>
              </w:rPr>
              <w:t>为内容填写项</w:t>
            </w:r>
          </w:p>
        </w:tc>
      </w:tr>
    </w:tbl>
    <w:p w14:paraId="68930C96">
      <w:pPr>
        <w:pStyle w:val="2"/>
      </w:pPr>
    </w:p>
    <w:p w14:paraId="3E4DA154">
      <w:pPr>
        <w:sectPr>
          <w:footerReference r:id="rId188" w:type="default"/>
          <w:pgSz w:w="11906" w:h="16839"/>
          <w:pgMar w:top="400" w:right="930" w:bottom="1485" w:left="1446" w:header="0" w:footer="1249" w:gutter="0"/>
          <w:cols w:space="720" w:num="1"/>
        </w:sectPr>
      </w:pPr>
    </w:p>
    <w:p w14:paraId="5E29FC06">
      <w:pPr>
        <w:pStyle w:val="2"/>
        <w:spacing w:line="264" w:lineRule="auto"/>
      </w:pPr>
    </w:p>
    <w:p w14:paraId="3002BF5D">
      <w:pPr>
        <w:pStyle w:val="2"/>
        <w:spacing w:line="264" w:lineRule="auto"/>
      </w:pPr>
    </w:p>
    <w:p w14:paraId="50A3717E">
      <w:pPr>
        <w:pStyle w:val="2"/>
        <w:spacing w:line="264" w:lineRule="auto"/>
      </w:pPr>
    </w:p>
    <w:p w14:paraId="45FF3D32">
      <w:pPr>
        <w:pStyle w:val="2"/>
        <w:spacing w:line="265" w:lineRule="auto"/>
      </w:pPr>
    </w:p>
    <w:p w14:paraId="02E08CC8">
      <w:pPr>
        <w:spacing w:before="78" w:line="219" w:lineRule="auto"/>
        <w:ind w:left="677"/>
        <w:rPr>
          <w:rFonts w:ascii="宋体" w:hAnsi="宋体" w:eastAsia="宋体" w:cs="宋体"/>
          <w:sz w:val="24"/>
          <w:szCs w:val="24"/>
        </w:rPr>
      </w:pPr>
      <w:r>
        <w:rPr>
          <w:rFonts w:ascii="宋体" w:hAnsi="宋体" w:eastAsia="宋体" w:cs="宋体"/>
          <w:b/>
          <w:bCs/>
          <w:spacing w:val="-4"/>
          <w:sz w:val="24"/>
          <w:szCs w:val="24"/>
        </w:rPr>
        <w:t>附表</w:t>
      </w:r>
      <w:r>
        <w:rPr>
          <w:rFonts w:ascii="宋体" w:hAnsi="宋体" w:eastAsia="宋体" w:cs="宋体"/>
          <w:spacing w:val="-47"/>
          <w:sz w:val="24"/>
          <w:szCs w:val="24"/>
        </w:rPr>
        <w:t xml:space="preserve"> </w:t>
      </w:r>
      <w:r>
        <w:rPr>
          <w:rFonts w:ascii="Times New Roman" w:hAnsi="Times New Roman" w:eastAsia="Times New Roman" w:cs="Times New Roman"/>
          <w:b/>
          <w:bCs/>
          <w:spacing w:val="-4"/>
          <w:sz w:val="24"/>
          <w:szCs w:val="24"/>
        </w:rPr>
        <w:t xml:space="preserve">2 </w:t>
      </w:r>
      <w:r>
        <w:rPr>
          <w:rFonts w:ascii="宋体" w:hAnsi="宋体" w:eastAsia="宋体" w:cs="宋体"/>
          <w:b/>
          <w:bCs/>
          <w:spacing w:val="-4"/>
          <w:sz w:val="24"/>
          <w:szCs w:val="24"/>
        </w:rPr>
        <w:t>建设项目环境风险评价自查表</w:t>
      </w:r>
    </w:p>
    <w:p w14:paraId="1D7998B7">
      <w:pPr>
        <w:spacing w:line="80" w:lineRule="exact"/>
      </w:pPr>
    </w:p>
    <w:tbl>
      <w:tblPr>
        <w:tblStyle w:val="5"/>
        <w:tblW w:w="90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1269"/>
        <w:gridCol w:w="1012"/>
        <w:gridCol w:w="405"/>
        <w:gridCol w:w="70"/>
        <w:gridCol w:w="639"/>
        <w:gridCol w:w="473"/>
        <w:gridCol w:w="94"/>
        <w:gridCol w:w="282"/>
        <w:gridCol w:w="400"/>
        <w:gridCol w:w="795"/>
        <w:gridCol w:w="247"/>
        <w:gridCol w:w="539"/>
        <w:gridCol w:w="98"/>
        <w:gridCol w:w="719"/>
        <w:gridCol w:w="106"/>
        <w:gridCol w:w="700"/>
        <w:gridCol w:w="783"/>
      </w:tblGrid>
      <w:tr w14:paraId="47E40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700" w:type="dxa"/>
            <w:gridSpan w:val="2"/>
            <w:vAlign w:val="top"/>
          </w:tcPr>
          <w:p w14:paraId="47F75A56">
            <w:pPr>
              <w:pStyle w:val="6"/>
              <w:spacing w:before="36" w:line="228" w:lineRule="auto"/>
              <w:ind w:left="439"/>
            </w:pPr>
            <w:r>
              <w:rPr>
                <w:spacing w:val="6"/>
              </w:rPr>
              <w:t>工作内容</w:t>
            </w:r>
          </w:p>
        </w:tc>
        <w:tc>
          <w:tcPr>
            <w:tcW w:w="7362" w:type="dxa"/>
            <w:gridSpan w:val="16"/>
            <w:vAlign w:val="top"/>
          </w:tcPr>
          <w:p w14:paraId="590146C9">
            <w:pPr>
              <w:pStyle w:val="6"/>
              <w:spacing w:before="36" w:line="228" w:lineRule="auto"/>
              <w:ind w:left="3267"/>
            </w:pPr>
            <w:r>
              <w:rPr>
                <w:spacing w:val="6"/>
              </w:rPr>
              <w:t>完成情况</w:t>
            </w:r>
          </w:p>
        </w:tc>
      </w:tr>
      <w:tr w14:paraId="691E1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restart"/>
            <w:tcBorders>
              <w:bottom w:val="nil"/>
            </w:tcBorders>
            <w:vAlign w:val="top"/>
          </w:tcPr>
          <w:p w14:paraId="2AF81614">
            <w:pPr>
              <w:rPr>
                <w:rFonts w:ascii="Arial"/>
                <w:sz w:val="21"/>
              </w:rPr>
            </w:pPr>
          </w:p>
        </w:tc>
        <w:tc>
          <w:tcPr>
            <w:tcW w:w="1269" w:type="dxa"/>
            <w:vMerge w:val="restart"/>
            <w:tcBorders>
              <w:bottom w:val="nil"/>
            </w:tcBorders>
            <w:vAlign w:val="top"/>
          </w:tcPr>
          <w:p w14:paraId="4BA0113B">
            <w:pPr>
              <w:spacing w:line="283" w:lineRule="auto"/>
              <w:rPr>
                <w:rFonts w:ascii="Arial"/>
                <w:sz w:val="21"/>
              </w:rPr>
            </w:pPr>
          </w:p>
          <w:p w14:paraId="7B14EBF7">
            <w:pPr>
              <w:pStyle w:val="6"/>
              <w:spacing w:before="65" w:line="229" w:lineRule="auto"/>
              <w:ind w:left="219"/>
            </w:pPr>
            <w:r>
              <w:rPr>
                <w:spacing w:val="6"/>
              </w:rPr>
              <w:t>危险物质</w:t>
            </w:r>
          </w:p>
        </w:tc>
        <w:tc>
          <w:tcPr>
            <w:tcW w:w="1012" w:type="dxa"/>
            <w:vAlign w:val="top"/>
          </w:tcPr>
          <w:p w14:paraId="7DD31BCA">
            <w:pPr>
              <w:pStyle w:val="6"/>
              <w:spacing w:before="32" w:line="231" w:lineRule="auto"/>
              <w:ind w:left="301"/>
            </w:pPr>
            <w:r>
              <w:rPr>
                <w:spacing w:val="3"/>
              </w:rPr>
              <w:t>名称</w:t>
            </w:r>
          </w:p>
        </w:tc>
        <w:tc>
          <w:tcPr>
            <w:tcW w:w="1114" w:type="dxa"/>
            <w:gridSpan w:val="3"/>
            <w:vAlign w:val="top"/>
          </w:tcPr>
          <w:p w14:paraId="34489314">
            <w:pPr>
              <w:rPr>
                <w:rFonts w:ascii="Arial"/>
                <w:sz w:val="21"/>
              </w:rPr>
            </w:pPr>
          </w:p>
        </w:tc>
        <w:tc>
          <w:tcPr>
            <w:tcW w:w="567" w:type="dxa"/>
            <w:gridSpan w:val="2"/>
            <w:vAlign w:val="top"/>
          </w:tcPr>
          <w:p w14:paraId="5A9961A6">
            <w:pPr>
              <w:rPr>
                <w:rFonts w:ascii="Arial"/>
                <w:sz w:val="21"/>
              </w:rPr>
            </w:pPr>
          </w:p>
        </w:tc>
        <w:tc>
          <w:tcPr>
            <w:tcW w:w="682" w:type="dxa"/>
            <w:gridSpan w:val="2"/>
            <w:vAlign w:val="top"/>
          </w:tcPr>
          <w:p w14:paraId="5DA7D9A6">
            <w:pPr>
              <w:rPr>
                <w:rFonts w:ascii="Arial"/>
                <w:sz w:val="21"/>
              </w:rPr>
            </w:pPr>
          </w:p>
        </w:tc>
        <w:tc>
          <w:tcPr>
            <w:tcW w:w="795" w:type="dxa"/>
            <w:vAlign w:val="top"/>
          </w:tcPr>
          <w:p w14:paraId="21E24268">
            <w:pPr>
              <w:rPr>
                <w:rFonts w:ascii="Arial"/>
                <w:sz w:val="21"/>
              </w:rPr>
            </w:pPr>
          </w:p>
        </w:tc>
        <w:tc>
          <w:tcPr>
            <w:tcW w:w="786" w:type="dxa"/>
            <w:gridSpan w:val="2"/>
            <w:vAlign w:val="top"/>
          </w:tcPr>
          <w:p w14:paraId="145D1361">
            <w:pPr>
              <w:rPr>
                <w:rFonts w:ascii="Arial"/>
                <w:sz w:val="21"/>
              </w:rPr>
            </w:pPr>
          </w:p>
        </w:tc>
        <w:tc>
          <w:tcPr>
            <w:tcW w:w="817" w:type="dxa"/>
            <w:gridSpan w:val="2"/>
            <w:vAlign w:val="top"/>
          </w:tcPr>
          <w:p w14:paraId="31C37D02">
            <w:pPr>
              <w:rPr>
                <w:rFonts w:ascii="Arial"/>
                <w:sz w:val="21"/>
              </w:rPr>
            </w:pPr>
          </w:p>
        </w:tc>
        <w:tc>
          <w:tcPr>
            <w:tcW w:w="806" w:type="dxa"/>
            <w:gridSpan w:val="2"/>
            <w:vAlign w:val="top"/>
          </w:tcPr>
          <w:p w14:paraId="672288EE">
            <w:pPr>
              <w:rPr>
                <w:rFonts w:ascii="Arial"/>
                <w:sz w:val="21"/>
              </w:rPr>
            </w:pPr>
          </w:p>
        </w:tc>
        <w:tc>
          <w:tcPr>
            <w:tcW w:w="783" w:type="dxa"/>
            <w:vAlign w:val="top"/>
          </w:tcPr>
          <w:p w14:paraId="7C104064">
            <w:pPr>
              <w:rPr>
                <w:rFonts w:ascii="Arial"/>
                <w:sz w:val="21"/>
              </w:rPr>
            </w:pPr>
          </w:p>
        </w:tc>
      </w:tr>
      <w:tr w14:paraId="70EEB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31" w:type="dxa"/>
            <w:vMerge w:val="continue"/>
            <w:tcBorders>
              <w:top w:val="nil"/>
              <w:bottom w:val="nil"/>
            </w:tcBorders>
            <w:vAlign w:val="top"/>
          </w:tcPr>
          <w:p w14:paraId="7A7605C1">
            <w:pPr>
              <w:rPr>
                <w:rFonts w:ascii="Arial"/>
                <w:sz w:val="21"/>
              </w:rPr>
            </w:pPr>
          </w:p>
        </w:tc>
        <w:tc>
          <w:tcPr>
            <w:tcW w:w="1269" w:type="dxa"/>
            <w:vMerge w:val="continue"/>
            <w:tcBorders>
              <w:top w:val="nil"/>
            </w:tcBorders>
            <w:vAlign w:val="top"/>
          </w:tcPr>
          <w:p w14:paraId="28A1F2DD">
            <w:pPr>
              <w:rPr>
                <w:rFonts w:ascii="Arial"/>
                <w:sz w:val="21"/>
              </w:rPr>
            </w:pPr>
          </w:p>
        </w:tc>
        <w:tc>
          <w:tcPr>
            <w:tcW w:w="1012" w:type="dxa"/>
            <w:vAlign w:val="top"/>
          </w:tcPr>
          <w:p w14:paraId="75A12A77">
            <w:pPr>
              <w:pStyle w:val="6"/>
              <w:spacing w:before="31" w:line="228" w:lineRule="auto"/>
              <w:ind w:left="195"/>
            </w:pPr>
            <w:r>
              <w:rPr>
                <w:spacing w:val="7"/>
              </w:rPr>
              <w:t>存在总</w:t>
            </w:r>
          </w:p>
          <w:p w14:paraId="76F20C69">
            <w:pPr>
              <w:pStyle w:val="6"/>
              <w:spacing w:before="36" w:line="274" w:lineRule="exact"/>
              <w:ind w:left="347"/>
              <w:rPr>
                <w:rFonts w:ascii="Times New Roman" w:hAnsi="Times New Roman" w:eastAsia="Times New Roman" w:cs="Times New Roman"/>
              </w:rPr>
            </w:pPr>
            <w:r>
              <w:rPr>
                <w:spacing w:val="1"/>
                <w:position w:val="1"/>
              </w:rPr>
              <w:t>量</w:t>
            </w:r>
            <w:r>
              <w:rPr>
                <w:rFonts w:ascii="Times New Roman" w:hAnsi="Times New Roman" w:eastAsia="Times New Roman" w:cs="Times New Roman"/>
                <w:spacing w:val="1"/>
                <w:position w:val="1"/>
              </w:rPr>
              <w:t>/t</w:t>
            </w:r>
          </w:p>
        </w:tc>
        <w:tc>
          <w:tcPr>
            <w:tcW w:w="1114" w:type="dxa"/>
            <w:gridSpan w:val="3"/>
            <w:vAlign w:val="top"/>
          </w:tcPr>
          <w:p w14:paraId="65A5AD56">
            <w:pPr>
              <w:rPr>
                <w:rFonts w:ascii="Arial"/>
                <w:sz w:val="21"/>
              </w:rPr>
            </w:pPr>
          </w:p>
        </w:tc>
        <w:tc>
          <w:tcPr>
            <w:tcW w:w="567" w:type="dxa"/>
            <w:gridSpan w:val="2"/>
            <w:vAlign w:val="top"/>
          </w:tcPr>
          <w:p w14:paraId="364BDDC2">
            <w:pPr>
              <w:rPr>
                <w:rFonts w:ascii="Arial"/>
                <w:sz w:val="21"/>
              </w:rPr>
            </w:pPr>
          </w:p>
        </w:tc>
        <w:tc>
          <w:tcPr>
            <w:tcW w:w="682" w:type="dxa"/>
            <w:gridSpan w:val="2"/>
            <w:vAlign w:val="top"/>
          </w:tcPr>
          <w:p w14:paraId="5C7F7C67">
            <w:pPr>
              <w:rPr>
                <w:rFonts w:ascii="Arial"/>
                <w:sz w:val="21"/>
              </w:rPr>
            </w:pPr>
          </w:p>
        </w:tc>
        <w:tc>
          <w:tcPr>
            <w:tcW w:w="795" w:type="dxa"/>
            <w:vAlign w:val="top"/>
          </w:tcPr>
          <w:p w14:paraId="108C324F">
            <w:pPr>
              <w:rPr>
                <w:rFonts w:ascii="Arial"/>
                <w:sz w:val="21"/>
              </w:rPr>
            </w:pPr>
          </w:p>
        </w:tc>
        <w:tc>
          <w:tcPr>
            <w:tcW w:w="786" w:type="dxa"/>
            <w:gridSpan w:val="2"/>
            <w:vAlign w:val="top"/>
          </w:tcPr>
          <w:p w14:paraId="04E0487A">
            <w:pPr>
              <w:rPr>
                <w:rFonts w:ascii="Arial"/>
                <w:sz w:val="21"/>
              </w:rPr>
            </w:pPr>
          </w:p>
        </w:tc>
        <w:tc>
          <w:tcPr>
            <w:tcW w:w="817" w:type="dxa"/>
            <w:gridSpan w:val="2"/>
            <w:vAlign w:val="top"/>
          </w:tcPr>
          <w:p w14:paraId="7BAC1578">
            <w:pPr>
              <w:rPr>
                <w:rFonts w:ascii="Arial"/>
                <w:sz w:val="21"/>
              </w:rPr>
            </w:pPr>
          </w:p>
        </w:tc>
        <w:tc>
          <w:tcPr>
            <w:tcW w:w="806" w:type="dxa"/>
            <w:gridSpan w:val="2"/>
            <w:vAlign w:val="top"/>
          </w:tcPr>
          <w:p w14:paraId="6AC84BEC">
            <w:pPr>
              <w:rPr>
                <w:rFonts w:ascii="Arial"/>
                <w:sz w:val="21"/>
              </w:rPr>
            </w:pPr>
          </w:p>
        </w:tc>
        <w:tc>
          <w:tcPr>
            <w:tcW w:w="783" w:type="dxa"/>
            <w:vAlign w:val="top"/>
          </w:tcPr>
          <w:p w14:paraId="3ED51E39">
            <w:pPr>
              <w:rPr>
                <w:rFonts w:ascii="Arial"/>
                <w:sz w:val="21"/>
              </w:rPr>
            </w:pPr>
          </w:p>
        </w:tc>
      </w:tr>
      <w:tr w14:paraId="096E0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bottom w:val="nil"/>
            </w:tcBorders>
            <w:vAlign w:val="top"/>
          </w:tcPr>
          <w:p w14:paraId="6D5C6B25">
            <w:pPr>
              <w:rPr>
                <w:rFonts w:ascii="Arial"/>
                <w:sz w:val="21"/>
              </w:rPr>
            </w:pPr>
          </w:p>
        </w:tc>
        <w:tc>
          <w:tcPr>
            <w:tcW w:w="1269" w:type="dxa"/>
            <w:vMerge w:val="restart"/>
            <w:tcBorders>
              <w:bottom w:val="nil"/>
            </w:tcBorders>
            <w:vAlign w:val="top"/>
          </w:tcPr>
          <w:p w14:paraId="18474CDC">
            <w:pPr>
              <w:spacing w:line="256" w:lineRule="auto"/>
              <w:rPr>
                <w:rFonts w:ascii="Arial"/>
                <w:sz w:val="21"/>
              </w:rPr>
            </w:pPr>
          </w:p>
          <w:p w14:paraId="735A0D3F">
            <w:pPr>
              <w:spacing w:line="257" w:lineRule="auto"/>
              <w:rPr>
                <w:rFonts w:ascii="Arial"/>
                <w:sz w:val="21"/>
              </w:rPr>
            </w:pPr>
          </w:p>
          <w:p w14:paraId="6178E80E">
            <w:pPr>
              <w:spacing w:line="257" w:lineRule="auto"/>
              <w:rPr>
                <w:rFonts w:ascii="Arial"/>
                <w:sz w:val="21"/>
              </w:rPr>
            </w:pPr>
          </w:p>
          <w:p w14:paraId="48245BA9">
            <w:pPr>
              <w:pStyle w:val="6"/>
              <w:spacing w:before="65" w:line="228" w:lineRule="auto"/>
              <w:ind w:left="113"/>
            </w:pPr>
            <w:r>
              <w:rPr>
                <w:spacing w:val="8"/>
              </w:rPr>
              <w:t>环境敏感性</w:t>
            </w:r>
          </w:p>
        </w:tc>
        <w:tc>
          <w:tcPr>
            <w:tcW w:w="1012" w:type="dxa"/>
            <w:vMerge w:val="restart"/>
            <w:tcBorders>
              <w:bottom w:val="nil"/>
            </w:tcBorders>
            <w:vAlign w:val="top"/>
          </w:tcPr>
          <w:p w14:paraId="1C14930F">
            <w:pPr>
              <w:pStyle w:val="6"/>
              <w:spacing w:before="192" w:line="229" w:lineRule="auto"/>
              <w:ind w:left="301"/>
            </w:pPr>
            <w:r>
              <w:rPr>
                <w:spacing w:val="3"/>
              </w:rPr>
              <w:t>大气</w:t>
            </w:r>
          </w:p>
        </w:tc>
        <w:tc>
          <w:tcPr>
            <w:tcW w:w="3158" w:type="dxa"/>
            <w:gridSpan w:val="8"/>
            <w:vAlign w:val="top"/>
          </w:tcPr>
          <w:p w14:paraId="102B0369">
            <w:pPr>
              <w:pStyle w:val="6"/>
              <w:spacing w:line="274" w:lineRule="exact"/>
              <w:ind w:left="426"/>
            </w:pPr>
            <w:r>
              <w:rPr>
                <w:rFonts w:ascii="Times New Roman" w:hAnsi="Times New Roman" w:eastAsia="Times New Roman" w:cs="Times New Roman"/>
                <w:spacing w:val="6"/>
                <w:position w:val="2"/>
              </w:rPr>
              <w:t xml:space="preserve">500m </w:t>
            </w:r>
            <w:r>
              <w:rPr>
                <w:spacing w:val="6"/>
                <w:position w:val="2"/>
              </w:rPr>
              <w:t>范围内人口数</w:t>
            </w:r>
            <w:r>
              <w:rPr>
                <w:rFonts w:ascii="Times New Roman" w:hAnsi="Times New Roman" w:eastAsia="Times New Roman" w:cs="Times New Roman"/>
                <w:spacing w:val="6"/>
                <w:position w:val="2"/>
              </w:rPr>
              <w:t>___</w:t>
            </w:r>
            <w:r>
              <w:rPr>
                <w:spacing w:val="6"/>
                <w:position w:val="2"/>
              </w:rPr>
              <w:t>人</w:t>
            </w:r>
          </w:p>
        </w:tc>
        <w:tc>
          <w:tcPr>
            <w:tcW w:w="3192" w:type="dxa"/>
            <w:gridSpan w:val="7"/>
            <w:vAlign w:val="top"/>
          </w:tcPr>
          <w:p w14:paraId="692FE835">
            <w:pPr>
              <w:pStyle w:val="6"/>
              <w:spacing w:line="274" w:lineRule="exact"/>
              <w:ind w:left="496"/>
            </w:pPr>
            <w:r>
              <w:rPr>
                <w:rFonts w:ascii="Times New Roman" w:hAnsi="Times New Roman" w:eastAsia="Times New Roman" w:cs="Times New Roman"/>
                <w:spacing w:val="6"/>
                <w:position w:val="2"/>
              </w:rPr>
              <w:t>5</w:t>
            </w:r>
            <w:r>
              <w:rPr>
                <w:rFonts w:ascii="Times New Roman" w:hAnsi="Times New Roman" w:eastAsia="Times New Roman" w:cs="Times New Roman"/>
                <w:position w:val="2"/>
              </w:rPr>
              <w:t>km</w:t>
            </w:r>
            <w:r>
              <w:rPr>
                <w:rFonts w:ascii="Times New Roman" w:hAnsi="Times New Roman" w:eastAsia="Times New Roman" w:cs="Times New Roman"/>
                <w:spacing w:val="26"/>
                <w:position w:val="2"/>
              </w:rPr>
              <w:t xml:space="preserve"> </w:t>
            </w:r>
            <w:r>
              <w:rPr>
                <w:spacing w:val="6"/>
                <w:position w:val="2"/>
              </w:rPr>
              <w:t>范围内人口数</w:t>
            </w:r>
            <w:r>
              <w:rPr>
                <w:rFonts w:ascii="Times New Roman" w:hAnsi="Times New Roman" w:eastAsia="Times New Roman" w:cs="Times New Roman"/>
                <w:spacing w:val="6"/>
                <w:position w:val="2"/>
              </w:rPr>
              <w:t>___</w:t>
            </w:r>
            <w:r>
              <w:rPr>
                <w:spacing w:val="6"/>
                <w:position w:val="2"/>
              </w:rPr>
              <w:t>人</w:t>
            </w:r>
          </w:p>
        </w:tc>
      </w:tr>
      <w:tr w14:paraId="68D98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bottom w:val="nil"/>
            </w:tcBorders>
            <w:vAlign w:val="top"/>
          </w:tcPr>
          <w:p w14:paraId="70454080">
            <w:pPr>
              <w:rPr>
                <w:rFonts w:ascii="Arial"/>
                <w:sz w:val="21"/>
              </w:rPr>
            </w:pPr>
          </w:p>
        </w:tc>
        <w:tc>
          <w:tcPr>
            <w:tcW w:w="1269" w:type="dxa"/>
            <w:vMerge w:val="continue"/>
            <w:tcBorders>
              <w:top w:val="nil"/>
              <w:bottom w:val="nil"/>
            </w:tcBorders>
            <w:vAlign w:val="top"/>
          </w:tcPr>
          <w:p w14:paraId="79485A4D">
            <w:pPr>
              <w:rPr>
                <w:rFonts w:ascii="Arial"/>
                <w:sz w:val="21"/>
              </w:rPr>
            </w:pPr>
          </w:p>
        </w:tc>
        <w:tc>
          <w:tcPr>
            <w:tcW w:w="1012" w:type="dxa"/>
            <w:vMerge w:val="continue"/>
            <w:tcBorders>
              <w:top w:val="nil"/>
            </w:tcBorders>
            <w:vAlign w:val="top"/>
          </w:tcPr>
          <w:p w14:paraId="16E951E4">
            <w:pPr>
              <w:rPr>
                <w:rFonts w:ascii="Arial"/>
                <w:sz w:val="21"/>
              </w:rPr>
            </w:pPr>
          </w:p>
        </w:tc>
        <w:tc>
          <w:tcPr>
            <w:tcW w:w="4761" w:type="dxa"/>
            <w:gridSpan w:val="12"/>
            <w:vAlign w:val="top"/>
          </w:tcPr>
          <w:p w14:paraId="00365D60">
            <w:pPr>
              <w:pStyle w:val="6"/>
              <w:spacing w:before="1" w:line="274" w:lineRule="exact"/>
              <w:ind w:left="302"/>
            </w:pPr>
            <w:r>
              <w:rPr>
                <w:spacing w:val="7"/>
                <w:position w:val="1"/>
              </w:rPr>
              <w:t>每公里管段周边</w:t>
            </w:r>
            <w:r>
              <w:rPr>
                <w:spacing w:val="-28"/>
                <w:position w:val="1"/>
              </w:rPr>
              <w:t xml:space="preserve"> </w:t>
            </w:r>
            <w:r>
              <w:rPr>
                <w:rFonts w:ascii="Times New Roman" w:hAnsi="Times New Roman" w:eastAsia="Times New Roman" w:cs="Times New Roman"/>
                <w:spacing w:val="7"/>
                <w:position w:val="1"/>
              </w:rPr>
              <w:t xml:space="preserve">200m </w:t>
            </w:r>
            <w:r>
              <w:rPr>
                <w:spacing w:val="7"/>
                <w:position w:val="1"/>
              </w:rPr>
              <w:t>范围内人口数（最大）</w:t>
            </w:r>
          </w:p>
        </w:tc>
        <w:tc>
          <w:tcPr>
            <w:tcW w:w="1589" w:type="dxa"/>
            <w:gridSpan w:val="3"/>
            <w:vAlign w:val="top"/>
          </w:tcPr>
          <w:p w14:paraId="08FC902B">
            <w:pPr>
              <w:pStyle w:val="6"/>
              <w:spacing w:before="32" w:line="221" w:lineRule="auto"/>
              <w:ind w:left="310"/>
            </w:pPr>
            <w:r>
              <w:rPr>
                <w:rFonts w:ascii="Times New Roman" w:hAnsi="Times New Roman" w:eastAsia="Times New Roman" w:cs="Times New Roman"/>
                <w:spacing w:val="5"/>
              </w:rPr>
              <w:t>_______</w:t>
            </w:r>
            <w:r>
              <w:rPr>
                <w:spacing w:val="5"/>
              </w:rPr>
              <w:t>人</w:t>
            </w:r>
          </w:p>
        </w:tc>
      </w:tr>
      <w:tr w14:paraId="09FC6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bottom w:val="nil"/>
            </w:tcBorders>
            <w:vAlign w:val="top"/>
          </w:tcPr>
          <w:p w14:paraId="261E8207">
            <w:pPr>
              <w:rPr>
                <w:rFonts w:ascii="Arial"/>
                <w:sz w:val="21"/>
              </w:rPr>
            </w:pPr>
          </w:p>
        </w:tc>
        <w:tc>
          <w:tcPr>
            <w:tcW w:w="1269" w:type="dxa"/>
            <w:vMerge w:val="continue"/>
            <w:tcBorders>
              <w:top w:val="nil"/>
              <w:bottom w:val="nil"/>
            </w:tcBorders>
            <w:vAlign w:val="top"/>
          </w:tcPr>
          <w:p w14:paraId="38528F72">
            <w:pPr>
              <w:rPr>
                <w:rFonts w:ascii="Arial"/>
                <w:sz w:val="21"/>
              </w:rPr>
            </w:pPr>
          </w:p>
        </w:tc>
        <w:tc>
          <w:tcPr>
            <w:tcW w:w="1012" w:type="dxa"/>
            <w:vMerge w:val="restart"/>
            <w:tcBorders>
              <w:bottom w:val="nil"/>
            </w:tcBorders>
            <w:vAlign w:val="top"/>
          </w:tcPr>
          <w:p w14:paraId="39A2B282">
            <w:pPr>
              <w:pStyle w:val="6"/>
              <w:spacing w:before="194" w:line="228" w:lineRule="auto"/>
              <w:ind w:left="195"/>
            </w:pPr>
            <w:r>
              <w:rPr>
                <w:spacing w:val="6"/>
              </w:rPr>
              <w:t>地表水</w:t>
            </w:r>
          </w:p>
        </w:tc>
        <w:tc>
          <w:tcPr>
            <w:tcW w:w="1963" w:type="dxa"/>
            <w:gridSpan w:val="6"/>
            <w:vAlign w:val="top"/>
          </w:tcPr>
          <w:p w14:paraId="7CAF3F1B">
            <w:pPr>
              <w:pStyle w:val="6"/>
              <w:spacing w:before="33" w:line="228" w:lineRule="auto"/>
              <w:ind w:left="146"/>
            </w:pPr>
            <w:r>
              <w:rPr>
                <w:spacing w:val="8"/>
              </w:rPr>
              <w:t>地表水功能敏感性</w:t>
            </w:r>
          </w:p>
        </w:tc>
        <w:tc>
          <w:tcPr>
            <w:tcW w:w="1442" w:type="dxa"/>
            <w:gridSpan w:val="3"/>
            <w:vAlign w:val="top"/>
          </w:tcPr>
          <w:p w14:paraId="703ADC4C">
            <w:pPr>
              <w:spacing w:before="5" w:line="274" w:lineRule="exact"/>
              <w:ind w:left="556"/>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F</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spacing w:val="-32"/>
                <w:position w:val="1"/>
                <w:sz w:val="20"/>
                <w:szCs w:val="20"/>
              </w:rPr>
              <w:t xml:space="preserve"> </w:t>
            </w:r>
            <w:r>
              <w:rPr>
                <w:rFonts w:ascii="Times New Roman" w:hAnsi="Times New Roman" w:eastAsia="Times New Roman" w:cs="Times New Roman"/>
                <w:spacing w:val="-7"/>
                <w:position w:val="1"/>
                <w:sz w:val="20"/>
                <w:szCs w:val="20"/>
              </w:rPr>
              <w:t>□</w:t>
            </w:r>
          </w:p>
        </w:tc>
        <w:tc>
          <w:tcPr>
            <w:tcW w:w="1462" w:type="dxa"/>
            <w:gridSpan w:val="4"/>
            <w:vAlign w:val="top"/>
          </w:tcPr>
          <w:p w14:paraId="6213BBFB">
            <w:pPr>
              <w:spacing w:before="5"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F2</w:t>
            </w:r>
            <w:r>
              <w:rPr>
                <w:rFonts w:ascii="Times New Roman" w:hAnsi="Times New Roman" w:eastAsia="Times New Roman" w:cs="Times New Roman"/>
                <w:spacing w:val="-33"/>
                <w:position w:val="1"/>
                <w:sz w:val="20"/>
                <w:szCs w:val="20"/>
              </w:rPr>
              <w:t xml:space="preserve"> </w:t>
            </w:r>
            <w:r>
              <w:rPr>
                <w:rFonts w:ascii="Times New Roman" w:hAnsi="Times New Roman" w:eastAsia="Times New Roman" w:cs="Times New Roman"/>
                <w:spacing w:val="1"/>
                <w:position w:val="1"/>
                <w:sz w:val="20"/>
                <w:szCs w:val="20"/>
              </w:rPr>
              <w:t>□</w:t>
            </w:r>
          </w:p>
        </w:tc>
        <w:tc>
          <w:tcPr>
            <w:tcW w:w="1483" w:type="dxa"/>
            <w:gridSpan w:val="2"/>
            <w:vAlign w:val="top"/>
          </w:tcPr>
          <w:p w14:paraId="54324F83">
            <w:pPr>
              <w:spacing w:before="5"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F3</w:t>
            </w:r>
            <w:r>
              <w:rPr>
                <w:rFonts w:ascii="Times New Roman" w:hAnsi="Times New Roman" w:eastAsia="Times New Roman" w:cs="Times New Roman"/>
                <w:spacing w:val="-33"/>
                <w:position w:val="2"/>
                <w:sz w:val="20"/>
                <w:szCs w:val="20"/>
              </w:rPr>
              <w:t xml:space="preserve"> </w:t>
            </w:r>
            <w:r>
              <w:rPr>
                <w:rFonts w:ascii="Times New Roman" w:hAnsi="Times New Roman" w:eastAsia="Times New Roman" w:cs="Times New Roman"/>
                <w:spacing w:val="1"/>
                <w:position w:val="2"/>
                <w:sz w:val="20"/>
                <w:szCs w:val="20"/>
              </w:rPr>
              <w:t>□</w:t>
            </w:r>
          </w:p>
        </w:tc>
      </w:tr>
      <w:tr w14:paraId="3AB28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31" w:type="dxa"/>
            <w:vMerge w:val="continue"/>
            <w:tcBorders>
              <w:top w:val="nil"/>
              <w:bottom w:val="nil"/>
            </w:tcBorders>
            <w:vAlign w:val="top"/>
          </w:tcPr>
          <w:p w14:paraId="3DD7DEE5">
            <w:pPr>
              <w:rPr>
                <w:rFonts w:ascii="Arial"/>
                <w:sz w:val="21"/>
              </w:rPr>
            </w:pPr>
          </w:p>
        </w:tc>
        <w:tc>
          <w:tcPr>
            <w:tcW w:w="1269" w:type="dxa"/>
            <w:vMerge w:val="continue"/>
            <w:tcBorders>
              <w:top w:val="nil"/>
              <w:bottom w:val="nil"/>
            </w:tcBorders>
            <w:vAlign w:val="top"/>
          </w:tcPr>
          <w:p w14:paraId="48CC4329">
            <w:pPr>
              <w:rPr>
                <w:rFonts w:ascii="Arial"/>
                <w:sz w:val="21"/>
              </w:rPr>
            </w:pPr>
          </w:p>
        </w:tc>
        <w:tc>
          <w:tcPr>
            <w:tcW w:w="1012" w:type="dxa"/>
            <w:vMerge w:val="continue"/>
            <w:tcBorders>
              <w:top w:val="nil"/>
            </w:tcBorders>
            <w:vAlign w:val="top"/>
          </w:tcPr>
          <w:p w14:paraId="1A214440">
            <w:pPr>
              <w:rPr>
                <w:rFonts w:ascii="Arial"/>
                <w:sz w:val="21"/>
              </w:rPr>
            </w:pPr>
          </w:p>
        </w:tc>
        <w:tc>
          <w:tcPr>
            <w:tcW w:w="1963" w:type="dxa"/>
            <w:gridSpan w:val="6"/>
            <w:vAlign w:val="top"/>
          </w:tcPr>
          <w:p w14:paraId="016DB64A">
            <w:pPr>
              <w:pStyle w:val="6"/>
              <w:spacing w:before="34" w:line="228" w:lineRule="auto"/>
              <w:ind w:left="146"/>
            </w:pPr>
            <w:r>
              <w:rPr>
                <w:spacing w:val="8"/>
              </w:rPr>
              <w:t>环境敏感目标分级</w:t>
            </w:r>
          </w:p>
        </w:tc>
        <w:tc>
          <w:tcPr>
            <w:tcW w:w="1442" w:type="dxa"/>
            <w:gridSpan w:val="3"/>
            <w:vAlign w:val="top"/>
          </w:tcPr>
          <w:p w14:paraId="5EFEB11C">
            <w:pPr>
              <w:spacing w:before="3" w:line="274" w:lineRule="exact"/>
              <w:ind w:left="566"/>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S</w:t>
            </w:r>
            <w:r>
              <w:rPr>
                <w:rFonts w:ascii="Times New Roman" w:hAnsi="Times New Roman" w:eastAsia="Times New Roman" w:cs="Times New Roman"/>
                <w:spacing w:val="-26"/>
                <w:position w:val="2"/>
                <w:sz w:val="20"/>
                <w:szCs w:val="20"/>
              </w:rPr>
              <w:t xml:space="preserve"> </w:t>
            </w:r>
            <w:r>
              <w:rPr>
                <w:rFonts w:ascii="Times New Roman" w:hAnsi="Times New Roman" w:eastAsia="Times New Roman" w:cs="Times New Roman"/>
                <w:spacing w:val="-10"/>
                <w:position w:val="2"/>
                <w:sz w:val="20"/>
                <w:szCs w:val="20"/>
              </w:rPr>
              <w:t>1</w:t>
            </w:r>
            <w:r>
              <w:rPr>
                <w:rFonts w:ascii="Times New Roman" w:hAnsi="Times New Roman" w:eastAsia="Times New Roman" w:cs="Times New Roman"/>
                <w:spacing w:val="-32"/>
                <w:position w:val="2"/>
                <w:sz w:val="20"/>
                <w:szCs w:val="20"/>
              </w:rPr>
              <w:t xml:space="preserve"> </w:t>
            </w:r>
            <w:r>
              <w:rPr>
                <w:rFonts w:ascii="Times New Roman" w:hAnsi="Times New Roman" w:eastAsia="Times New Roman" w:cs="Times New Roman"/>
                <w:spacing w:val="-10"/>
                <w:position w:val="2"/>
                <w:sz w:val="20"/>
                <w:szCs w:val="20"/>
              </w:rPr>
              <w:t>□</w:t>
            </w:r>
          </w:p>
        </w:tc>
        <w:tc>
          <w:tcPr>
            <w:tcW w:w="1462" w:type="dxa"/>
            <w:gridSpan w:val="4"/>
            <w:vAlign w:val="top"/>
          </w:tcPr>
          <w:p w14:paraId="71439530">
            <w:pPr>
              <w:spacing w:before="3" w:line="274" w:lineRule="exact"/>
              <w:ind w:left="5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S2</w:t>
            </w:r>
            <w:r>
              <w:rPr>
                <w:rFonts w:ascii="Times New Roman" w:hAnsi="Times New Roman" w:eastAsia="Times New Roman" w:cs="Times New Roman"/>
                <w:spacing w:val="-34"/>
                <w:position w:val="2"/>
                <w:sz w:val="20"/>
                <w:szCs w:val="20"/>
              </w:rPr>
              <w:t xml:space="preserve"> </w:t>
            </w:r>
            <w:r>
              <w:rPr>
                <w:rFonts w:ascii="Times New Roman" w:hAnsi="Times New Roman" w:eastAsia="Times New Roman" w:cs="Times New Roman"/>
                <w:spacing w:val="-2"/>
                <w:position w:val="2"/>
                <w:sz w:val="20"/>
                <w:szCs w:val="20"/>
              </w:rPr>
              <w:t>□</w:t>
            </w:r>
          </w:p>
        </w:tc>
        <w:tc>
          <w:tcPr>
            <w:tcW w:w="1483" w:type="dxa"/>
            <w:gridSpan w:val="2"/>
            <w:vAlign w:val="top"/>
          </w:tcPr>
          <w:p w14:paraId="6220A991">
            <w:pPr>
              <w:spacing w:before="3" w:line="274" w:lineRule="exact"/>
              <w:ind w:left="5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S3</w:t>
            </w:r>
            <w:r>
              <w:rPr>
                <w:rFonts w:ascii="Times New Roman" w:hAnsi="Times New Roman" w:eastAsia="Times New Roman" w:cs="Times New Roman"/>
                <w:spacing w:val="-34"/>
                <w:position w:val="2"/>
                <w:sz w:val="20"/>
                <w:szCs w:val="20"/>
              </w:rPr>
              <w:t xml:space="preserve"> </w:t>
            </w:r>
            <w:r>
              <w:rPr>
                <w:rFonts w:ascii="Times New Roman" w:hAnsi="Times New Roman" w:eastAsia="Times New Roman" w:cs="Times New Roman"/>
                <w:spacing w:val="-2"/>
                <w:position w:val="2"/>
                <w:sz w:val="20"/>
                <w:szCs w:val="20"/>
              </w:rPr>
              <w:t>□</w:t>
            </w:r>
          </w:p>
        </w:tc>
      </w:tr>
      <w:tr w14:paraId="7761A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bottom w:val="nil"/>
            </w:tcBorders>
            <w:vAlign w:val="top"/>
          </w:tcPr>
          <w:p w14:paraId="63B445E7">
            <w:pPr>
              <w:rPr>
                <w:rFonts w:ascii="Arial"/>
                <w:sz w:val="21"/>
              </w:rPr>
            </w:pPr>
          </w:p>
        </w:tc>
        <w:tc>
          <w:tcPr>
            <w:tcW w:w="1269" w:type="dxa"/>
            <w:vMerge w:val="continue"/>
            <w:tcBorders>
              <w:top w:val="nil"/>
              <w:bottom w:val="nil"/>
            </w:tcBorders>
            <w:vAlign w:val="top"/>
          </w:tcPr>
          <w:p w14:paraId="0D8DD140">
            <w:pPr>
              <w:rPr>
                <w:rFonts w:ascii="Arial"/>
                <w:sz w:val="21"/>
              </w:rPr>
            </w:pPr>
          </w:p>
        </w:tc>
        <w:tc>
          <w:tcPr>
            <w:tcW w:w="1012" w:type="dxa"/>
            <w:vMerge w:val="restart"/>
            <w:tcBorders>
              <w:bottom w:val="nil"/>
            </w:tcBorders>
            <w:vAlign w:val="top"/>
          </w:tcPr>
          <w:p w14:paraId="64B0A577">
            <w:pPr>
              <w:pStyle w:val="6"/>
              <w:spacing w:before="193" w:line="228" w:lineRule="auto"/>
              <w:ind w:left="195"/>
            </w:pPr>
            <w:r>
              <w:rPr>
                <w:spacing w:val="6"/>
              </w:rPr>
              <w:t>地下水</w:t>
            </w:r>
          </w:p>
        </w:tc>
        <w:tc>
          <w:tcPr>
            <w:tcW w:w="1963" w:type="dxa"/>
            <w:gridSpan w:val="6"/>
            <w:vAlign w:val="top"/>
          </w:tcPr>
          <w:p w14:paraId="42A7BE7A">
            <w:pPr>
              <w:pStyle w:val="6"/>
              <w:spacing w:before="32" w:line="228" w:lineRule="auto"/>
              <w:ind w:left="146"/>
            </w:pPr>
            <w:r>
              <w:rPr>
                <w:spacing w:val="8"/>
              </w:rPr>
              <w:t>地下水功能敏感性</w:t>
            </w:r>
          </w:p>
        </w:tc>
        <w:tc>
          <w:tcPr>
            <w:tcW w:w="1442" w:type="dxa"/>
            <w:gridSpan w:val="3"/>
            <w:vAlign w:val="top"/>
          </w:tcPr>
          <w:p w14:paraId="52AA5B5A">
            <w:pPr>
              <w:spacing w:before="3" w:line="274" w:lineRule="exact"/>
              <w:ind w:left="544"/>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G</w:t>
            </w:r>
            <w:r>
              <w:rPr>
                <w:rFonts w:ascii="Times New Roman" w:hAnsi="Times New Roman" w:eastAsia="Times New Roman" w:cs="Times New Roman"/>
                <w:spacing w:val="-26"/>
                <w:position w:val="2"/>
                <w:sz w:val="20"/>
                <w:szCs w:val="20"/>
              </w:rPr>
              <w:t xml:space="preserve"> </w:t>
            </w:r>
            <w:r>
              <w:rPr>
                <w:rFonts w:ascii="Times New Roman" w:hAnsi="Times New Roman" w:eastAsia="Times New Roman" w:cs="Times New Roman"/>
                <w:spacing w:val="-7"/>
                <w:position w:val="2"/>
                <w:sz w:val="20"/>
                <w:szCs w:val="20"/>
              </w:rPr>
              <w:t>1</w:t>
            </w:r>
            <w:r>
              <w:rPr>
                <w:rFonts w:ascii="Times New Roman" w:hAnsi="Times New Roman" w:eastAsia="Times New Roman" w:cs="Times New Roman"/>
                <w:spacing w:val="-35"/>
                <w:position w:val="2"/>
                <w:sz w:val="20"/>
                <w:szCs w:val="20"/>
              </w:rPr>
              <w:t xml:space="preserve"> </w:t>
            </w:r>
            <w:r>
              <w:rPr>
                <w:rFonts w:ascii="Times New Roman" w:hAnsi="Times New Roman" w:eastAsia="Times New Roman" w:cs="Times New Roman"/>
                <w:spacing w:val="-7"/>
                <w:position w:val="2"/>
                <w:sz w:val="20"/>
                <w:szCs w:val="20"/>
              </w:rPr>
              <w:t>□</w:t>
            </w:r>
          </w:p>
        </w:tc>
        <w:tc>
          <w:tcPr>
            <w:tcW w:w="1462" w:type="dxa"/>
            <w:gridSpan w:val="4"/>
            <w:vAlign w:val="top"/>
          </w:tcPr>
          <w:p w14:paraId="268C73A5">
            <w:pPr>
              <w:spacing w:before="3" w:line="274" w:lineRule="exact"/>
              <w:ind w:left="56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G2</w:t>
            </w:r>
            <w:r>
              <w:rPr>
                <w:rFonts w:ascii="Times New Roman" w:hAnsi="Times New Roman" w:eastAsia="Times New Roman" w:cs="Times New Roman"/>
                <w:spacing w:val="-35"/>
                <w:position w:val="2"/>
                <w:sz w:val="20"/>
                <w:szCs w:val="20"/>
              </w:rPr>
              <w:t xml:space="preserve"> </w:t>
            </w:r>
            <w:r>
              <w:rPr>
                <w:rFonts w:ascii="Times New Roman" w:hAnsi="Times New Roman" w:eastAsia="Times New Roman" w:cs="Times New Roman"/>
                <w:spacing w:val="1"/>
                <w:position w:val="2"/>
                <w:sz w:val="20"/>
                <w:szCs w:val="20"/>
              </w:rPr>
              <w:t>□</w:t>
            </w:r>
          </w:p>
        </w:tc>
        <w:tc>
          <w:tcPr>
            <w:tcW w:w="1483" w:type="dxa"/>
            <w:gridSpan w:val="2"/>
            <w:vAlign w:val="top"/>
          </w:tcPr>
          <w:p w14:paraId="3A762650">
            <w:pPr>
              <w:spacing w:before="3" w:line="274" w:lineRule="exact"/>
              <w:ind w:left="56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G3</w:t>
            </w:r>
            <w:r>
              <w:rPr>
                <w:rFonts w:ascii="Times New Roman" w:hAnsi="Times New Roman" w:eastAsia="Times New Roman" w:cs="Times New Roman"/>
                <w:spacing w:val="-35"/>
                <w:position w:val="2"/>
                <w:sz w:val="20"/>
                <w:szCs w:val="20"/>
              </w:rPr>
              <w:t xml:space="preserve"> </w:t>
            </w:r>
            <w:r>
              <w:rPr>
                <w:rFonts w:ascii="Times New Roman" w:hAnsi="Times New Roman" w:eastAsia="Times New Roman" w:cs="Times New Roman"/>
                <w:spacing w:val="1"/>
                <w:position w:val="2"/>
                <w:sz w:val="20"/>
                <w:szCs w:val="20"/>
              </w:rPr>
              <w:t>□</w:t>
            </w:r>
          </w:p>
        </w:tc>
      </w:tr>
      <w:tr w14:paraId="181F3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tcBorders>
            <w:vAlign w:val="top"/>
          </w:tcPr>
          <w:p w14:paraId="138D6992">
            <w:pPr>
              <w:rPr>
                <w:rFonts w:ascii="Arial"/>
                <w:sz w:val="21"/>
              </w:rPr>
            </w:pPr>
          </w:p>
        </w:tc>
        <w:tc>
          <w:tcPr>
            <w:tcW w:w="1269" w:type="dxa"/>
            <w:vMerge w:val="continue"/>
            <w:tcBorders>
              <w:top w:val="nil"/>
            </w:tcBorders>
            <w:vAlign w:val="top"/>
          </w:tcPr>
          <w:p w14:paraId="1306DDF9">
            <w:pPr>
              <w:rPr>
                <w:rFonts w:ascii="Arial"/>
                <w:sz w:val="21"/>
              </w:rPr>
            </w:pPr>
          </w:p>
        </w:tc>
        <w:tc>
          <w:tcPr>
            <w:tcW w:w="1012" w:type="dxa"/>
            <w:vMerge w:val="continue"/>
            <w:tcBorders>
              <w:top w:val="nil"/>
            </w:tcBorders>
            <w:vAlign w:val="top"/>
          </w:tcPr>
          <w:p w14:paraId="1AAC450B">
            <w:pPr>
              <w:rPr>
                <w:rFonts w:ascii="Arial"/>
                <w:sz w:val="21"/>
              </w:rPr>
            </w:pPr>
          </w:p>
        </w:tc>
        <w:tc>
          <w:tcPr>
            <w:tcW w:w="1963" w:type="dxa"/>
            <w:gridSpan w:val="6"/>
            <w:vAlign w:val="top"/>
          </w:tcPr>
          <w:p w14:paraId="38B6FC41">
            <w:pPr>
              <w:pStyle w:val="6"/>
              <w:spacing w:before="33" w:line="228" w:lineRule="auto"/>
              <w:ind w:left="251"/>
            </w:pPr>
            <w:r>
              <w:rPr>
                <w:spacing w:val="8"/>
              </w:rPr>
              <w:t>包气带防污性能</w:t>
            </w:r>
          </w:p>
        </w:tc>
        <w:tc>
          <w:tcPr>
            <w:tcW w:w="1442" w:type="dxa"/>
            <w:gridSpan w:val="3"/>
            <w:vAlign w:val="top"/>
          </w:tcPr>
          <w:p w14:paraId="3024AFA1">
            <w:pPr>
              <w:spacing w:before="4" w:line="274" w:lineRule="exact"/>
              <w:ind w:left="540"/>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D</w:t>
            </w:r>
            <w:r>
              <w:rPr>
                <w:rFonts w:ascii="Times New Roman" w:hAnsi="Times New Roman" w:eastAsia="Times New Roman" w:cs="Times New Roman"/>
                <w:spacing w:val="-26"/>
                <w:position w:val="1"/>
                <w:sz w:val="20"/>
                <w:szCs w:val="20"/>
              </w:rPr>
              <w:t xml:space="preserve"> </w:t>
            </w: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6"/>
                <w:position w:val="1"/>
                <w:sz w:val="20"/>
                <w:szCs w:val="20"/>
              </w:rPr>
              <w:t>□</w:t>
            </w:r>
          </w:p>
        </w:tc>
        <w:tc>
          <w:tcPr>
            <w:tcW w:w="1462" w:type="dxa"/>
            <w:gridSpan w:val="4"/>
            <w:vAlign w:val="top"/>
          </w:tcPr>
          <w:p w14:paraId="5696EF1B">
            <w:pPr>
              <w:spacing w:before="4" w:line="274" w:lineRule="exact"/>
              <w:ind w:left="55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D2</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2"/>
                <w:position w:val="1"/>
                <w:sz w:val="20"/>
                <w:szCs w:val="20"/>
              </w:rPr>
              <w:t>□</w:t>
            </w:r>
          </w:p>
        </w:tc>
        <w:tc>
          <w:tcPr>
            <w:tcW w:w="1483" w:type="dxa"/>
            <w:gridSpan w:val="2"/>
            <w:vAlign w:val="top"/>
          </w:tcPr>
          <w:p w14:paraId="140B10DB">
            <w:pPr>
              <w:spacing w:before="4" w:line="274" w:lineRule="exact"/>
              <w:ind w:left="5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D3</w:t>
            </w:r>
            <w:r>
              <w:rPr>
                <w:rFonts w:ascii="Times New Roman" w:hAnsi="Times New Roman" w:eastAsia="Times New Roman" w:cs="Times New Roman"/>
                <w:spacing w:val="-34"/>
                <w:position w:val="2"/>
                <w:sz w:val="20"/>
                <w:szCs w:val="20"/>
              </w:rPr>
              <w:t xml:space="preserve"> </w:t>
            </w:r>
            <w:r>
              <w:rPr>
                <w:rFonts w:ascii="Times New Roman" w:hAnsi="Times New Roman" w:eastAsia="Times New Roman" w:cs="Times New Roman"/>
                <w:spacing w:val="2"/>
                <w:position w:val="2"/>
                <w:sz w:val="20"/>
                <w:szCs w:val="20"/>
              </w:rPr>
              <w:t>□</w:t>
            </w:r>
          </w:p>
        </w:tc>
      </w:tr>
      <w:tr w14:paraId="0532D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00" w:type="dxa"/>
            <w:gridSpan w:val="2"/>
            <w:vMerge w:val="restart"/>
            <w:tcBorders>
              <w:bottom w:val="nil"/>
            </w:tcBorders>
            <w:vAlign w:val="top"/>
          </w:tcPr>
          <w:p w14:paraId="58F702D5">
            <w:pPr>
              <w:pStyle w:val="6"/>
              <w:spacing w:before="197" w:line="292" w:lineRule="auto"/>
              <w:ind w:left="541" w:right="114" w:hanging="422"/>
            </w:pPr>
            <w:r>
              <w:rPr>
                <w:spacing w:val="8"/>
              </w:rPr>
              <w:t>物质及工艺系统</w:t>
            </w:r>
            <w:r>
              <w:rPr>
                <w:spacing w:val="3"/>
              </w:rPr>
              <w:t xml:space="preserve"> </w:t>
            </w:r>
            <w:r>
              <w:rPr>
                <w:spacing w:val="6"/>
              </w:rPr>
              <w:t>危险性</w:t>
            </w:r>
          </w:p>
        </w:tc>
        <w:tc>
          <w:tcPr>
            <w:tcW w:w="1012" w:type="dxa"/>
            <w:vAlign w:val="top"/>
          </w:tcPr>
          <w:p w14:paraId="4A8B0B3B">
            <w:pPr>
              <w:pStyle w:val="6"/>
              <w:spacing w:before="31" w:line="221" w:lineRule="auto"/>
              <w:ind w:left="303"/>
            </w:pPr>
            <w:r>
              <w:rPr>
                <w:rFonts w:ascii="Times New Roman" w:hAnsi="Times New Roman" w:eastAsia="Times New Roman" w:cs="Times New Roman"/>
                <w:spacing w:val="-1"/>
              </w:rPr>
              <w:t>Q</w:t>
            </w:r>
            <w:r>
              <w:rPr>
                <w:rFonts w:ascii="Times New Roman" w:hAnsi="Times New Roman" w:eastAsia="Times New Roman" w:cs="Times New Roman"/>
                <w:spacing w:val="12"/>
              </w:rPr>
              <w:t xml:space="preserve"> </w:t>
            </w:r>
            <w:r>
              <w:rPr>
                <w:spacing w:val="-1"/>
              </w:rPr>
              <w:t>值</w:t>
            </w:r>
          </w:p>
        </w:tc>
        <w:tc>
          <w:tcPr>
            <w:tcW w:w="1587" w:type="dxa"/>
            <w:gridSpan w:val="4"/>
            <w:vAlign w:val="top"/>
          </w:tcPr>
          <w:p w14:paraId="7AFCF664">
            <w:pPr>
              <w:pStyle w:val="6"/>
              <w:spacing w:line="275" w:lineRule="exact"/>
              <w:ind w:left="471"/>
            </w:pPr>
            <w:r>
              <w:rPr>
                <w:rFonts w:ascii="Times New Roman" w:hAnsi="Times New Roman" w:eastAsia="Times New Roman" w:cs="Times New Roman"/>
                <w:spacing w:val="4"/>
                <w:position w:val="1"/>
              </w:rPr>
              <w:t>Q</w:t>
            </w:r>
            <w:r>
              <w:rPr>
                <w:spacing w:val="4"/>
                <w:position w:val="1"/>
              </w:rPr>
              <w:t>＜</w:t>
            </w:r>
            <w:r>
              <w:rPr>
                <w:rFonts w:ascii="Times New Roman" w:hAnsi="Times New Roman" w:eastAsia="Times New Roman" w:cs="Times New Roman"/>
                <w:spacing w:val="4"/>
                <w:position w:val="1"/>
              </w:rPr>
              <w:t>1</w:t>
            </w:r>
            <w:r>
              <w:rPr>
                <w:position w:val="-3"/>
              </w:rPr>
              <w:drawing>
                <wp:inline distT="0" distB="0" distL="0" distR="0">
                  <wp:extent cx="117475" cy="14668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241"/>
                          <a:stretch>
                            <a:fillRect/>
                          </a:stretch>
                        </pic:blipFill>
                        <pic:spPr>
                          <a:xfrm>
                            <a:off x="0" y="0"/>
                            <a:ext cx="117487" cy="147048"/>
                          </a:xfrm>
                          <a:prstGeom prst="rect">
                            <a:avLst/>
                          </a:prstGeom>
                        </pic:spPr>
                      </pic:pic>
                    </a:graphicData>
                  </a:graphic>
                </wp:inline>
              </w:drawing>
            </w:r>
          </w:p>
        </w:tc>
        <w:tc>
          <w:tcPr>
            <w:tcW w:w="1571" w:type="dxa"/>
            <w:gridSpan w:val="4"/>
            <w:vAlign w:val="top"/>
          </w:tcPr>
          <w:p w14:paraId="2ED73F12">
            <w:pPr>
              <w:pStyle w:val="6"/>
              <w:spacing w:line="275" w:lineRule="exact"/>
              <w:ind w:left="356"/>
              <w:rPr>
                <w:rFonts w:ascii="Times New Roman" w:hAnsi="Times New Roman" w:eastAsia="Times New Roman" w:cs="Times New Roman"/>
              </w:rPr>
            </w:pPr>
            <w:r>
              <w:rPr>
                <w:rFonts w:ascii="Times New Roman" w:hAnsi="Times New Roman" w:eastAsia="Times New Roman" w:cs="Times New Roman"/>
                <w:spacing w:val="2"/>
                <w:position w:val="3"/>
              </w:rPr>
              <w:t>1≤Q</w:t>
            </w:r>
            <w:r>
              <w:rPr>
                <w:spacing w:val="2"/>
                <w:position w:val="3"/>
              </w:rPr>
              <w:t>＜</w:t>
            </w:r>
            <w:r>
              <w:rPr>
                <w:rFonts w:ascii="Times New Roman" w:hAnsi="Times New Roman" w:eastAsia="Times New Roman" w:cs="Times New Roman"/>
                <w:spacing w:val="2"/>
                <w:position w:val="3"/>
              </w:rPr>
              <w:t>10□</w:t>
            </w:r>
          </w:p>
        </w:tc>
        <w:tc>
          <w:tcPr>
            <w:tcW w:w="1603" w:type="dxa"/>
            <w:gridSpan w:val="4"/>
            <w:vAlign w:val="top"/>
          </w:tcPr>
          <w:p w14:paraId="46813C68">
            <w:pPr>
              <w:pStyle w:val="6"/>
              <w:spacing w:line="275" w:lineRule="exact"/>
              <w:ind w:left="266"/>
              <w:rPr>
                <w:rFonts w:ascii="Times New Roman" w:hAnsi="Times New Roman" w:eastAsia="Times New Roman" w:cs="Times New Roman"/>
              </w:rPr>
            </w:pPr>
            <w:r>
              <w:rPr>
                <w:rFonts w:ascii="Times New Roman" w:hAnsi="Times New Roman" w:eastAsia="Times New Roman" w:cs="Times New Roman"/>
                <w:spacing w:val="3"/>
                <w:position w:val="3"/>
              </w:rPr>
              <w:t>10≤Q</w:t>
            </w:r>
            <w:r>
              <w:rPr>
                <w:spacing w:val="3"/>
                <w:position w:val="3"/>
              </w:rPr>
              <w:t>＜</w:t>
            </w:r>
            <w:r>
              <w:rPr>
                <w:rFonts w:ascii="Times New Roman" w:hAnsi="Times New Roman" w:eastAsia="Times New Roman" w:cs="Times New Roman"/>
                <w:spacing w:val="3"/>
                <w:position w:val="3"/>
              </w:rPr>
              <w:t>100□</w:t>
            </w:r>
          </w:p>
        </w:tc>
        <w:tc>
          <w:tcPr>
            <w:tcW w:w="1589" w:type="dxa"/>
            <w:gridSpan w:val="3"/>
            <w:vAlign w:val="top"/>
          </w:tcPr>
          <w:p w14:paraId="7C01C9E8">
            <w:pPr>
              <w:pStyle w:val="6"/>
              <w:spacing w:line="275" w:lineRule="exact"/>
              <w:ind w:left="398"/>
              <w:rPr>
                <w:rFonts w:ascii="Times New Roman" w:hAnsi="Times New Roman" w:eastAsia="Times New Roman" w:cs="Times New Roman"/>
              </w:rPr>
            </w:pPr>
            <w:r>
              <w:rPr>
                <w:rFonts w:ascii="Times New Roman" w:hAnsi="Times New Roman" w:eastAsia="Times New Roman" w:cs="Times New Roman"/>
                <w:spacing w:val="4"/>
                <w:position w:val="3"/>
              </w:rPr>
              <w:t>Q</w:t>
            </w:r>
            <w:r>
              <w:rPr>
                <w:spacing w:val="4"/>
                <w:position w:val="3"/>
              </w:rPr>
              <w:t>＞</w:t>
            </w:r>
            <w:r>
              <w:rPr>
                <w:rFonts w:ascii="Times New Roman" w:hAnsi="Times New Roman" w:eastAsia="Times New Roman" w:cs="Times New Roman"/>
                <w:spacing w:val="4"/>
                <w:position w:val="3"/>
              </w:rPr>
              <w:t>100□</w:t>
            </w:r>
          </w:p>
        </w:tc>
      </w:tr>
      <w:tr w14:paraId="3B66F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00" w:type="dxa"/>
            <w:gridSpan w:val="2"/>
            <w:vMerge w:val="continue"/>
            <w:tcBorders>
              <w:top w:val="nil"/>
              <w:bottom w:val="nil"/>
            </w:tcBorders>
            <w:vAlign w:val="top"/>
          </w:tcPr>
          <w:p w14:paraId="0EAB071A">
            <w:pPr>
              <w:rPr>
                <w:rFonts w:ascii="Arial"/>
                <w:sz w:val="21"/>
              </w:rPr>
            </w:pPr>
          </w:p>
        </w:tc>
        <w:tc>
          <w:tcPr>
            <w:tcW w:w="1012" w:type="dxa"/>
            <w:vAlign w:val="top"/>
          </w:tcPr>
          <w:p w14:paraId="1AE3C854">
            <w:pPr>
              <w:pStyle w:val="6"/>
              <w:spacing w:before="33" w:line="228" w:lineRule="auto"/>
              <w:ind w:left="280"/>
            </w:pPr>
            <w:r>
              <w:rPr>
                <w:rFonts w:ascii="Times New Roman" w:hAnsi="Times New Roman" w:eastAsia="Times New Roman" w:cs="Times New Roman"/>
                <w:spacing w:val="2"/>
              </w:rPr>
              <w:t>M</w:t>
            </w:r>
            <w:r>
              <w:rPr>
                <w:rFonts w:ascii="Times New Roman" w:hAnsi="Times New Roman" w:eastAsia="Times New Roman" w:cs="Times New Roman"/>
                <w:spacing w:val="12"/>
                <w:w w:val="101"/>
              </w:rPr>
              <w:t xml:space="preserve"> </w:t>
            </w:r>
            <w:r>
              <w:rPr>
                <w:spacing w:val="2"/>
              </w:rPr>
              <w:t>值</w:t>
            </w:r>
          </w:p>
        </w:tc>
        <w:tc>
          <w:tcPr>
            <w:tcW w:w="1963" w:type="dxa"/>
            <w:gridSpan w:val="6"/>
            <w:vAlign w:val="top"/>
          </w:tcPr>
          <w:p w14:paraId="2A9781EF">
            <w:pPr>
              <w:spacing w:before="4" w:line="274" w:lineRule="exact"/>
              <w:ind w:left="772"/>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M</w:t>
            </w:r>
            <w:r>
              <w:rPr>
                <w:rFonts w:ascii="Times New Roman" w:hAnsi="Times New Roman" w:eastAsia="Times New Roman" w:cs="Times New Roman"/>
                <w:spacing w:val="-26"/>
                <w:position w:val="1"/>
                <w:sz w:val="20"/>
                <w:szCs w:val="20"/>
              </w:rPr>
              <w:t xml:space="preserve"> </w:t>
            </w: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6"/>
                <w:position w:val="1"/>
                <w:sz w:val="20"/>
                <w:szCs w:val="20"/>
              </w:rPr>
              <w:t>□</w:t>
            </w:r>
          </w:p>
        </w:tc>
        <w:tc>
          <w:tcPr>
            <w:tcW w:w="1442" w:type="dxa"/>
            <w:gridSpan w:val="3"/>
            <w:vAlign w:val="top"/>
          </w:tcPr>
          <w:p w14:paraId="5785F6BF">
            <w:pPr>
              <w:spacing w:before="4" w:line="274"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M2</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2"/>
                <w:position w:val="1"/>
                <w:sz w:val="20"/>
                <w:szCs w:val="20"/>
              </w:rPr>
              <w:t>□</w:t>
            </w:r>
          </w:p>
        </w:tc>
        <w:tc>
          <w:tcPr>
            <w:tcW w:w="1462" w:type="dxa"/>
            <w:gridSpan w:val="4"/>
            <w:vAlign w:val="top"/>
          </w:tcPr>
          <w:p w14:paraId="51C6092E">
            <w:pPr>
              <w:spacing w:before="4" w:line="274" w:lineRule="exact"/>
              <w:ind w:left="5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M3</w:t>
            </w:r>
            <w:r>
              <w:rPr>
                <w:rFonts w:ascii="Times New Roman" w:hAnsi="Times New Roman" w:eastAsia="Times New Roman" w:cs="Times New Roman"/>
                <w:spacing w:val="-34"/>
                <w:position w:val="2"/>
                <w:sz w:val="20"/>
                <w:szCs w:val="20"/>
              </w:rPr>
              <w:t xml:space="preserve"> </w:t>
            </w:r>
            <w:r>
              <w:rPr>
                <w:rFonts w:ascii="Times New Roman" w:hAnsi="Times New Roman" w:eastAsia="Times New Roman" w:cs="Times New Roman"/>
                <w:spacing w:val="2"/>
                <w:position w:val="2"/>
                <w:sz w:val="20"/>
                <w:szCs w:val="20"/>
              </w:rPr>
              <w:t>□</w:t>
            </w:r>
          </w:p>
        </w:tc>
        <w:tc>
          <w:tcPr>
            <w:tcW w:w="1483" w:type="dxa"/>
            <w:gridSpan w:val="2"/>
            <w:vAlign w:val="top"/>
          </w:tcPr>
          <w:p w14:paraId="35A1895B">
            <w:pPr>
              <w:spacing w:before="4" w:line="274" w:lineRule="exact"/>
              <w:ind w:left="5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M4</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2"/>
                <w:position w:val="1"/>
                <w:sz w:val="20"/>
                <w:szCs w:val="20"/>
              </w:rPr>
              <w:t>□</w:t>
            </w:r>
          </w:p>
        </w:tc>
      </w:tr>
      <w:tr w14:paraId="4AED4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700" w:type="dxa"/>
            <w:gridSpan w:val="2"/>
            <w:vMerge w:val="continue"/>
            <w:tcBorders>
              <w:top w:val="nil"/>
            </w:tcBorders>
            <w:vAlign w:val="top"/>
          </w:tcPr>
          <w:p w14:paraId="5DAF4C58">
            <w:pPr>
              <w:rPr>
                <w:rFonts w:ascii="Arial"/>
                <w:sz w:val="21"/>
              </w:rPr>
            </w:pPr>
          </w:p>
        </w:tc>
        <w:tc>
          <w:tcPr>
            <w:tcW w:w="1012" w:type="dxa"/>
            <w:vAlign w:val="top"/>
          </w:tcPr>
          <w:p w14:paraId="28787785">
            <w:pPr>
              <w:pStyle w:val="6"/>
              <w:spacing w:before="34" w:line="228" w:lineRule="auto"/>
              <w:ind w:left="316"/>
            </w:pPr>
            <w:r>
              <w:rPr>
                <w:rFonts w:ascii="Times New Roman" w:hAnsi="Times New Roman" w:eastAsia="Times New Roman" w:cs="Times New Roman"/>
                <w:spacing w:val="1"/>
              </w:rPr>
              <w:t>P</w:t>
            </w:r>
            <w:r>
              <w:rPr>
                <w:rFonts w:ascii="Times New Roman" w:hAnsi="Times New Roman" w:eastAsia="Times New Roman" w:cs="Times New Roman"/>
                <w:spacing w:val="9"/>
              </w:rPr>
              <w:t xml:space="preserve"> </w:t>
            </w:r>
            <w:r>
              <w:rPr>
                <w:spacing w:val="1"/>
              </w:rPr>
              <w:t>值</w:t>
            </w:r>
          </w:p>
        </w:tc>
        <w:tc>
          <w:tcPr>
            <w:tcW w:w="1963" w:type="dxa"/>
            <w:gridSpan w:val="6"/>
            <w:vAlign w:val="top"/>
          </w:tcPr>
          <w:p w14:paraId="103ECABD">
            <w:pPr>
              <w:spacing w:before="5" w:line="274" w:lineRule="exact"/>
              <w:ind w:left="808"/>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P</w:t>
            </w:r>
            <w:r>
              <w:rPr>
                <w:rFonts w:ascii="Times New Roman" w:hAnsi="Times New Roman" w:eastAsia="Times New Roman" w:cs="Times New Roman"/>
                <w:spacing w:val="-26"/>
                <w:position w:val="1"/>
                <w:sz w:val="20"/>
                <w:szCs w:val="20"/>
              </w:rPr>
              <w:t xml:space="preserve"> </w:t>
            </w: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7"/>
                <w:position w:val="1"/>
                <w:sz w:val="20"/>
                <w:szCs w:val="20"/>
              </w:rPr>
              <w:t>□</w:t>
            </w:r>
          </w:p>
        </w:tc>
        <w:tc>
          <w:tcPr>
            <w:tcW w:w="1442" w:type="dxa"/>
            <w:gridSpan w:val="3"/>
            <w:vAlign w:val="top"/>
          </w:tcPr>
          <w:p w14:paraId="5D57F748">
            <w:pPr>
              <w:spacing w:before="5" w:line="274" w:lineRule="exact"/>
              <w:ind w:left="55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P2</w:t>
            </w:r>
            <w:r>
              <w:rPr>
                <w:rFonts w:ascii="Times New Roman" w:hAnsi="Times New Roman" w:eastAsia="Times New Roman" w:cs="Times New Roman"/>
                <w:spacing w:val="-31"/>
                <w:position w:val="1"/>
                <w:sz w:val="20"/>
                <w:szCs w:val="20"/>
              </w:rPr>
              <w:t xml:space="preserve"> </w:t>
            </w:r>
            <w:r>
              <w:rPr>
                <w:rFonts w:ascii="Times New Roman" w:hAnsi="Times New Roman" w:eastAsia="Times New Roman" w:cs="Times New Roman"/>
                <w:spacing w:val="1"/>
                <w:position w:val="1"/>
                <w:sz w:val="20"/>
                <w:szCs w:val="20"/>
              </w:rPr>
              <w:t>□</w:t>
            </w:r>
          </w:p>
        </w:tc>
        <w:tc>
          <w:tcPr>
            <w:tcW w:w="1462" w:type="dxa"/>
            <w:gridSpan w:val="4"/>
            <w:vAlign w:val="top"/>
          </w:tcPr>
          <w:p w14:paraId="2EFD0847">
            <w:pPr>
              <w:spacing w:before="5"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P3</w:t>
            </w:r>
            <w:r>
              <w:rPr>
                <w:rFonts w:ascii="Times New Roman" w:hAnsi="Times New Roman" w:eastAsia="Times New Roman" w:cs="Times New Roman"/>
                <w:spacing w:val="-34"/>
                <w:position w:val="2"/>
                <w:sz w:val="20"/>
                <w:szCs w:val="20"/>
              </w:rPr>
              <w:t xml:space="preserve"> </w:t>
            </w:r>
            <w:r>
              <w:rPr>
                <w:rFonts w:ascii="Times New Roman" w:hAnsi="Times New Roman" w:eastAsia="Times New Roman" w:cs="Times New Roman"/>
                <w:spacing w:val="1"/>
                <w:position w:val="2"/>
                <w:sz w:val="20"/>
                <w:szCs w:val="20"/>
              </w:rPr>
              <w:t>□</w:t>
            </w:r>
          </w:p>
        </w:tc>
        <w:tc>
          <w:tcPr>
            <w:tcW w:w="1483" w:type="dxa"/>
            <w:gridSpan w:val="2"/>
            <w:vAlign w:val="top"/>
          </w:tcPr>
          <w:p w14:paraId="0E3824DF">
            <w:pPr>
              <w:spacing w:before="5"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P4</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1"/>
                <w:position w:val="1"/>
                <w:sz w:val="20"/>
                <w:szCs w:val="20"/>
              </w:rPr>
              <w:t>□</w:t>
            </w:r>
          </w:p>
        </w:tc>
      </w:tr>
      <w:tr w14:paraId="206E6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00" w:type="dxa"/>
            <w:gridSpan w:val="2"/>
            <w:vMerge w:val="restart"/>
            <w:tcBorders>
              <w:bottom w:val="nil"/>
            </w:tcBorders>
            <w:vAlign w:val="top"/>
          </w:tcPr>
          <w:p w14:paraId="55CCC31A">
            <w:pPr>
              <w:spacing w:line="288" w:lineRule="auto"/>
              <w:rPr>
                <w:rFonts w:ascii="Arial"/>
                <w:sz w:val="21"/>
              </w:rPr>
            </w:pPr>
          </w:p>
          <w:p w14:paraId="0E5F644C">
            <w:pPr>
              <w:pStyle w:val="6"/>
              <w:spacing w:before="65" w:line="228" w:lineRule="auto"/>
              <w:ind w:left="225"/>
            </w:pPr>
            <w:r>
              <w:rPr>
                <w:spacing w:val="8"/>
              </w:rPr>
              <w:t>环境敏感程度</w:t>
            </w:r>
          </w:p>
        </w:tc>
        <w:tc>
          <w:tcPr>
            <w:tcW w:w="1012" w:type="dxa"/>
            <w:vAlign w:val="top"/>
          </w:tcPr>
          <w:p w14:paraId="21A09B6F">
            <w:pPr>
              <w:pStyle w:val="6"/>
              <w:spacing w:before="31" w:line="229" w:lineRule="auto"/>
              <w:ind w:left="301"/>
            </w:pPr>
            <w:r>
              <w:rPr>
                <w:spacing w:val="3"/>
              </w:rPr>
              <w:t>大气</w:t>
            </w:r>
          </w:p>
        </w:tc>
        <w:tc>
          <w:tcPr>
            <w:tcW w:w="1963" w:type="dxa"/>
            <w:gridSpan w:val="6"/>
            <w:vAlign w:val="top"/>
          </w:tcPr>
          <w:p w14:paraId="784DE626">
            <w:pPr>
              <w:spacing w:before="2" w:line="275" w:lineRule="exact"/>
              <w:ind w:left="802"/>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E</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7"/>
                <w:position w:val="1"/>
                <w:sz w:val="20"/>
                <w:szCs w:val="20"/>
              </w:rPr>
              <w:t>□</w:t>
            </w:r>
          </w:p>
        </w:tc>
        <w:tc>
          <w:tcPr>
            <w:tcW w:w="1981" w:type="dxa"/>
            <w:gridSpan w:val="4"/>
            <w:vAlign w:val="top"/>
          </w:tcPr>
          <w:p w14:paraId="4BB356EF">
            <w:pPr>
              <w:spacing w:before="2" w:line="275" w:lineRule="exact"/>
              <w:ind w:left="80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E2</w:t>
            </w:r>
            <w:r>
              <w:rPr>
                <w:rFonts w:ascii="Times New Roman" w:hAnsi="Times New Roman" w:eastAsia="Times New Roman" w:cs="Times New Roman"/>
                <w:spacing w:val="-31"/>
                <w:position w:val="1"/>
                <w:sz w:val="20"/>
                <w:szCs w:val="20"/>
              </w:rPr>
              <w:t xml:space="preserve"> </w:t>
            </w:r>
            <w:r>
              <w:rPr>
                <w:rFonts w:ascii="Times New Roman" w:hAnsi="Times New Roman" w:eastAsia="Times New Roman" w:cs="Times New Roman"/>
                <w:spacing w:val="1"/>
                <w:position w:val="1"/>
                <w:sz w:val="20"/>
                <w:szCs w:val="20"/>
              </w:rPr>
              <w:t>□</w:t>
            </w:r>
          </w:p>
        </w:tc>
        <w:tc>
          <w:tcPr>
            <w:tcW w:w="2406" w:type="dxa"/>
            <w:gridSpan w:val="5"/>
            <w:vAlign w:val="top"/>
          </w:tcPr>
          <w:p w14:paraId="498E8456">
            <w:pPr>
              <w:spacing w:before="2" w:line="275" w:lineRule="exact"/>
              <w:ind w:left="102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E3</w:t>
            </w:r>
            <w:r>
              <w:rPr>
                <w:rFonts w:ascii="Times New Roman" w:hAnsi="Times New Roman" w:eastAsia="Times New Roman" w:cs="Times New Roman"/>
                <w:spacing w:val="-33"/>
                <w:position w:val="2"/>
                <w:sz w:val="20"/>
                <w:szCs w:val="20"/>
              </w:rPr>
              <w:t xml:space="preserve"> </w:t>
            </w:r>
            <w:r>
              <w:rPr>
                <w:rFonts w:ascii="Times New Roman" w:hAnsi="Times New Roman" w:eastAsia="Times New Roman" w:cs="Times New Roman"/>
                <w:spacing w:val="1"/>
                <w:position w:val="2"/>
                <w:sz w:val="20"/>
                <w:szCs w:val="20"/>
              </w:rPr>
              <w:t>□</w:t>
            </w:r>
          </w:p>
        </w:tc>
      </w:tr>
      <w:tr w14:paraId="7F8A8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00" w:type="dxa"/>
            <w:gridSpan w:val="2"/>
            <w:vMerge w:val="continue"/>
            <w:tcBorders>
              <w:top w:val="nil"/>
              <w:bottom w:val="nil"/>
            </w:tcBorders>
            <w:vAlign w:val="top"/>
          </w:tcPr>
          <w:p w14:paraId="4DB420E8">
            <w:pPr>
              <w:rPr>
                <w:rFonts w:ascii="Arial"/>
                <w:sz w:val="21"/>
              </w:rPr>
            </w:pPr>
          </w:p>
        </w:tc>
        <w:tc>
          <w:tcPr>
            <w:tcW w:w="1012" w:type="dxa"/>
            <w:vAlign w:val="top"/>
          </w:tcPr>
          <w:p w14:paraId="4B24B96F">
            <w:pPr>
              <w:pStyle w:val="6"/>
              <w:spacing w:before="32" w:line="228" w:lineRule="auto"/>
              <w:ind w:left="195"/>
            </w:pPr>
            <w:r>
              <w:rPr>
                <w:spacing w:val="6"/>
              </w:rPr>
              <w:t>地表水</w:t>
            </w:r>
          </w:p>
        </w:tc>
        <w:tc>
          <w:tcPr>
            <w:tcW w:w="1963" w:type="dxa"/>
            <w:gridSpan w:val="6"/>
            <w:vAlign w:val="top"/>
          </w:tcPr>
          <w:p w14:paraId="3346EE7D">
            <w:pPr>
              <w:spacing w:before="3" w:line="275" w:lineRule="exact"/>
              <w:ind w:left="802"/>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E</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7"/>
                <w:position w:val="1"/>
                <w:sz w:val="20"/>
                <w:szCs w:val="20"/>
              </w:rPr>
              <w:t>□</w:t>
            </w:r>
          </w:p>
        </w:tc>
        <w:tc>
          <w:tcPr>
            <w:tcW w:w="1981" w:type="dxa"/>
            <w:gridSpan w:val="4"/>
            <w:vAlign w:val="top"/>
          </w:tcPr>
          <w:p w14:paraId="175CEC89">
            <w:pPr>
              <w:spacing w:before="3" w:line="275" w:lineRule="exact"/>
              <w:ind w:left="80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E2</w:t>
            </w:r>
            <w:r>
              <w:rPr>
                <w:rFonts w:ascii="Times New Roman" w:hAnsi="Times New Roman" w:eastAsia="Times New Roman" w:cs="Times New Roman"/>
                <w:spacing w:val="-31"/>
                <w:position w:val="1"/>
                <w:sz w:val="20"/>
                <w:szCs w:val="20"/>
              </w:rPr>
              <w:t xml:space="preserve"> </w:t>
            </w:r>
            <w:r>
              <w:rPr>
                <w:rFonts w:ascii="Times New Roman" w:hAnsi="Times New Roman" w:eastAsia="Times New Roman" w:cs="Times New Roman"/>
                <w:spacing w:val="1"/>
                <w:position w:val="1"/>
                <w:sz w:val="20"/>
                <w:szCs w:val="20"/>
              </w:rPr>
              <w:t>□</w:t>
            </w:r>
          </w:p>
        </w:tc>
        <w:tc>
          <w:tcPr>
            <w:tcW w:w="2406" w:type="dxa"/>
            <w:gridSpan w:val="5"/>
            <w:vAlign w:val="top"/>
          </w:tcPr>
          <w:p w14:paraId="5E2D63BD">
            <w:pPr>
              <w:spacing w:before="3" w:line="275" w:lineRule="exact"/>
              <w:ind w:left="102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E3</w:t>
            </w:r>
            <w:r>
              <w:rPr>
                <w:rFonts w:ascii="Times New Roman" w:hAnsi="Times New Roman" w:eastAsia="Times New Roman" w:cs="Times New Roman"/>
                <w:spacing w:val="-33"/>
                <w:position w:val="2"/>
                <w:sz w:val="20"/>
                <w:szCs w:val="20"/>
              </w:rPr>
              <w:t xml:space="preserve"> </w:t>
            </w:r>
            <w:r>
              <w:rPr>
                <w:rFonts w:ascii="Times New Roman" w:hAnsi="Times New Roman" w:eastAsia="Times New Roman" w:cs="Times New Roman"/>
                <w:spacing w:val="1"/>
                <w:position w:val="2"/>
                <w:sz w:val="20"/>
                <w:szCs w:val="20"/>
              </w:rPr>
              <w:t>□</w:t>
            </w:r>
          </w:p>
        </w:tc>
      </w:tr>
      <w:tr w14:paraId="0999A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00" w:type="dxa"/>
            <w:gridSpan w:val="2"/>
            <w:vMerge w:val="continue"/>
            <w:tcBorders>
              <w:top w:val="nil"/>
            </w:tcBorders>
            <w:vAlign w:val="top"/>
          </w:tcPr>
          <w:p w14:paraId="4E21549C">
            <w:pPr>
              <w:rPr>
                <w:rFonts w:ascii="Arial"/>
                <w:sz w:val="21"/>
              </w:rPr>
            </w:pPr>
          </w:p>
        </w:tc>
        <w:tc>
          <w:tcPr>
            <w:tcW w:w="1012" w:type="dxa"/>
            <w:vAlign w:val="top"/>
          </w:tcPr>
          <w:p w14:paraId="110297DD">
            <w:pPr>
              <w:pStyle w:val="6"/>
              <w:spacing w:before="33" w:line="228" w:lineRule="auto"/>
              <w:ind w:left="195"/>
            </w:pPr>
            <w:r>
              <w:rPr>
                <w:spacing w:val="6"/>
              </w:rPr>
              <w:t>地下水</w:t>
            </w:r>
          </w:p>
        </w:tc>
        <w:tc>
          <w:tcPr>
            <w:tcW w:w="1963" w:type="dxa"/>
            <w:gridSpan w:val="6"/>
            <w:vAlign w:val="top"/>
          </w:tcPr>
          <w:p w14:paraId="615D65CC">
            <w:pPr>
              <w:spacing w:before="2" w:line="274" w:lineRule="exact"/>
              <w:ind w:left="802"/>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E</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7"/>
                <w:position w:val="1"/>
                <w:sz w:val="20"/>
                <w:szCs w:val="20"/>
              </w:rPr>
              <w:t>1</w:t>
            </w:r>
            <w:r>
              <w:rPr>
                <w:rFonts w:ascii="Times New Roman" w:hAnsi="Times New Roman" w:eastAsia="Times New Roman" w:cs="Times New Roman"/>
                <w:spacing w:val="-34"/>
                <w:position w:val="1"/>
                <w:sz w:val="20"/>
                <w:szCs w:val="20"/>
              </w:rPr>
              <w:t xml:space="preserve"> </w:t>
            </w:r>
            <w:r>
              <w:rPr>
                <w:rFonts w:ascii="Times New Roman" w:hAnsi="Times New Roman" w:eastAsia="Times New Roman" w:cs="Times New Roman"/>
                <w:spacing w:val="-7"/>
                <w:position w:val="1"/>
                <w:sz w:val="20"/>
                <w:szCs w:val="20"/>
              </w:rPr>
              <w:t>□</w:t>
            </w:r>
          </w:p>
        </w:tc>
        <w:tc>
          <w:tcPr>
            <w:tcW w:w="1981" w:type="dxa"/>
            <w:gridSpan w:val="4"/>
            <w:vAlign w:val="top"/>
          </w:tcPr>
          <w:p w14:paraId="1B6C2DE9">
            <w:pPr>
              <w:spacing w:before="2" w:line="274" w:lineRule="exact"/>
              <w:ind w:left="80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E2</w:t>
            </w:r>
            <w:r>
              <w:rPr>
                <w:rFonts w:ascii="Times New Roman" w:hAnsi="Times New Roman" w:eastAsia="Times New Roman" w:cs="Times New Roman"/>
                <w:spacing w:val="-31"/>
                <w:position w:val="1"/>
                <w:sz w:val="20"/>
                <w:szCs w:val="20"/>
              </w:rPr>
              <w:t xml:space="preserve"> </w:t>
            </w:r>
            <w:r>
              <w:rPr>
                <w:rFonts w:ascii="Times New Roman" w:hAnsi="Times New Roman" w:eastAsia="Times New Roman" w:cs="Times New Roman"/>
                <w:spacing w:val="1"/>
                <w:position w:val="1"/>
                <w:sz w:val="20"/>
                <w:szCs w:val="20"/>
              </w:rPr>
              <w:t>□</w:t>
            </w:r>
          </w:p>
        </w:tc>
        <w:tc>
          <w:tcPr>
            <w:tcW w:w="2406" w:type="dxa"/>
            <w:gridSpan w:val="5"/>
            <w:vAlign w:val="top"/>
          </w:tcPr>
          <w:p w14:paraId="45F78CC3">
            <w:pPr>
              <w:spacing w:before="2" w:line="274" w:lineRule="exact"/>
              <w:ind w:left="102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E3</w:t>
            </w:r>
            <w:r>
              <w:rPr>
                <w:rFonts w:ascii="Times New Roman" w:hAnsi="Times New Roman" w:eastAsia="Times New Roman" w:cs="Times New Roman"/>
                <w:spacing w:val="-33"/>
                <w:position w:val="2"/>
                <w:sz w:val="20"/>
                <w:szCs w:val="20"/>
              </w:rPr>
              <w:t xml:space="preserve"> </w:t>
            </w:r>
            <w:r>
              <w:rPr>
                <w:rFonts w:ascii="Times New Roman" w:hAnsi="Times New Roman" w:eastAsia="Times New Roman" w:cs="Times New Roman"/>
                <w:spacing w:val="1"/>
                <w:position w:val="2"/>
                <w:sz w:val="20"/>
                <w:szCs w:val="20"/>
              </w:rPr>
              <w:t>□</w:t>
            </w:r>
          </w:p>
        </w:tc>
      </w:tr>
      <w:tr w14:paraId="4418C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00" w:type="dxa"/>
            <w:gridSpan w:val="2"/>
            <w:vAlign w:val="top"/>
          </w:tcPr>
          <w:p w14:paraId="670D653E">
            <w:pPr>
              <w:pStyle w:val="6"/>
              <w:spacing w:before="34" w:line="228" w:lineRule="auto"/>
              <w:ind w:left="225"/>
            </w:pPr>
            <w:r>
              <w:rPr>
                <w:spacing w:val="8"/>
              </w:rPr>
              <w:t>环境风险潜势</w:t>
            </w:r>
          </w:p>
        </w:tc>
        <w:tc>
          <w:tcPr>
            <w:tcW w:w="1417" w:type="dxa"/>
            <w:gridSpan w:val="2"/>
            <w:vAlign w:val="top"/>
          </w:tcPr>
          <w:p w14:paraId="6AE56EED">
            <w:pPr>
              <w:pStyle w:val="6"/>
              <w:spacing w:before="34" w:line="264" w:lineRule="exact"/>
              <w:ind w:left="494"/>
              <w:rPr>
                <w:rFonts w:ascii="Times New Roman" w:hAnsi="Times New Roman" w:eastAsia="Times New Roman" w:cs="Times New Roman"/>
              </w:rPr>
            </w:pPr>
            <w:r>
              <w:rPr>
                <w:position w:val="1"/>
              </w:rPr>
              <w:t>Ⅳ</w:t>
            </w:r>
            <w:r>
              <w:rPr>
                <w:rFonts w:ascii="Times New Roman" w:hAnsi="Times New Roman" w:eastAsia="Times New Roman" w:cs="Times New Roman"/>
                <w:position w:val="1"/>
              </w:rPr>
              <w:t>+□</w:t>
            </w:r>
          </w:p>
        </w:tc>
        <w:tc>
          <w:tcPr>
            <w:tcW w:w="1558" w:type="dxa"/>
            <w:gridSpan w:val="5"/>
            <w:vAlign w:val="top"/>
          </w:tcPr>
          <w:p w14:paraId="16FF83E8">
            <w:pPr>
              <w:pStyle w:val="6"/>
              <w:spacing w:before="34" w:line="264" w:lineRule="exact"/>
              <w:ind w:left="623"/>
              <w:rPr>
                <w:rFonts w:ascii="Times New Roman" w:hAnsi="Times New Roman" w:eastAsia="Times New Roman" w:cs="Times New Roman"/>
              </w:rPr>
            </w:pPr>
            <w:r>
              <w:rPr>
                <w:spacing w:val="4"/>
                <w:position w:val="1"/>
              </w:rPr>
              <w:t>Ⅳ</w:t>
            </w:r>
            <w:r>
              <w:rPr>
                <w:rFonts w:ascii="Times New Roman" w:hAnsi="Times New Roman" w:eastAsia="Times New Roman" w:cs="Times New Roman"/>
                <w:spacing w:val="4"/>
                <w:position w:val="1"/>
              </w:rPr>
              <w:t>□</w:t>
            </w:r>
          </w:p>
        </w:tc>
        <w:tc>
          <w:tcPr>
            <w:tcW w:w="1442" w:type="dxa"/>
            <w:gridSpan w:val="3"/>
            <w:vAlign w:val="top"/>
          </w:tcPr>
          <w:p w14:paraId="7F38CF13">
            <w:pPr>
              <w:pStyle w:val="6"/>
              <w:spacing w:before="34" w:line="264" w:lineRule="exact"/>
              <w:ind w:left="532"/>
              <w:rPr>
                <w:rFonts w:ascii="Times New Roman" w:hAnsi="Times New Roman" w:eastAsia="Times New Roman" w:cs="Times New Roman"/>
              </w:rPr>
            </w:pPr>
            <w:r>
              <w:rPr>
                <w:spacing w:val="3"/>
                <w:position w:val="1"/>
              </w:rPr>
              <w:t>Ⅲ</w:t>
            </w:r>
            <w:r>
              <w:rPr>
                <w:rFonts w:ascii="Times New Roman" w:hAnsi="Times New Roman" w:eastAsia="Times New Roman" w:cs="Times New Roman"/>
                <w:spacing w:val="3"/>
                <w:position w:val="1"/>
              </w:rPr>
              <w:t>□</w:t>
            </w:r>
          </w:p>
        </w:tc>
        <w:tc>
          <w:tcPr>
            <w:tcW w:w="1356" w:type="dxa"/>
            <w:gridSpan w:val="3"/>
            <w:vAlign w:val="top"/>
          </w:tcPr>
          <w:p w14:paraId="3B24BA55">
            <w:pPr>
              <w:pStyle w:val="6"/>
              <w:spacing w:before="34" w:line="264" w:lineRule="exact"/>
              <w:ind w:left="518"/>
              <w:rPr>
                <w:rFonts w:ascii="Times New Roman" w:hAnsi="Times New Roman" w:eastAsia="Times New Roman" w:cs="Times New Roman"/>
              </w:rPr>
            </w:pPr>
            <w:r>
              <w:rPr>
                <w:spacing w:val="-15"/>
                <w:position w:val="1"/>
              </w:rPr>
              <w:t>Ⅱ</w:t>
            </w:r>
            <w:r>
              <w:rPr>
                <w:rFonts w:ascii="Times New Roman" w:hAnsi="Times New Roman" w:eastAsia="Times New Roman" w:cs="Times New Roman"/>
                <w:spacing w:val="-15"/>
                <w:position w:val="1"/>
              </w:rPr>
              <w:t>□</w:t>
            </w:r>
          </w:p>
        </w:tc>
        <w:tc>
          <w:tcPr>
            <w:tcW w:w="1589" w:type="dxa"/>
            <w:gridSpan w:val="3"/>
            <w:vAlign w:val="top"/>
          </w:tcPr>
          <w:p w14:paraId="4BDAA534">
            <w:pPr>
              <w:pStyle w:val="6"/>
              <w:spacing w:before="26" w:line="230" w:lineRule="auto"/>
              <w:ind w:left="663"/>
            </w:pPr>
            <w:r>
              <w:rPr>
                <w:spacing w:val="-67"/>
              </w:rPr>
              <w:t>Ⅰ</w:t>
            </w:r>
            <w:r>
              <w:rPr>
                <w:spacing w:val="-83"/>
              </w:rPr>
              <w:t xml:space="preserve"> </w:t>
            </w:r>
            <w:r>
              <w:rPr>
                <w:position w:val="-4"/>
              </w:rPr>
              <w:drawing>
                <wp:inline distT="0" distB="0" distL="0" distR="0">
                  <wp:extent cx="105410" cy="14668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242"/>
                          <a:stretch>
                            <a:fillRect/>
                          </a:stretch>
                        </pic:blipFill>
                        <pic:spPr>
                          <a:xfrm>
                            <a:off x="0" y="0"/>
                            <a:ext cx="105641" cy="147048"/>
                          </a:xfrm>
                          <a:prstGeom prst="rect">
                            <a:avLst/>
                          </a:prstGeom>
                        </pic:spPr>
                      </pic:pic>
                    </a:graphicData>
                  </a:graphic>
                </wp:inline>
              </w:drawing>
            </w:r>
          </w:p>
        </w:tc>
      </w:tr>
      <w:tr w14:paraId="55800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700" w:type="dxa"/>
            <w:gridSpan w:val="2"/>
            <w:vAlign w:val="top"/>
          </w:tcPr>
          <w:p w14:paraId="757BA3A5">
            <w:pPr>
              <w:pStyle w:val="6"/>
              <w:spacing w:before="32" w:line="227" w:lineRule="auto"/>
              <w:ind w:left="435"/>
            </w:pPr>
            <w:r>
              <w:rPr>
                <w:spacing w:val="7"/>
              </w:rPr>
              <w:t>评价等级</w:t>
            </w:r>
          </w:p>
        </w:tc>
        <w:tc>
          <w:tcPr>
            <w:tcW w:w="2975" w:type="dxa"/>
            <w:gridSpan w:val="7"/>
            <w:vAlign w:val="top"/>
          </w:tcPr>
          <w:p w14:paraId="19936858">
            <w:pPr>
              <w:pStyle w:val="6"/>
              <w:spacing w:before="32" w:line="231" w:lineRule="auto"/>
              <w:ind w:left="1221"/>
              <w:rPr>
                <w:rFonts w:ascii="Times New Roman" w:hAnsi="Times New Roman" w:eastAsia="Times New Roman" w:cs="Times New Roman"/>
              </w:rPr>
            </w:pPr>
            <w:r>
              <w:rPr>
                <w:spacing w:val="4"/>
              </w:rPr>
              <w:t>一级</w:t>
            </w:r>
            <w:r>
              <w:rPr>
                <w:rFonts w:ascii="Times New Roman" w:hAnsi="Times New Roman" w:eastAsia="Times New Roman" w:cs="Times New Roman"/>
                <w:spacing w:val="4"/>
              </w:rPr>
              <w:t>□</w:t>
            </w:r>
          </w:p>
        </w:tc>
        <w:tc>
          <w:tcPr>
            <w:tcW w:w="1442" w:type="dxa"/>
            <w:gridSpan w:val="3"/>
            <w:vAlign w:val="top"/>
          </w:tcPr>
          <w:p w14:paraId="18541493">
            <w:pPr>
              <w:pStyle w:val="6"/>
              <w:spacing w:before="32" w:line="231" w:lineRule="auto"/>
              <w:ind w:left="430"/>
              <w:rPr>
                <w:rFonts w:ascii="Times New Roman" w:hAnsi="Times New Roman" w:eastAsia="Times New Roman" w:cs="Times New Roman"/>
              </w:rPr>
            </w:pPr>
            <w:r>
              <w:rPr>
                <w:spacing w:val="4"/>
              </w:rPr>
              <w:t>二级</w:t>
            </w:r>
            <w:r>
              <w:rPr>
                <w:rFonts w:ascii="Times New Roman" w:hAnsi="Times New Roman" w:eastAsia="Times New Roman" w:cs="Times New Roman"/>
                <w:spacing w:val="4"/>
              </w:rPr>
              <w:t>□</w:t>
            </w:r>
          </w:p>
        </w:tc>
        <w:tc>
          <w:tcPr>
            <w:tcW w:w="1356" w:type="dxa"/>
            <w:gridSpan w:val="3"/>
            <w:vAlign w:val="top"/>
          </w:tcPr>
          <w:p w14:paraId="0B684A8F">
            <w:pPr>
              <w:pStyle w:val="6"/>
              <w:spacing w:before="32" w:line="231" w:lineRule="auto"/>
              <w:ind w:left="377"/>
              <w:rPr>
                <w:rFonts w:ascii="Times New Roman" w:hAnsi="Times New Roman" w:eastAsia="Times New Roman" w:cs="Times New Roman"/>
              </w:rPr>
            </w:pPr>
            <w:r>
              <w:rPr>
                <w:spacing w:val="5"/>
              </w:rPr>
              <w:t>三级</w:t>
            </w:r>
            <w:r>
              <w:rPr>
                <w:rFonts w:ascii="Times New Roman" w:hAnsi="Times New Roman" w:eastAsia="Times New Roman" w:cs="Times New Roman"/>
                <w:spacing w:val="5"/>
              </w:rPr>
              <w:t>□</w:t>
            </w:r>
          </w:p>
        </w:tc>
        <w:tc>
          <w:tcPr>
            <w:tcW w:w="1589" w:type="dxa"/>
            <w:gridSpan w:val="3"/>
            <w:vAlign w:val="top"/>
          </w:tcPr>
          <w:p w14:paraId="054B2977">
            <w:pPr>
              <w:pStyle w:val="6"/>
              <w:spacing w:before="25" w:line="230" w:lineRule="auto"/>
              <w:ind w:left="283"/>
            </w:pPr>
            <w:r>
              <w:rPr>
                <w:spacing w:val="6"/>
              </w:rPr>
              <w:t>简单分析</w:t>
            </w:r>
            <w:r>
              <w:rPr>
                <w:position w:val="-4"/>
              </w:rPr>
              <w:drawing>
                <wp:inline distT="0" distB="0" distL="0" distR="0">
                  <wp:extent cx="118110" cy="14668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243"/>
                          <a:stretch>
                            <a:fillRect/>
                          </a:stretch>
                        </pic:blipFill>
                        <pic:spPr>
                          <a:xfrm>
                            <a:off x="0" y="0"/>
                            <a:ext cx="118197" cy="147048"/>
                          </a:xfrm>
                          <a:prstGeom prst="rect">
                            <a:avLst/>
                          </a:prstGeom>
                        </pic:spPr>
                      </pic:pic>
                    </a:graphicData>
                  </a:graphic>
                </wp:inline>
              </w:drawing>
            </w:r>
          </w:p>
        </w:tc>
      </w:tr>
      <w:tr w14:paraId="311E7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restart"/>
            <w:tcBorders>
              <w:bottom w:val="nil"/>
            </w:tcBorders>
            <w:textDirection w:val="tbRlV"/>
            <w:vAlign w:val="top"/>
          </w:tcPr>
          <w:p w14:paraId="7C7D32E5">
            <w:pPr>
              <w:pStyle w:val="6"/>
              <w:spacing w:before="109" w:line="216" w:lineRule="auto"/>
              <w:ind w:left="42"/>
            </w:pPr>
            <w:r>
              <w:rPr>
                <w:spacing w:val="6"/>
              </w:rPr>
              <w:t>风 险 识 别</w:t>
            </w:r>
          </w:p>
        </w:tc>
        <w:tc>
          <w:tcPr>
            <w:tcW w:w="1269" w:type="dxa"/>
            <w:vAlign w:val="top"/>
          </w:tcPr>
          <w:p w14:paraId="31313B6E">
            <w:pPr>
              <w:pStyle w:val="6"/>
              <w:spacing w:before="33" w:line="229" w:lineRule="auto"/>
              <w:ind w:left="113"/>
            </w:pPr>
            <w:r>
              <w:rPr>
                <w:spacing w:val="8"/>
              </w:rPr>
              <w:t>物质危险性</w:t>
            </w:r>
          </w:p>
        </w:tc>
        <w:tc>
          <w:tcPr>
            <w:tcW w:w="2975" w:type="dxa"/>
            <w:gridSpan w:val="7"/>
            <w:vAlign w:val="top"/>
          </w:tcPr>
          <w:p w14:paraId="6C5FDCB7">
            <w:pPr>
              <w:pStyle w:val="6"/>
              <w:spacing w:before="33" w:line="228" w:lineRule="auto"/>
              <w:ind w:left="1010"/>
              <w:rPr>
                <w:rFonts w:ascii="Times New Roman" w:hAnsi="Times New Roman" w:eastAsia="Times New Roman" w:cs="Times New Roman"/>
              </w:rPr>
            </w:pPr>
            <w:r>
              <w:rPr>
                <w:spacing w:val="7"/>
              </w:rPr>
              <w:t>有毒有害</w:t>
            </w:r>
            <w:r>
              <w:rPr>
                <w:rFonts w:ascii="Times New Roman" w:hAnsi="Times New Roman" w:eastAsia="Times New Roman" w:cs="Times New Roman"/>
                <w:spacing w:val="7"/>
              </w:rPr>
              <w:t>□</w:t>
            </w:r>
          </w:p>
        </w:tc>
        <w:tc>
          <w:tcPr>
            <w:tcW w:w="4387" w:type="dxa"/>
            <w:gridSpan w:val="9"/>
            <w:vAlign w:val="top"/>
          </w:tcPr>
          <w:p w14:paraId="3DACFD88">
            <w:pPr>
              <w:pStyle w:val="6"/>
              <w:spacing w:before="32" w:line="227" w:lineRule="auto"/>
              <w:ind w:left="1727"/>
              <w:rPr>
                <w:rFonts w:ascii="Times New Roman" w:hAnsi="Times New Roman" w:eastAsia="Times New Roman" w:cs="Times New Roman"/>
              </w:rPr>
            </w:pPr>
            <w:r>
              <w:rPr>
                <w:spacing w:val="4"/>
              </w:rPr>
              <w:t>易燃易爆</w:t>
            </w:r>
            <w:r>
              <w:rPr>
                <w:rFonts w:ascii="Times New Roman" w:hAnsi="Times New Roman" w:eastAsia="Times New Roman" w:cs="Times New Roman"/>
                <w:spacing w:val="4"/>
              </w:rPr>
              <w:t>□</w:t>
            </w:r>
          </w:p>
        </w:tc>
      </w:tr>
      <w:tr w14:paraId="71820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431" w:type="dxa"/>
            <w:vMerge w:val="continue"/>
            <w:tcBorders>
              <w:top w:val="nil"/>
              <w:bottom w:val="nil"/>
            </w:tcBorders>
            <w:textDirection w:val="tbRlV"/>
            <w:vAlign w:val="top"/>
          </w:tcPr>
          <w:p w14:paraId="43150A03">
            <w:pPr>
              <w:rPr>
                <w:rFonts w:ascii="Arial"/>
                <w:sz w:val="21"/>
              </w:rPr>
            </w:pPr>
          </w:p>
        </w:tc>
        <w:tc>
          <w:tcPr>
            <w:tcW w:w="1269" w:type="dxa"/>
            <w:vAlign w:val="top"/>
          </w:tcPr>
          <w:p w14:paraId="6E42AEFC">
            <w:pPr>
              <w:pStyle w:val="6"/>
              <w:spacing w:before="31" w:line="228" w:lineRule="auto"/>
              <w:ind w:left="113"/>
            </w:pPr>
            <w:r>
              <w:rPr>
                <w:spacing w:val="8"/>
              </w:rPr>
              <w:t>环境风险类</w:t>
            </w:r>
          </w:p>
          <w:p w14:paraId="7B16EB48">
            <w:pPr>
              <w:pStyle w:val="6"/>
              <w:spacing w:before="67" w:line="236" w:lineRule="auto"/>
              <w:ind w:left="540"/>
            </w:pPr>
            <w:r>
              <w:t>型</w:t>
            </w:r>
          </w:p>
        </w:tc>
        <w:tc>
          <w:tcPr>
            <w:tcW w:w="2975" w:type="dxa"/>
            <w:gridSpan w:val="7"/>
            <w:vAlign w:val="top"/>
          </w:tcPr>
          <w:p w14:paraId="7D83FFD6">
            <w:pPr>
              <w:pStyle w:val="6"/>
              <w:spacing w:before="179" w:line="230" w:lineRule="auto"/>
              <w:ind w:left="1192"/>
            </w:pPr>
            <w:r>
              <w:rPr>
                <w:spacing w:val="3"/>
              </w:rPr>
              <w:t>泄漏</w:t>
            </w:r>
            <w:r>
              <w:rPr>
                <w:position w:val="-4"/>
              </w:rPr>
              <w:drawing>
                <wp:inline distT="0" distB="0" distL="0" distR="0">
                  <wp:extent cx="118110" cy="14668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242"/>
                          <a:stretch>
                            <a:fillRect/>
                          </a:stretch>
                        </pic:blipFill>
                        <pic:spPr>
                          <a:xfrm>
                            <a:off x="0" y="0"/>
                            <a:ext cx="118188" cy="147048"/>
                          </a:xfrm>
                          <a:prstGeom prst="rect">
                            <a:avLst/>
                          </a:prstGeom>
                        </pic:spPr>
                      </pic:pic>
                    </a:graphicData>
                  </a:graphic>
                </wp:inline>
              </w:drawing>
            </w:r>
          </w:p>
        </w:tc>
        <w:tc>
          <w:tcPr>
            <w:tcW w:w="4387" w:type="dxa"/>
            <w:gridSpan w:val="9"/>
            <w:vAlign w:val="top"/>
          </w:tcPr>
          <w:p w14:paraId="7D195C92">
            <w:pPr>
              <w:pStyle w:val="6"/>
              <w:spacing w:before="156" w:line="274" w:lineRule="exact"/>
              <w:ind w:left="426"/>
              <w:rPr>
                <w:rFonts w:ascii="Times New Roman" w:hAnsi="Times New Roman" w:eastAsia="Times New Roman" w:cs="Times New Roman"/>
              </w:rPr>
            </w:pPr>
            <w:r>
              <w:rPr>
                <w:spacing w:val="8"/>
                <w:position w:val="1"/>
              </w:rPr>
              <w:t>火灾、爆炸引发伴生</w:t>
            </w:r>
            <w:r>
              <w:rPr>
                <w:rFonts w:ascii="Times New Roman" w:hAnsi="Times New Roman" w:eastAsia="Times New Roman" w:cs="Times New Roman"/>
                <w:spacing w:val="8"/>
                <w:position w:val="1"/>
              </w:rPr>
              <w:t>/</w:t>
            </w:r>
            <w:r>
              <w:rPr>
                <w:spacing w:val="8"/>
                <w:position w:val="1"/>
              </w:rPr>
              <w:t>次生污染物排放</w:t>
            </w:r>
            <w:r>
              <w:rPr>
                <w:rFonts w:ascii="Times New Roman" w:hAnsi="Times New Roman" w:eastAsia="Times New Roman" w:cs="Times New Roman"/>
                <w:spacing w:val="8"/>
                <w:position w:val="1"/>
              </w:rPr>
              <w:t>□</w:t>
            </w:r>
          </w:p>
        </w:tc>
      </w:tr>
      <w:tr w14:paraId="52087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tcBorders>
            <w:textDirection w:val="tbRlV"/>
            <w:vAlign w:val="top"/>
          </w:tcPr>
          <w:p w14:paraId="035EA712">
            <w:pPr>
              <w:rPr>
                <w:rFonts w:ascii="Arial"/>
                <w:sz w:val="21"/>
              </w:rPr>
            </w:pPr>
          </w:p>
        </w:tc>
        <w:tc>
          <w:tcPr>
            <w:tcW w:w="1269" w:type="dxa"/>
            <w:vAlign w:val="top"/>
          </w:tcPr>
          <w:p w14:paraId="2B5433F9">
            <w:pPr>
              <w:pStyle w:val="6"/>
              <w:spacing w:before="35" w:line="228" w:lineRule="auto"/>
              <w:ind w:left="216"/>
            </w:pPr>
            <w:r>
              <w:rPr>
                <w:spacing w:val="7"/>
              </w:rPr>
              <w:t>影响途径</w:t>
            </w:r>
          </w:p>
        </w:tc>
        <w:tc>
          <w:tcPr>
            <w:tcW w:w="2975" w:type="dxa"/>
            <w:gridSpan w:val="7"/>
            <w:vAlign w:val="top"/>
          </w:tcPr>
          <w:p w14:paraId="46708B4D">
            <w:pPr>
              <w:pStyle w:val="6"/>
              <w:spacing w:before="35" w:line="229" w:lineRule="auto"/>
              <w:ind w:left="1220"/>
              <w:rPr>
                <w:rFonts w:ascii="Times New Roman" w:hAnsi="Times New Roman" w:eastAsia="Times New Roman" w:cs="Times New Roman"/>
              </w:rPr>
            </w:pPr>
            <w:r>
              <w:rPr>
                <w:spacing w:val="4"/>
              </w:rPr>
              <w:t>大气</w:t>
            </w:r>
            <w:r>
              <w:rPr>
                <w:rFonts w:ascii="Times New Roman" w:hAnsi="Times New Roman" w:eastAsia="Times New Roman" w:cs="Times New Roman"/>
                <w:spacing w:val="4"/>
              </w:rPr>
              <w:t>□</w:t>
            </w:r>
          </w:p>
        </w:tc>
        <w:tc>
          <w:tcPr>
            <w:tcW w:w="2079" w:type="dxa"/>
            <w:gridSpan w:val="5"/>
            <w:vAlign w:val="top"/>
          </w:tcPr>
          <w:p w14:paraId="7CD3CFD3">
            <w:pPr>
              <w:pStyle w:val="6"/>
              <w:spacing w:before="27" w:line="230" w:lineRule="auto"/>
              <w:ind w:left="638"/>
            </w:pPr>
            <w:r>
              <w:rPr>
                <w:spacing w:val="6"/>
              </w:rPr>
              <w:t>地表水</w:t>
            </w:r>
            <w:r>
              <w:rPr>
                <w:position w:val="-4"/>
              </w:rPr>
              <w:drawing>
                <wp:inline distT="0" distB="0" distL="0" distR="0">
                  <wp:extent cx="118110" cy="14668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244"/>
                          <a:stretch>
                            <a:fillRect/>
                          </a:stretch>
                        </pic:blipFill>
                        <pic:spPr>
                          <a:xfrm>
                            <a:off x="0" y="0"/>
                            <a:ext cx="118196" cy="147048"/>
                          </a:xfrm>
                          <a:prstGeom prst="rect">
                            <a:avLst/>
                          </a:prstGeom>
                        </pic:spPr>
                      </pic:pic>
                    </a:graphicData>
                  </a:graphic>
                </wp:inline>
              </w:drawing>
            </w:r>
          </w:p>
        </w:tc>
        <w:tc>
          <w:tcPr>
            <w:tcW w:w="2308" w:type="dxa"/>
            <w:gridSpan w:val="4"/>
            <w:vAlign w:val="top"/>
          </w:tcPr>
          <w:p w14:paraId="7904E6D5">
            <w:pPr>
              <w:pStyle w:val="6"/>
              <w:spacing w:before="35" w:line="228" w:lineRule="auto"/>
              <w:ind w:left="781"/>
              <w:rPr>
                <w:rFonts w:ascii="Times New Roman" w:hAnsi="Times New Roman" w:eastAsia="Times New Roman" w:cs="Times New Roman"/>
              </w:rPr>
            </w:pPr>
            <w:r>
              <w:rPr>
                <w:spacing w:val="6"/>
              </w:rPr>
              <w:t>地下水</w:t>
            </w:r>
            <w:r>
              <w:rPr>
                <w:rFonts w:ascii="Times New Roman" w:hAnsi="Times New Roman" w:eastAsia="Times New Roman" w:cs="Times New Roman"/>
                <w:spacing w:val="6"/>
              </w:rPr>
              <w:t>□</w:t>
            </w:r>
          </w:p>
        </w:tc>
      </w:tr>
      <w:tr w14:paraId="3D3F1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00" w:type="dxa"/>
            <w:gridSpan w:val="2"/>
            <w:vAlign w:val="top"/>
          </w:tcPr>
          <w:p w14:paraId="0F8627F2">
            <w:pPr>
              <w:pStyle w:val="6"/>
              <w:spacing w:before="33" w:line="229" w:lineRule="auto"/>
              <w:ind w:left="225"/>
            </w:pPr>
            <w:r>
              <w:rPr>
                <w:spacing w:val="8"/>
              </w:rPr>
              <w:t>事故情形分析</w:t>
            </w:r>
          </w:p>
        </w:tc>
        <w:tc>
          <w:tcPr>
            <w:tcW w:w="1487" w:type="dxa"/>
            <w:gridSpan w:val="3"/>
            <w:vAlign w:val="top"/>
          </w:tcPr>
          <w:p w14:paraId="3ED4D36A">
            <w:pPr>
              <w:pStyle w:val="6"/>
              <w:spacing w:before="33" w:line="229" w:lineRule="auto"/>
              <w:ind w:left="115"/>
            </w:pPr>
            <w:r>
              <w:rPr>
                <w:spacing w:val="8"/>
              </w:rPr>
              <w:t>源强设定方法</w:t>
            </w:r>
          </w:p>
        </w:tc>
        <w:tc>
          <w:tcPr>
            <w:tcW w:w="1488" w:type="dxa"/>
            <w:gridSpan w:val="4"/>
            <w:vAlign w:val="top"/>
          </w:tcPr>
          <w:p w14:paraId="4A467A1C">
            <w:pPr>
              <w:pStyle w:val="6"/>
              <w:spacing w:before="33" w:line="228" w:lineRule="auto"/>
              <w:ind w:left="369"/>
              <w:rPr>
                <w:rFonts w:ascii="Times New Roman" w:hAnsi="Times New Roman" w:eastAsia="Times New Roman" w:cs="Times New Roman"/>
              </w:rPr>
            </w:pPr>
            <w:r>
              <w:rPr>
                <w:spacing w:val="7"/>
              </w:rPr>
              <w:t>计算法</w:t>
            </w:r>
            <w:r>
              <w:rPr>
                <w:rFonts w:ascii="Times New Roman" w:hAnsi="Times New Roman" w:eastAsia="Times New Roman" w:cs="Times New Roman"/>
                <w:spacing w:val="7"/>
              </w:rPr>
              <w:t>□</w:t>
            </w:r>
          </w:p>
        </w:tc>
        <w:tc>
          <w:tcPr>
            <w:tcW w:w="2079" w:type="dxa"/>
            <w:gridSpan w:val="5"/>
            <w:vAlign w:val="top"/>
          </w:tcPr>
          <w:p w14:paraId="73E79CAA">
            <w:pPr>
              <w:pStyle w:val="6"/>
              <w:spacing w:before="33" w:line="227" w:lineRule="auto"/>
              <w:ind w:left="460"/>
              <w:rPr>
                <w:rFonts w:ascii="Times New Roman" w:hAnsi="Times New Roman" w:eastAsia="Times New Roman" w:cs="Times New Roman"/>
              </w:rPr>
            </w:pPr>
            <w:r>
              <w:rPr>
                <w:spacing w:val="7"/>
              </w:rPr>
              <w:t>经验估算法</w:t>
            </w:r>
            <w:r>
              <w:rPr>
                <w:rFonts w:ascii="Times New Roman" w:hAnsi="Times New Roman" w:eastAsia="Times New Roman" w:cs="Times New Roman"/>
                <w:spacing w:val="7"/>
              </w:rPr>
              <w:t>□</w:t>
            </w:r>
          </w:p>
        </w:tc>
        <w:tc>
          <w:tcPr>
            <w:tcW w:w="2308" w:type="dxa"/>
            <w:gridSpan w:val="4"/>
            <w:vAlign w:val="top"/>
          </w:tcPr>
          <w:p w14:paraId="62C51B69">
            <w:pPr>
              <w:pStyle w:val="6"/>
              <w:spacing w:before="33" w:line="227" w:lineRule="auto"/>
              <w:ind w:left="571"/>
              <w:rPr>
                <w:rFonts w:ascii="Times New Roman" w:hAnsi="Times New Roman" w:eastAsia="Times New Roman" w:cs="Times New Roman"/>
              </w:rPr>
            </w:pPr>
            <w:r>
              <w:rPr>
                <w:spacing w:val="7"/>
              </w:rPr>
              <w:t>其他估算法</w:t>
            </w:r>
            <w:r>
              <w:rPr>
                <w:rFonts w:ascii="Times New Roman" w:hAnsi="Times New Roman" w:eastAsia="Times New Roman" w:cs="Times New Roman"/>
                <w:spacing w:val="7"/>
              </w:rPr>
              <w:t>□</w:t>
            </w:r>
          </w:p>
        </w:tc>
      </w:tr>
      <w:tr w14:paraId="7CBEB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31" w:type="dxa"/>
            <w:vMerge w:val="restart"/>
            <w:tcBorders>
              <w:bottom w:val="nil"/>
            </w:tcBorders>
            <w:textDirection w:val="tbRlV"/>
            <w:vAlign w:val="top"/>
          </w:tcPr>
          <w:p w14:paraId="46F4F154">
            <w:pPr>
              <w:pStyle w:val="6"/>
              <w:spacing w:before="109" w:line="215" w:lineRule="auto"/>
              <w:ind w:left="34"/>
            </w:pPr>
            <w:r>
              <w:rPr>
                <w:spacing w:val="6"/>
              </w:rPr>
              <w:t>风 险 预 测 与 评 价</w:t>
            </w:r>
          </w:p>
        </w:tc>
        <w:tc>
          <w:tcPr>
            <w:tcW w:w="1269" w:type="dxa"/>
            <w:vMerge w:val="restart"/>
            <w:tcBorders>
              <w:bottom w:val="nil"/>
            </w:tcBorders>
            <w:vAlign w:val="top"/>
          </w:tcPr>
          <w:p w14:paraId="7A8D3D5C">
            <w:pPr>
              <w:spacing w:line="289" w:lineRule="auto"/>
              <w:rPr>
                <w:rFonts w:ascii="Arial"/>
                <w:sz w:val="21"/>
              </w:rPr>
            </w:pPr>
          </w:p>
          <w:p w14:paraId="32F40335">
            <w:pPr>
              <w:pStyle w:val="6"/>
              <w:spacing w:before="65" w:line="229" w:lineRule="auto"/>
              <w:ind w:left="430"/>
            </w:pPr>
            <w:r>
              <w:rPr>
                <w:spacing w:val="3"/>
              </w:rPr>
              <w:t>大气</w:t>
            </w:r>
          </w:p>
        </w:tc>
        <w:tc>
          <w:tcPr>
            <w:tcW w:w="1487" w:type="dxa"/>
            <w:gridSpan w:val="3"/>
            <w:vAlign w:val="top"/>
          </w:tcPr>
          <w:p w14:paraId="254E2555">
            <w:pPr>
              <w:pStyle w:val="6"/>
              <w:spacing w:before="34" w:line="228" w:lineRule="auto"/>
              <w:ind w:left="329"/>
            </w:pPr>
            <w:r>
              <w:rPr>
                <w:spacing w:val="6"/>
              </w:rPr>
              <w:t>预测模型</w:t>
            </w:r>
          </w:p>
        </w:tc>
        <w:tc>
          <w:tcPr>
            <w:tcW w:w="1488" w:type="dxa"/>
            <w:gridSpan w:val="4"/>
            <w:vAlign w:val="top"/>
          </w:tcPr>
          <w:p w14:paraId="0908B451">
            <w:pPr>
              <w:spacing w:before="72" w:line="195"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SLAB</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8"/>
                <w:sz w:val="20"/>
                <w:szCs w:val="20"/>
              </w:rPr>
              <w:t>□</w:t>
            </w:r>
          </w:p>
        </w:tc>
        <w:tc>
          <w:tcPr>
            <w:tcW w:w="2079" w:type="dxa"/>
            <w:gridSpan w:val="5"/>
            <w:vAlign w:val="top"/>
          </w:tcPr>
          <w:p w14:paraId="34A1788C">
            <w:pPr>
              <w:spacing w:before="72" w:line="195"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AFTOX</w:t>
            </w:r>
            <w:r>
              <w:rPr>
                <w:rFonts w:ascii="Times New Roman" w:hAnsi="Times New Roman" w:eastAsia="Times New Roman" w:cs="Times New Roman"/>
                <w:spacing w:val="17"/>
                <w:w w:val="101"/>
                <w:sz w:val="20"/>
                <w:szCs w:val="20"/>
              </w:rPr>
              <w:t xml:space="preserve"> </w:t>
            </w:r>
            <w:r>
              <w:rPr>
                <w:rFonts w:ascii="Times New Roman" w:hAnsi="Times New Roman" w:eastAsia="Times New Roman" w:cs="Times New Roman"/>
                <w:spacing w:val="27"/>
                <w:sz w:val="20"/>
                <w:szCs w:val="20"/>
              </w:rPr>
              <w:t>□</w:t>
            </w:r>
          </w:p>
        </w:tc>
        <w:tc>
          <w:tcPr>
            <w:tcW w:w="2308" w:type="dxa"/>
            <w:gridSpan w:val="4"/>
            <w:vAlign w:val="top"/>
          </w:tcPr>
          <w:p w14:paraId="4F350C12">
            <w:pPr>
              <w:pStyle w:val="6"/>
              <w:spacing w:before="34" w:line="229" w:lineRule="auto"/>
              <w:ind w:left="835"/>
              <w:rPr>
                <w:rFonts w:ascii="Times New Roman" w:hAnsi="Times New Roman" w:eastAsia="Times New Roman" w:cs="Times New Roman"/>
              </w:rPr>
            </w:pPr>
            <w:r>
              <w:rPr>
                <w:spacing w:val="2"/>
              </w:rPr>
              <w:t>其他</w:t>
            </w:r>
            <w:r>
              <w:rPr>
                <w:spacing w:val="22"/>
              </w:rPr>
              <w:t xml:space="preserve"> </w:t>
            </w:r>
            <w:r>
              <w:rPr>
                <w:rFonts w:ascii="Times New Roman" w:hAnsi="Times New Roman" w:eastAsia="Times New Roman" w:cs="Times New Roman"/>
                <w:spacing w:val="2"/>
              </w:rPr>
              <w:t>□</w:t>
            </w:r>
          </w:p>
        </w:tc>
      </w:tr>
      <w:tr w14:paraId="25B57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bottom w:val="nil"/>
            </w:tcBorders>
            <w:textDirection w:val="tbRlV"/>
            <w:vAlign w:val="top"/>
          </w:tcPr>
          <w:p w14:paraId="3DE9FD3F">
            <w:pPr>
              <w:rPr>
                <w:rFonts w:ascii="Arial"/>
                <w:sz w:val="21"/>
              </w:rPr>
            </w:pPr>
          </w:p>
        </w:tc>
        <w:tc>
          <w:tcPr>
            <w:tcW w:w="1269" w:type="dxa"/>
            <w:vMerge w:val="continue"/>
            <w:tcBorders>
              <w:top w:val="nil"/>
              <w:bottom w:val="nil"/>
            </w:tcBorders>
            <w:vAlign w:val="top"/>
          </w:tcPr>
          <w:p w14:paraId="04FF8DC2">
            <w:pPr>
              <w:rPr>
                <w:rFonts w:ascii="Arial"/>
                <w:sz w:val="21"/>
              </w:rPr>
            </w:pPr>
          </w:p>
        </w:tc>
        <w:tc>
          <w:tcPr>
            <w:tcW w:w="1487" w:type="dxa"/>
            <w:gridSpan w:val="3"/>
            <w:vMerge w:val="restart"/>
            <w:tcBorders>
              <w:bottom w:val="nil"/>
            </w:tcBorders>
            <w:vAlign w:val="top"/>
          </w:tcPr>
          <w:p w14:paraId="1D832E6E">
            <w:pPr>
              <w:pStyle w:val="6"/>
              <w:spacing w:before="195" w:line="229" w:lineRule="auto"/>
              <w:ind w:left="332"/>
            </w:pPr>
            <w:r>
              <w:rPr>
                <w:spacing w:val="6"/>
              </w:rPr>
              <w:t>预测结果</w:t>
            </w:r>
          </w:p>
        </w:tc>
        <w:tc>
          <w:tcPr>
            <w:tcW w:w="5875" w:type="dxa"/>
            <w:gridSpan w:val="13"/>
            <w:vAlign w:val="top"/>
          </w:tcPr>
          <w:p w14:paraId="55C8AE9C">
            <w:pPr>
              <w:pStyle w:val="6"/>
              <w:spacing w:before="3" w:line="274" w:lineRule="exact"/>
              <w:ind w:left="1099"/>
              <w:rPr>
                <w:rFonts w:ascii="Times New Roman" w:hAnsi="Times New Roman" w:eastAsia="Times New Roman" w:cs="Times New Roman"/>
              </w:rPr>
            </w:pPr>
            <w:r>
              <w:rPr>
                <w:spacing w:val="7"/>
                <w:position w:val="2"/>
              </w:rPr>
              <w:t>大气毒性终点浓度</w:t>
            </w:r>
            <w:r>
              <w:rPr>
                <w:rFonts w:ascii="Times New Roman" w:hAnsi="Times New Roman" w:eastAsia="Times New Roman" w:cs="Times New Roman"/>
                <w:spacing w:val="7"/>
                <w:position w:val="2"/>
              </w:rPr>
              <w:t xml:space="preserve">-1  </w:t>
            </w:r>
            <w:r>
              <w:rPr>
                <w:spacing w:val="7"/>
                <w:position w:val="2"/>
              </w:rPr>
              <w:t>最大影响范围</w:t>
            </w:r>
            <w:r>
              <w:rPr>
                <w:rFonts w:ascii="Times New Roman" w:hAnsi="Times New Roman" w:eastAsia="Times New Roman" w:cs="Times New Roman"/>
                <w:spacing w:val="7"/>
                <w:position w:val="2"/>
              </w:rPr>
              <w:t>___m</w:t>
            </w:r>
          </w:p>
        </w:tc>
      </w:tr>
      <w:tr w14:paraId="2C2FD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bottom w:val="nil"/>
            </w:tcBorders>
            <w:textDirection w:val="tbRlV"/>
            <w:vAlign w:val="top"/>
          </w:tcPr>
          <w:p w14:paraId="375A530F">
            <w:pPr>
              <w:rPr>
                <w:rFonts w:ascii="Arial"/>
                <w:sz w:val="21"/>
              </w:rPr>
            </w:pPr>
          </w:p>
        </w:tc>
        <w:tc>
          <w:tcPr>
            <w:tcW w:w="1269" w:type="dxa"/>
            <w:vMerge w:val="continue"/>
            <w:tcBorders>
              <w:top w:val="nil"/>
            </w:tcBorders>
            <w:vAlign w:val="top"/>
          </w:tcPr>
          <w:p w14:paraId="3CB36ADF">
            <w:pPr>
              <w:rPr>
                <w:rFonts w:ascii="Arial"/>
                <w:sz w:val="21"/>
              </w:rPr>
            </w:pPr>
          </w:p>
        </w:tc>
        <w:tc>
          <w:tcPr>
            <w:tcW w:w="1487" w:type="dxa"/>
            <w:gridSpan w:val="3"/>
            <w:vMerge w:val="continue"/>
            <w:tcBorders>
              <w:top w:val="nil"/>
            </w:tcBorders>
            <w:vAlign w:val="top"/>
          </w:tcPr>
          <w:p w14:paraId="277666A3">
            <w:pPr>
              <w:rPr>
                <w:rFonts w:ascii="Arial"/>
                <w:sz w:val="21"/>
              </w:rPr>
            </w:pPr>
          </w:p>
        </w:tc>
        <w:tc>
          <w:tcPr>
            <w:tcW w:w="5875" w:type="dxa"/>
            <w:gridSpan w:val="13"/>
            <w:vAlign w:val="top"/>
          </w:tcPr>
          <w:p w14:paraId="0D8448A2">
            <w:pPr>
              <w:pStyle w:val="6"/>
              <w:spacing w:before="2" w:line="274" w:lineRule="exact"/>
              <w:ind w:left="1125"/>
              <w:rPr>
                <w:rFonts w:ascii="Times New Roman" w:hAnsi="Times New Roman" w:eastAsia="Times New Roman" w:cs="Times New Roman"/>
              </w:rPr>
            </w:pPr>
            <w:r>
              <w:rPr>
                <w:spacing w:val="7"/>
                <w:position w:val="2"/>
              </w:rPr>
              <w:t>大气毒性终点浓度</w:t>
            </w:r>
            <w:r>
              <w:rPr>
                <w:rFonts w:ascii="Times New Roman" w:hAnsi="Times New Roman" w:eastAsia="Times New Roman" w:cs="Times New Roman"/>
                <w:spacing w:val="7"/>
                <w:position w:val="2"/>
              </w:rPr>
              <w:t xml:space="preserve">-2 </w:t>
            </w:r>
            <w:r>
              <w:rPr>
                <w:spacing w:val="7"/>
                <w:position w:val="2"/>
              </w:rPr>
              <w:t>最大影响范围</w:t>
            </w:r>
            <w:r>
              <w:rPr>
                <w:rFonts w:ascii="Times New Roman" w:hAnsi="Times New Roman" w:eastAsia="Times New Roman" w:cs="Times New Roman"/>
                <w:spacing w:val="7"/>
                <w:position w:val="2"/>
              </w:rPr>
              <w:t>___m</w:t>
            </w:r>
          </w:p>
        </w:tc>
      </w:tr>
      <w:tr w14:paraId="707D1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bottom w:val="nil"/>
            </w:tcBorders>
            <w:textDirection w:val="tbRlV"/>
            <w:vAlign w:val="top"/>
          </w:tcPr>
          <w:p w14:paraId="364C1201">
            <w:pPr>
              <w:rPr>
                <w:rFonts w:ascii="Arial"/>
                <w:sz w:val="21"/>
              </w:rPr>
            </w:pPr>
          </w:p>
        </w:tc>
        <w:tc>
          <w:tcPr>
            <w:tcW w:w="1269" w:type="dxa"/>
            <w:vAlign w:val="top"/>
          </w:tcPr>
          <w:p w14:paraId="682F08CC">
            <w:pPr>
              <w:pStyle w:val="6"/>
              <w:spacing w:before="34" w:line="228" w:lineRule="auto"/>
              <w:ind w:left="322"/>
            </w:pPr>
            <w:r>
              <w:rPr>
                <w:spacing w:val="6"/>
              </w:rPr>
              <w:t>地表水</w:t>
            </w:r>
          </w:p>
        </w:tc>
        <w:tc>
          <w:tcPr>
            <w:tcW w:w="7362" w:type="dxa"/>
            <w:gridSpan w:val="16"/>
            <w:vAlign w:val="top"/>
          </w:tcPr>
          <w:p w14:paraId="0C84D92D">
            <w:pPr>
              <w:pStyle w:val="6"/>
              <w:spacing w:before="3" w:line="274" w:lineRule="exact"/>
              <w:ind w:left="1955"/>
              <w:rPr>
                <w:rFonts w:ascii="Times New Roman" w:hAnsi="Times New Roman" w:eastAsia="Times New Roman" w:cs="Times New Roman"/>
              </w:rPr>
            </w:pPr>
            <w:r>
              <w:rPr>
                <w:spacing w:val="7"/>
                <w:position w:val="2"/>
              </w:rPr>
              <w:t>最近环境敏感目标</w:t>
            </w:r>
            <w:r>
              <w:rPr>
                <w:rFonts w:ascii="Times New Roman" w:hAnsi="Times New Roman" w:eastAsia="Times New Roman" w:cs="Times New Roman"/>
                <w:spacing w:val="7"/>
                <w:position w:val="2"/>
              </w:rPr>
              <w:t>___</w:t>
            </w:r>
            <w:r>
              <w:rPr>
                <w:spacing w:val="7"/>
                <w:position w:val="2"/>
              </w:rPr>
              <w:t>，到达时间</w:t>
            </w:r>
            <w:r>
              <w:rPr>
                <w:rFonts w:ascii="Times New Roman" w:hAnsi="Times New Roman" w:eastAsia="Times New Roman" w:cs="Times New Roman"/>
                <w:spacing w:val="7"/>
                <w:position w:val="2"/>
              </w:rPr>
              <w:t>___h</w:t>
            </w:r>
          </w:p>
        </w:tc>
      </w:tr>
      <w:tr w14:paraId="65D3F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431" w:type="dxa"/>
            <w:vMerge w:val="continue"/>
            <w:tcBorders>
              <w:top w:val="nil"/>
              <w:bottom w:val="nil"/>
            </w:tcBorders>
            <w:textDirection w:val="tbRlV"/>
            <w:vAlign w:val="top"/>
          </w:tcPr>
          <w:p w14:paraId="75A5059B">
            <w:pPr>
              <w:rPr>
                <w:rFonts w:ascii="Arial"/>
                <w:sz w:val="21"/>
              </w:rPr>
            </w:pPr>
          </w:p>
        </w:tc>
        <w:tc>
          <w:tcPr>
            <w:tcW w:w="1269" w:type="dxa"/>
            <w:vMerge w:val="restart"/>
            <w:tcBorders>
              <w:bottom w:val="nil"/>
            </w:tcBorders>
            <w:vAlign w:val="top"/>
          </w:tcPr>
          <w:p w14:paraId="6FF037A0">
            <w:pPr>
              <w:spacing w:line="259" w:lineRule="auto"/>
              <w:rPr>
                <w:rFonts w:ascii="Arial"/>
                <w:sz w:val="21"/>
              </w:rPr>
            </w:pPr>
          </w:p>
          <w:p w14:paraId="4F5DC8A7">
            <w:pPr>
              <w:pStyle w:val="6"/>
              <w:spacing w:before="65" w:line="228" w:lineRule="auto"/>
              <w:ind w:left="322"/>
            </w:pPr>
            <w:r>
              <w:rPr>
                <w:spacing w:val="6"/>
              </w:rPr>
              <w:t>地下水</w:t>
            </w:r>
          </w:p>
        </w:tc>
        <w:tc>
          <w:tcPr>
            <w:tcW w:w="7362" w:type="dxa"/>
            <w:gridSpan w:val="16"/>
            <w:vAlign w:val="top"/>
          </w:tcPr>
          <w:p w14:paraId="1F5388AA">
            <w:pPr>
              <w:pStyle w:val="6"/>
              <w:spacing w:before="4" w:line="274" w:lineRule="exact"/>
              <w:ind w:left="2432"/>
              <w:rPr>
                <w:rFonts w:ascii="Times New Roman" w:hAnsi="Times New Roman" w:eastAsia="Times New Roman" w:cs="Times New Roman"/>
              </w:rPr>
            </w:pPr>
            <w:r>
              <w:rPr>
                <w:spacing w:val="7"/>
                <w:position w:val="2"/>
              </w:rPr>
              <w:t>下游厂区边界到达时间</w:t>
            </w:r>
            <w:r>
              <w:rPr>
                <w:rFonts w:ascii="Times New Roman" w:hAnsi="Times New Roman" w:eastAsia="Times New Roman" w:cs="Times New Roman"/>
                <w:spacing w:val="7"/>
                <w:position w:val="2"/>
              </w:rPr>
              <w:t>___d</w:t>
            </w:r>
          </w:p>
        </w:tc>
      </w:tr>
      <w:tr w14:paraId="0B835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431" w:type="dxa"/>
            <w:vMerge w:val="continue"/>
            <w:tcBorders>
              <w:top w:val="nil"/>
            </w:tcBorders>
            <w:textDirection w:val="tbRlV"/>
            <w:vAlign w:val="top"/>
          </w:tcPr>
          <w:p w14:paraId="5667696B">
            <w:pPr>
              <w:rPr>
                <w:rFonts w:ascii="Arial"/>
                <w:sz w:val="21"/>
              </w:rPr>
            </w:pPr>
          </w:p>
        </w:tc>
        <w:tc>
          <w:tcPr>
            <w:tcW w:w="1269" w:type="dxa"/>
            <w:vMerge w:val="continue"/>
            <w:tcBorders>
              <w:top w:val="nil"/>
            </w:tcBorders>
            <w:vAlign w:val="top"/>
          </w:tcPr>
          <w:p w14:paraId="50E0859E">
            <w:pPr>
              <w:rPr>
                <w:rFonts w:ascii="Arial"/>
                <w:sz w:val="21"/>
              </w:rPr>
            </w:pPr>
          </w:p>
        </w:tc>
        <w:tc>
          <w:tcPr>
            <w:tcW w:w="7362" w:type="dxa"/>
            <w:gridSpan w:val="16"/>
            <w:vAlign w:val="top"/>
          </w:tcPr>
          <w:p w14:paraId="0C2E6B61">
            <w:pPr>
              <w:pStyle w:val="6"/>
              <w:spacing w:before="134" w:line="275" w:lineRule="exact"/>
              <w:ind w:left="1955"/>
              <w:rPr>
                <w:rFonts w:ascii="Times New Roman" w:hAnsi="Times New Roman" w:eastAsia="Times New Roman" w:cs="Times New Roman"/>
              </w:rPr>
            </w:pPr>
            <w:r>
              <w:rPr>
                <w:spacing w:val="7"/>
                <w:position w:val="2"/>
              </w:rPr>
              <w:t>最近环境敏感目标</w:t>
            </w:r>
            <w:r>
              <w:rPr>
                <w:rFonts w:ascii="Times New Roman" w:hAnsi="Times New Roman" w:eastAsia="Times New Roman" w:cs="Times New Roman"/>
                <w:spacing w:val="7"/>
                <w:position w:val="2"/>
              </w:rPr>
              <w:t>___</w:t>
            </w:r>
            <w:r>
              <w:rPr>
                <w:spacing w:val="7"/>
                <w:position w:val="2"/>
              </w:rPr>
              <w:t>，到达时间</w:t>
            </w:r>
            <w:r>
              <w:rPr>
                <w:rFonts w:ascii="Times New Roman" w:hAnsi="Times New Roman" w:eastAsia="Times New Roman" w:cs="Times New Roman"/>
                <w:spacing w:val="7"/>
                <w:position w:val="2"/>
              </w:rPr>
              <w:t>___d</w:t>
            </w:r>
          </w:p>
        </w:tc>
      </w:tr>
      <w:tr w14:paraId="65E75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8" w:hRule="atLeast"/>
        </w:trPr>
        <w:tc>
          <w:tcPr>
            <w:tcW w:w="1700" w:type="dxa"/>
            <w:gridSpan w:val="2"/>
            <w:vAlign w:val="top"/>
          </w:tcPr>
          <w:p w14:paraId="2F1432DD">
            <w:pPr>
              <w:spacing w:line="266" w:lineRule="auto"/>
              <w:rPr>
                <w:rFonts w:ascii="Arial"/>
                <w:sz w:val="21"/>
              </w:rPr>
            </w:pPr>
          </w:p>
          <w:p w14:paraId="798CCEC9">
            <w:pPr>
              <w:spacing w:line="266" w:lineRule="auto"/>
              <w:rPr>
                <w:rFonts w:ascii="Arial"/>
                <w:sz w:val="21"/>
              </w:rPr>
            </w:pPr>
          </w:p>
          <w:p w14:paraId="65C9B79A">
            <w:pPr>
              <w:spacing w:line="267" w:lineRule="auto"/>
              <w:rPr>
                <w:rFonts w:ascii="Arial"/>
                <w:sz w:val="21"/>
              </w:rPr>
            </w:pPr>
          </w:p>
          <w:p w14:paraId="60E03563">
            <w:pPr>
              <w:spacing w:line="267" w:lineRule="auto"/>
              <w:rPr>
                <w:rFonts w:ascii="Arial"/>
                <w:sz w:val="21"/>
              </w:rPr>
            </w:pPr>
          </w:p>
          <w:p w14:paraId="192BAE90">
            <w:pPr>
              <w:spacing w:line="267" w:lineRule="auto"/>
              <w:rPr>
                <w:rFonts w:ascii="Arial"/>
                <w:sz w:val="21"/>
              </w:rPr>
            </w:pPr>
          </w:p>
          <w:p w14:paraId="4A768D1D">
            <w:pPr>
              <w:pStyle w:val="6"/>
              <w:spacing w:before="65" w:line="291" w:lineRule="auto"/>
              <w:ind w:left="749" w:right="114" w:hanging="629"/>
            </w:pPr>
            <w:r>
              <w:rPr>
                <w:spacing w:val="8"/>
              </w:rPr>
              <w:t>重点风险防范措</w:t>
            </w:r>
            <w:r>
              <w:rPr>
                <w:spacing w:val="2"/>
              </w:rPr>
              <w:t xml:space="preserve"> </w:t>
            </w:r>
            <w:r>
              <w:rPr>
                <w:spacing w:val="1"/>
              </w:rPr>
              <w:t>施</w:t>
            </w:r>
          </w:p>
        </w:tc>
        <w:tc>
          <w:tcPr>
            <w:tcW w:w="7362" w:type="dxa"/>
            <w:gridSpan w:val="16"/>
            <w:vAlign w:val="top"/>
          </w:tcPr>
          <w:p w14:paraId="2B9F3FF9">
            <w:pPr>
              <w:pStyle w:val="6"/>
              <w:spacing w:before="30" w:line="274" w:lineRule="exact"/>
              <w:ind w:left="122"/>
            </w:pPr>
            <w:r>
              <w:rPr>
                <w:spacing w:val="8"/>
                <w:position w:val="1"/>
              </w:rPr>
              <w:t>（</w:t>
            </w:r>
            <w:r>
              <w:rPr>
                <w:rFonts w:ascii="Times New Roman" w:hAnsi="Times New Roman" w:eastAsia="Times New Roman" w:cs="Times New Roman"/>
                <w:spacing w:val="8"/>
                <w:position w:val="1"/>
              </w:rPr>
              <w:t>1</w:t>
            </w:r>
            <w:r>
              <w:rPr>
                <w:spacing w:val="8"/>
                <w:position w:val="1"/>
              </w:rPr>
              <w:t>）粪污事故排放风险防范措施</w:t>
            </w:r>
          </w:p>
          <w:p w14:paraId="702A65F5">
            <w:pPr>
              <w:pStyle w:val="6"/>
              <w:spacing w:before="83" w:line="301" w:lineRule="auto"/>
              <w:ind w:left="112" w:right="108" w:firstLine="2"/>
            </w:pPr>
            <w:r>
              <w:rPr>
                <w:spacing w:val="10"/>
              </w:rPr>
              <w:t>设置事故应急池；在生产区边界预先准备适量的沙包，在场</w:t>
            </w:r>
            <w:r>
              <w:rPr>
                <w:spacing w:val="9"/>
              </w:rPr>
              <w:t>界围墙有泄漏的地</w:t>
            </w:r>
            <w:r>
              <w:t xml:space="preserve"> </w:t>
            </w:r>
            <w:r>
              <w:rPr>
                <w:spacing w:val="10"/>
              </w:rPr>
              <w:t>方进行封堵，防止事故排放粪污向场外泄漏；在生产区和沼气池</w:t>
            </w:r>
            <w:r>
              <w:rPr>
                <w:spacing w:val="9"/>
              </w:rPr>
              <w:t>四周设置环形</w:t>
            </w:r>
            <w:r>
              <w:t xml:space="preserve"> </w:t>
            </w:r>
            <w:r>
              <w:rPr>
                <w:spacing w:val="10"/>
              </w:rPr>
              <w:t>的事故截流沟；对粪污处理系统应定期巡检、调节、保养、维修</w:t>
            </w:r>
            <w:r>
              <w:rPr>
                <w:spacing w:val="9"/>
              </w:rPr>
              <w:t>，及时发现可</w:t>
            </w:r>
            <w:r>
              <w:t xml:space="preserve"> </w:t>
            </w:r>
            <w:r>
              <w:rPr>
                <w:spacing w:val="8"/>
              </w:rPr>
              <w:t>能引起事故的异常运行苗头，消除事故隐患；</w:t>
            </w:r>
          </w:p>
          <w:p w14:paraId="0891A234">
            <w:pPr>
              <w:pStyle w:val="6"/>
              <w:spacing w:before="48" w:line="275" w:lineRule="exact"/>
              <w:ind w:left="122"/>
            </w:pPr>
            <w:r>
              <w:rPr>
                <w:spacing w:val="8"/>
                <w:position w:val="1"/>
              </w:rPr>
              <w:t>（</w:t>
            </w:r>
            <w:r>
              <w:rPr>
                <w:rFonts w:ascii="Times New Roman" w:hAnsi="Times New Roman" w:eastAsia="Times New Roman" w:cs="Times New Roman"/>
                <w:spacing w:val="8"/>
                <w:position w:val="1"/>
              </w:rPr>
              <w:t>2</w:t>
            </w:r>
            <w:r>
              <w:rPr>
                <w:spacing w:val="8"/>
                <w:position w:val="1"/>
              </w:rPr>
              <w:t>）动物疫情事故风险防范措施</w:t>
            </w:r>
          </w:p>
          <w:p w14:paraId="01DFC589">
            <w:pPr>
              <w:pStyle w:val="6"/>
              <w:spacing w:before="242" w:line="453" w:lineRule="auto"/>
              <w:ind w:left="128" w:right="115" w:hanging="16"/>
            </w:pPr>
            <w:r>
              <w:rPr>
                <w:spacing w:val="10"/>
              </w:rPr>
              <w:t>提高员工专业素质，增强防病观念；做好卫生管</w:t>
            </w:r>
            <w:r>
              <w:rPr>
                <w:spacing w:val="9"/>
              </w:rPr>
              <w:t>理和环境消毒；药物防疫；猪</w:t>
            </w:r>
            <w:r>
              <w:t xml:space="preserve"> </w:t>
            </w:r>
            <w:r>
              <w:rPr>
                <w:spacing w:val="8"/>
              </w:rPr>
              <w:t>的免疫接种；建立疫病报告制度；妥善处理病死猪尸体处置。</w:t>
            </w:r>
          </w:p>
        </w:tc>
      </w:tr>
      <w:tr w14:paraId="1199A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700" w:type="dxa"/>
            <w:gridSpan w:val="2"/>
            <w:vAlign w:val="top"/>
          </w:tcPr>
          <w:p w14:paraId="01F6CFD0">
            <w:pPr>
              <w:pStyle w:val="6"/>
              <w:spacing w:before="35" w:line="227" w:lineRule="auto"/>
              <w:ind w:left="119"/>
            </w:pPr>
            <w:r>
              <w:rPr>
                <w:spacing w:val="8"/>
              </w:rPr>
              <w:t>评价结论与建议</w:t>
            </w:r>
          </w:p>
        </w:tc>
        <w:tc>
          <w:tcPr>
            <w:tcW w:w="7362" w:type="dxa"/>
            <w:gridSpan w:val="16"/>
            <w:vAlign w:val="top"/>
          </w:tcPr>
          <w:p w14:paraId="22476E88">
            <w:pPr>
              <w:pStyle w:val="6"/>
              <w:spacing w:before="36" w:line="228" w:lineRule="auto"/>
              <w:ind w:left="117"/>
            </w:pPr>
            <w:r>
              <w:rPr>
                <w:spacing w:val="10"/>
              </w:rPr>
              <w:t>该项目建成后，存在发生风险事故的可能，</w:t>
            </w:r>
            <w:r>
              <w:rPr>
                <w:spacing w:val="9"/>
              </w:rPr>
              <w:t>加强风险管理后概率较低，且由于</w:t>
            </w:r>
          </w:p>
        </w:tc>
      </w:tr>
    </w:tbl>
    <w:p w14:paraId="1A2996B7">
      <w:pPr>
        <w:pStyle w:val="2"/>
        <w:spacing w:line="104" w:lineRule="exact"/>
        <w:rPr>
          <w:sz w:val="9"/>
        </w:rPr>
      </w:pPr>
    </w:p>
    <w:p w14:paraId="3BC2D5A5">
      <w:pPr>
        <w:spacing w:line="104" w:lineRule="exact"/>
        <w:rPr>
          <w:sz w:val="9"/>
          <w:szCs w:val="9"/>
        </w:rPr>
        <w:sectPr>
          <w:footerReference r:id="rId189" w:type="default"/>
          <w:pgSz w:w="11906" w:h="16839"/>
          <w:pgMar w:top="400" w:right="1419" w:bottom="1485" w:left="1419" w:header="0" w:footer="1249" w:gutter="0"/>
          <w:cols w:space="720" w:num="1"/>
        </w:sectPr>
      </w:pPr>
    </w:p>
    <w:p w14:paraId="7A85E1BA">
      <w:pPr>
        <w:spacing w:before="13"/>
      </w:pPr>
    </w:p>
    <w:p w14:paraId="749A241A">
      <w:pPr>
        <w:spacing w:before="13"/>
      </w:pPr>
    </w:p>
    <w:p w14:paraId="15F05299">
      <w:pPr>
        <w:spacing w:before="13"/>
      </w:pPr>
    </w:p>
    <w:p w14:paraId="185207FC">
      <w:pPr>
        <w:spacing w:before="13"/>
      </w:pPr>
    </w:p>
    <w:tbl>
      <w:tblPr>
        <w:tblStyle w:val="5"/>
        <w:tblW w:w="90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0"/>
        <w:gridCol w:w="7362"/>
      </w:tblGrid>
      <w:tr w14:paraId="217B9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700" w:type="dxa"/>
            <w:vAlign w:val="top"/>
          </w:tcPr>
          <w:p w14:paraId="6CEC29F7">
            <w:pPr>
              <w:rPr>
                <w:rFonts w:ascii="Arial"/>
                <w:sz w:val="21"/>
              </w:rPr>
            </w:pPr>
          </w:p>
        </w:tc>
        <w:tc>
          <w:tcPr>
            <w:tcW w:w="7362" w:type="dxa"/>
            <w:vAlign w:val="top"/>
          </w:tcPr>
          <w:p w14:paraId="4D8551A0">
            <w:pPr>
              <w:pStyle w:val="6"/>
              <w:spacing w:before="35" w:line="228" w:lineRule="auto"/>
              <w:ind w:left="115"/>
            </w:pPr>
            <w:r>
              <w:rPr>
                <w:spacing w:val="10"/>
              </w:rPr>
              <w:t>其不属于重大危险源，发生环境风险事故的后果</w:t>
            </w:r>
            <w:r>
              <w:rPr>
                <w:spacing w:val="9"/>
              </w:rPr>
              <w:t>在可以接受的范围内。通过加</w:t>
            </w:r>
          </w:p>
          <w:p w14:paraId="4E2D44A5">
            <w:pPr>
              <w:pStyle w:val="6"/>
              <w:spacing w:before="67" w:line="228" w:lineRule="auto"/>
              <w:ind w:left="119"/>
            </w:pPr>
            <w:r>
              <w:rPr>
                <w:spacing w:val="9"/>
              </w:rPr>
              <w:t>强防范措施及配备相应的应急预案，可以最大程度的减少风险事故的发生以及</w:t>
            </w:r>
          </w:p>
          <w:p w14:paraId="7EB2B498">
            <w:pPr>
              <w:pStyle w:val="6"/>
              <w:spacing w:before="64" w:line="228" w:lineRule="auto"/>
              <w:ind w:left="1375"/>
            </w:pPr>
            <w:r>
              <w:rPr>
                <w:spacing w:val="9"/>
              </w:rPr>
              <w:t>风险事故发生时造成的对环境和人身安全的伤害。</w:t>
            </w:r>
          </w:p>
        </w:tc>
      </w:tr>
      <w:tr w14:paraId="46FE9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9062" w:type="dxa"/>
            <w:gridSpan w:val="2"/>
            <w:vAlign w:val="top"/>
          </w:tcPr>
          <w:p w14:paraId="013BAED5">
            <w:pPr>
              <w:pStyle w:val="6"/>
              <w:spacing w:before="61" w:line="221" w:lineRule="auto"/>
              <w:ind w:left="3057"/>
            </w:pPr>
            <w:r>
              <w:rPr>
                <w:spacing w:val="6"/>
              </w:rPr>
              <w:t>注：</w:t>
            </w:r>
            <w:r>
              <w:rPr>
                <w:rFonts w:ascii="Times New Roman" w:hAnsi="Times New Roman" w:eastAsia="Times New Roman" w:cs="Times New Roman"/>
                <w:spacing w:val="6"/>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6"/>
              </w:rPr>
              <w:t>□”</w:t>
            </w:r>
            <w:r>
              <w:rPr>
                <w:spacing w:val="6"/>
              </w:rPr>
              <w:t>为勾选项，</w:t>
            </w:r>
            <w:r>
              <w:rPr>
                <w:rFonts w:ascii="Times New Roman" w:hAnsi="Times New Roman" w:eastAsia="Times New Roman" w:cs="Times New Roman"/>
                <w:spacing w:val="6"/>
              </w:rPr>
              <w:t>“____”</w:t>
            </w:r>
            <w:r>
              <w:rPr>
                <w:spacing w:val="6"/>
              </w:rPr>
              <w:t>为填写项。</w:t>
            </w:r>
          </w:p>
        </w:tc>
      </w:tr>
    </w:tbl>
    <w:p w14:paraId="59435EFE">
      <w:pPr>
        <w:pStyle w:val="2"/>
      </w:pPr>
    </w:p>
    <w:p w14:paraId="55F694FF">
      <w:pPr>
        <w:sectPr>
          <w:footerReference r:id="rId190" w:type="default"/>
          <w:pgSz w:w="11906" w:h="16839"/>
          <w:pgMar w:top="400" w:right="1419" w:bottom="1485" w:left="1419" w:header="0" w:footer="1249" w:gutter="0"/>
          <w:cols w:space="720" w:num="1"/>
        </w:sectPr>
      </w:pPr>
    </w:p>
    <w:p w14:paraId="0DA66894">
      <w:pPr>
        <w:pStyle w:val="2"/>
        <w:spacing w:line="264" w:lineRule="auto"/>
      </w:pPr>
    </w:p>
    <w:p w14:paraId="61A7E940">
      <w:pPr>
        <w:pStyle w:val="2"/>
        <w:spacing w:line="264" w:lineRule="auto"/>
      </w:pPr>
    </w:p>
    <w:p w14:paraId="7FA74046">
      <w:pPr>
        <w:pStyle w:val="2"/>
        <w:spacing w:line="264" w:lineRule="auto"/>
      </w:pPr>
    </w:p>
    <w:p w14:paraId="74A29DDF">
      <w:pPr>
        <w:pStyle w:val="2"/>
        <w:spacing w:line="265" w:lineRule="auto"/>
      </w:pPr>
    </w:p>
    <w:p w14:paraId="00B9FF6A">
      <w:pPr>
        <w:spacing w:before="78" w:line="219" w:lineRule="auto"/>
        <w:ind w:left="141"/>
        <w:outlineLvl w:val="0"/>
        <w:rPr>
          <w:rFonts w:ascii="宋体" w:hAnsi="宋体" w:eastAsia="宋体" w:cs="宋体"/>
          <w:sz w:val="24"/>
          <w:szCs w:val="24"/>
        </w:rPr>
      </w:pPr>
      <w:r>
        <w:rPr>
          <w:rFonts w:ascii="宋体" w:hAnsi="宋体" w:eastAsia="宋体" w:cs="宋体"/>
          <w:b/>
          <w:bCs/>
          <w:spacing w:val="-4"/>
          <w:sz w:val="24"/>
          <w:szCs w:val="24"/>
        </w:rPr>
        <w:t>附表</w:t>
      </w:r>
      <w:r>
        <w:rPr>
          <w:rFonts w:ascii="宋体" w:hAnsi="宋体" w:eastAsia="宋体" w:cs="宋体"/>
          <w:spacing w:val="-40"/>
          <w:sz w:val="24"/>
          <w:szCs w:val="24"/>
        </w:rPr>
        <w:t xml:space="preserve"> </w:t>
      </w:r>
      <w:r>
        <w:rPr>
          <w:rFonts w:ascii="Times New Roman" w:hAnsi="Times New Roman" w:eastAsia="Times New Roman" w:cs="Times New Roman"/>
          <w:b/>
          <w:bCs/>
          <w:spacing w:val="-4"/>
          <w:sz w:val="24"/>
          <w:szCs w:val="24"/>
        </w:rPr>
        <w:t xml:space="preserve">4  </w:t>
      </w:r>
      <w:r>
        <w:rPr>
          <w:rFonts w:ascii="宋体" w:hAnsi="宋体" w:eastAsia="宋体" w:cs="宋体"/>
          <w:b/>
          <w:bCs/>
          <w:spacing w:val="-4"/>
          <w:sz w:val="24"/>
          <w:szCs w:val="24"/>
        </w:rPr>
        <w:t>建设项目土壤环境影响评价自查表</w:t>
      </w:r>
    </w:p>
    <w:p w14:paraId="1FD6CCB9">
      <w:pPr>
        <w:spacing w:line="80" w:lineRule="exact"/>
      </w:pPr>
    </w:p>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0"/>
        <w:gridCol w:w="1755"/>
        <w:gridCol w:w="1896"/>
        <w:gridCol w:w="541"/>
        <w:gridCol w:w="675"/>
        <w:gridCol w:w="944"/>
        <w:gridCol w:w="543"/>
        <w:gridCol w:w="816"/>
        <w:gridCol w:w="1350"/>
      </w:tblGrid>
      <w:tr w14:paraId="6B96B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185" w:type="dxa"/>
            <w:gridSpan w:val="2"/>
            <w:vAlign w:val="top"/>
          </w:tcPr>
          <w:p w14:paraId="72D88F19">
            <w:pPr>
              <w:pStyle w:val="6"/>
              <w:spacing w:before="62" w:line="228" w:lineRule="auto"/>
              <w:ind w:left="680"/>
            </w:pPr>
            <w:r>
              <w:rPr>
                <w:spacing w:val="6"/>
              </w:rPr>
              <w:t>工作内容</w:t>
            </w:r>
          </w:p>
        </w:tc>
        <w:tc>
          <w:tcPr>
            <w:tcW w:w="5415" w:type="dxa"/>
            <w:gridSpan w:val="6"/>
            <w:vAlign w:val="top"/>
          </w:tcPr>
          <w:p w14:paraId="23B9B000">
            <w:pPr>
              <w:pStyle w:val="6"/>
              <w:spacing w:before="62" w:line="228" w:lineRule="auto"/>
              <w:ind w:left="2296"/>
            </w:pPr>
            <w:r>
              <w:rPr>
                <w:spacing w:val="6"/>
              </w:rPr>
              <w:t>完成情况</w:t>
            </w:r>
          </w:p>
        </w:tc>
        <w:tc>
          <w:tcPr>
            <w:tcW w:w="1350" w:type="dxa"/>
            <w:vAlign w:val="top"/>
          </w:tcPr>
          <w:p w14:paraId="4BD44F1A">
            <w:pPr>
              <w:pStyle w:val="6"/>
              <w:spacing w:before="62" w:line="230" w:lineRule="auto"/>
              <w:ind w:left="472"/>
            </w:pPr>
            <w:r>
              <w:rPr>
                <w:spacing w:val="3"/>
              </w:rPr>
              <w:t>备注</w:t>
            </w:r>
          </w:p>
        </w:tc>
      </w:tr>
      <w:tr w14:paraId="730C6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restart"/>
            <w:tcBorders>
              <w:bottom w:val="nil"/>
            </w:tcBorders>
            <w:textDirection w:val="tbRlV"/>
            <w:vAlign w:val="top"/>
          </w:tcPr>
          <w:p w14:paraId="36568194">
            <w:pPr>
              <w:pStyle w:val="6"/>
              <w:spacing w:before="107" w:line="216" w:lineRule="auto"/>
              <w:ind w:left="1402"/>
            </w:pPr>
            <w:r>
              <w:rPr>
                <w:spacing w:val="9"/>
              </w:rPr>
              <w:t>影</w:t>
            </w:r>
            <w:r>
              <w:rPr>
                <w:spacing w:val="18"/>
              </w:rPr>
              <w:t xml:space="preserve"> </w:t>
            </w:r>
            <w:r>
              <w:rPr>
                <w:spacing w:val="9"/>
              </w:rPr>
              <w:t>响</w:t>
            </w:r>
            <w:r>
              <w:rPr>
                <w:spacing w:val="17"/>
              </w:rPr>
              <w:t xml:space="preserve"> </w:t>
            </w:r>
            <w:r>
              <w:rPr>
                <w:spacing w:val="9"/>
              </w:rPr>
              <w:t>识</w:t>
            </w:r>
            <w:r>
              <w:rPr>
                <w:spacing w:val="16"/>
              </w:rPr>
              <w:t xml:space="preserve"> </w:t>
            </w:r>
            <w:r>
              <w:rPr>
                <w:spacing w:val="9"/>
              </w:rPr>
              <w:t>别</w:t>
            </w:r>
          </w:p>
        </w:tc>
        <w:tc>
          <w:tcPr>
            <w:tcW w:w="1755" w:type="dxa"/>
            <w:vAlign w:val="top"/>
          </w:tcPr>
          <w:p w14:paraId="6CC81ADE">
            <w:pPr>
              <w:pStyle w:val="6"/>
              <w:spacing w:before="58" w:line="228" w:lineRule="auto"/>
              <w:ind w:left="461"/>
            </w:pPr>
            <w:r>
              <w:rPr>
                <w:spacing w:val="7"/>
              </w:rPr>
              <w:t>影响类型</w:t>
            </w:r>
          </w:p>
        </w:tc>
        <w:tc>
          <w:tcPr>
            <w:tcW w:w="5415" w:type="dxa"/>
            <w:gridSpan w:val="6"/>
            <w:vAlign w:val="top"/>
          </w:tcPr>
          <w:p w14:paraId="0A7FA2FA">
            <w:pPr>
              <w:pStyle w:val="6"/>
              <w:spacing w:before="50" w:line="230" w:lineRule="auto"/>
              <w:ind w:left="734"/>
            </w:pPr>
            <w:r>
              <w:rPr>
                <w:spacing w:val="9"/>
              </w:rPr>
              <w:t>污染影响型</w:t>
            </w:r>
            <w:r>
              <w:rPr>
                <w:position w:val="-4"/>
              </w:rPr>
              <w:drawing>
                <wp:inline distT="0" distB="0" distL="0" distR="0">
                  <wp:extent cx="116205" cy="14668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42"/>
                          <a:stretch>
                            <a:fillRect/>
                          </a:stretch>
                        </pic:blipFill>
                        <pic:spPr>
                          <a:xfrm>
                            <a:off x="0" y="0"/>
                            <a:ext cx="116681" cy="147048"/>
                          </a:xfrm>
                          <a:prstGeom prst="rect">
                            <a:avLst/>
                          </a:prstGeom>
                        </pic:spPr>
                      </pic:pic>
                    </a:graphicData>
                  </a:graphic>
                </wp:inline>
              </w:drawing>
            </w:r>
            <w:r>
              <w:rPr>
                <w:spacing w:val="9"/>
              </w:rPr>
              <w:t>；生态影响型□；两种兼有□</w:t>
            </w:r>
          </w:p>
        </w:tc>
        <w:tc>
          <w:tcPr>
            <w:tcW w:w="1350" w:type="dxa"/>
            <w:vAlign w:val="top"/>
          </w:tcPr>
          <w:p w14:paraId="262ED90A">
            <w:pPr>
              <w:rPr>
                <w:rFonts w:ascii="Arial"/>
                <w:sz w:val="21"/>
              </w:rPr>
            </w:pPr>
          </w:p>
        </w:tc>
      </w:tr>
      <w:tr w14:paraId="47A40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30" w:type="dxa"/>
            <w:vMerge w:val="continue"/>
            <w:tcBorders>
              <w:top w:val="nil"/>
              <w:bottom w:val="nil"/>
            </w:tcBorders>
            <w:textDirection w:val="tbRlV"/>
            <w:vAlign w:val="top"/>
          </w:tcPr>
          <w:p w14:paraId="1E2D888E">
            <w:pPr>
              <w:rPr>
                <w:rFonts w:ascii="Arial"/>
                <w:sz w:val="21"/>
              </w:rPr>
            </w:pPr>
          </w:p>
        </w:tc>
        <w:tc>
          <w:tcPr>
            <w:tcW w:w="1755" w:type="dxa"/>
            <w:vAlign w:val="top"/>
          </w:tcPr>
          <w:p w14:paraId="077D1E1D">
            <w:pPr>
              <w:pStyle w:val="6"/>
              <w:spacing w:before="221" w:line="228" w:lineRule="auto"/>
              <w:ind w:left="251"/>
            </w:pPr>
            <w:r>
              <w:rPr>
                <w:spacing w:val="8"/>
              </w:rPr>
              <w:t>土地利用类型</w:t>
            </w:r>
          </w:p>
        </w:tc>
        <w:tc>
          <w:tcPr>
            <w:tcW w:w="5415" w:type="dxa"/>
            <w:gridSpan w:val="6"/>
            <w:vAlign w:val="top"/>
          </w:tcPr>
          <w:p w14:paraId="3A10BF22">
            <w:pPr>
              <w:pStyle w:val="6"/>
              <w:spacing w:before="213" w:line="230" w:lineRule="auto"/>
              <w:ind w:left="1049"/>
            </w:pPr>
            <w:r>
              <w:rPr>
                <w:spacing w:val="9"/>
              </w:rPr>
              <w:t>建设用地</w:t>
            </w:r>
            <w:r>
              <w:rPr>
                <w:position w:val="-4"/>
              </w:rPr>
              <w:drawing>
                <wp:inline distT="0" distB="0" distL="0" distR="0">
                  <wp:extent cx="118110" cy="14668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243"/>
                          <a:stretch>
                            <a:fillRect/>
                          </a:stretch>
                        </pic:blipFill>
                        <pic:spPr>
                          <a:xfrm>
                            <a:off x="0" y="0"/>
                            <a:ext cx="118188" cy="147048"/>
                          </a:xfrm>
                          <a:prstGeom prst="rect">
                            <a:avLst/>
                          </a:prstGeom>
                        </pic:spPr>
                      </pic:pic>
                    </a:graphicData>
                  </a:graphic>
                </wp:inline>
              </w:drawing>
            </w:r>
            <w:r>
              <w:rPr>
                <w:spacing w:val="9"/>
              </w:rPr>
              <w:t>；农用地□；未利用地□</w:t>
            </w:r>
          </w:p>
        </w:tc>
        <w:tc>
          <w:tcPr>
            <w:tcW w:w="1350" w:type="dxa"/>
            <w:vAlign w:val="top"/>
          </w:tcPr>
          <w:p w14:paraId="7D3B6FA3">
            <w:pPr>
              <w:pStyle w:val="6"/>
              <w:spacing w:before="58" w:line="228" w:lineRule="auto"/>
              <w:ind w:left="156"/>
            </w:pPr>
            <w:r>
              <w:rPr>
                <w:spacing w:val="7"/>
              </w:rPr>
              <w:t>土地利用类</w:t>
            </w:r>
          </w:p>
          <w:p w14:paraId="48725723">
            <w:pPr>
              <w:pStyle w:val="6"/>
              <w:spacing w:before="78" w:line="230" w:lineRule="auto"/>
              <w:ind w:left="476"/>
            </w:pPr>
            <w:r>
              <w:rPr>
                <w:spacing w:val="1"/>
              </w:rPr>
              <w:t>型图</w:t>
            </w:r>
          </w:p>
        </w:tc>
      </w:tr>
      <w:tr w14:paraId="319D6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7B8D9EB4">
            <w:pPr>
              <w:rPr>
                <w:rFonts w:ascii="Arial"/>
                <w:sz w:val="21"/>
              </w:rPr>
            </w:pPr>
          </w:p>
        </w:tc>
        <w:tc>
          <w:tcPr>
            <w:tcW w:w="1755" w:type="dxa"/>
            <w:vAlign w:val="top"/>
          </w:tcPr>
          <w:p w14:paraId="65660CB1">
            <w:pPr>
              <w:pStyle w:val="6"/>
              <w:spacing w:before="60" w:line="228" w:lineRule="auto"/>
              <w:ind w:left="496"/>
            </w:pPr>
            <w:r>
              <w:rPr>
                <w:spacing w:val="-2"/>
              </w:rPr>
              <w:t>占地规模</w:t>
            </w:r>
          </w:p>
        </w:tc>
        <w:tc>
          <w:tcPr>
            <w:tcW w:w="5415" w:type="dxa"/>
            <w:gridSpan w:val="6"/>
            <w:vAlign w:val="top"/>
          </w:tcPr>
          <w:p w14:paraId="70B4469D">
            <w:pPr>
              <w:pStyle w:val="6"/>
              <w:spacing w:before="28" w:line="275" w:lineRule="exact"/>
              <w:ind w:left="2005"/>
              <w:rPr>
                <w:rFonts w:ascii="Times New Roman" w:hAnsi="Times New Roman" w:eastAsia="Times New Roman" w:cs="Times New Roman"/>
                <w:sz w:val="13"/>
                <w:szCs w:val="13"/>
              </w:rPr>
            </w:pPr>
            <w:r>
              <w:rPr>
                <w:spacing w:val="1"/>
                <w:position w:val="1"/>
              </w:rPr>
              <w:t xml:space="preserve">（ </w:t>
            </w:r>
            <w:r>
              <w:rPr>
                <w:rFonts w:ascii="Times New Roman" w:hAnsi="Times New Roman" w:eastAsia="Times New Roman" w:cs="Times New Roman"/>
                <w:spacing w:val="1"/>
                <w:position w:val="1"/>
              </w:rPr>
              <w:t>25.79</w:t>
            </w:r>
            <w:r>
              <w:rPr>
                <w:rFonts w:ascii="Times New Roman" w:hAnsi="Times New Roman" w:eastAsia="Times New Roman" w:cs="Times New Roman"/>
                <w:spacing w:val="20"/>
                <w:position w:val="1"/>
              </w:rPr>
              <w:t xml:space="preserve">  </w:t>
            </w:r>
            <w:r>
              <w:rPr>
                <w:spacing w:val="1"/>
                <w:position w:val="1"/>
              </w:rPr>
              <w:t>）</w:t>
            </w:r>
            <w:r>
              <w:rPr>
                <w:rFonts w:ascii="Times New Roman" w:hAnsi="Times New Roman" w:eastAsia="Times New Roman" w:cs="Times New Roman"/>
                <w:position w:val="1"/>
              </w:rPr>
              <w:t>hm</w:t>
            </w:r>
            <w:r>
              <w:rPr>
                <w:rFonts w:ascii="Times New Roman" w:hAnsi="Times New Roman" w:eastAsia="Times New Roman" w:cs="Times New Roman"/>
                <w:spacing w:val="1"/>
                <w:position w:val="7"/>
                <w:sz w:val="13"/>
                <w:szCs w:val="13"/>
              </w:rPr>
              <w:t>2</w:t>
            </w:r>
          </w:p>
        </w:tc>
        <w:tc>
          <w:tcPr>
            <w:tcW w:w="1350" w:type="dxa"/>
            <w:vAlign w:val="top"/>
          </w:tcPr>
          <w:p w14:paraId="3B6B02A1">
            <w:pPr>
              <w:rPr>
                <w:rFonts w:ascii="Arial"/>
                <w:sz w:val="21"/>
              </w:rPr>
            </w:pPr>
          </w:p>
        </w:tc>
      </w:tr>
      <w:tr w14:paraId="62465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44203217">
            <w:pPr>
              <w:rPr>
                <w:rFonts w:ascii="Arial"/>
                <w:sz w:val="21"/>
              </w:rPr>
            </w:pPr>
          </w:p>
        </w:tc>
        <w:tc>
          <w:tcPr>
            <w:tcW w:w="1755" w:type="dxa"/>
            <w:vAlign w:val="top"/>
          </w:tcPr>
          <w:p w14:paraId="6343C4EE">
            <w:pPr>
              <w:pStyle w:val="6"/>
              <w:spacing w:before="60" w:line="228" w:lineRule="auto"/>
              <w:ind w:left="251"/>
            </w:pPr>
            <w:r>
              <w:rPr>
                <w:spacing w:val="8"/>
              </w:rPr>
              <w:t>敏感目标信息</w:t>
            </w:r>
          </w:p>
        </w:tc>
        <w:tc>
          <w:tcPr>
            <w:tcW w:w="5415" w:type="dxa"/>
            <w:gridSpan w:val="6"/>
            <w:vAlign w:val="top"/>
          </w:tcPr>
          <w:p w14:paraId="4F093D50">
            <w:pPr>
              <w:pStyle w:val="6"/>
              <w:spacing w:before="60" w:line="228" w:lineRule="auto"/>
              <w:ind w:left="1035"/>
            </w:pPr>
            <w:r>
              <w:rPr>
                <w:spacing w:val="3"/>
              </w:rPr>
              <w:t>敏感目标</w:t>
            </w:r>
            <w:r>
              <w:rPr>
                <w:spacing w:val="-10"/>
              </w:rPr>
              <w:t>（）</w:t>
            </w:r>
            <w:r>
              <w:rPr>
                <w:spacing w:val="-34"/>
              </w:rPr>
              <w:t xml:space="preserve"> </w:t>
            </w:r>
            <w:r>
              <w:rPr>
                <w:spacing w:val="3"/>
              </w:rPr>
              <w:t>、方位</w:t>
            </w:r>
            <w:r>
              <w:rPr>
                <w:spacing w:val="-10"/>
              </w:rPr>
              <w:t>（）</w:t>
            </w:r>
            <w:r>
              <w:rPr>
                <w:spacing w:val="-36"/>
              </w:rPr>
              <w:t xml:space="preserve"> </w:t>
            </w:r>
            <w:r>
              <w:rPr>
                <w:spacing w:val="3"/>
              </w:rPr>
              <w:t>、距离 ()</w:t>
            </w:r>
          </w:p>
        </w:tc>
        <w:tc>
          <w:tcPr>
            <w:tcW w:w="1350" w:type="dxa"/>
            <w:vAlign w:val="top"/>
          </w:tcPr>
          <w:p w14:paraId="1B51468D">
            <w:pPr>
              <w:rPr>
                <w:rFonts w:ascii="Arial"/>
                <w:sz w:val="21"/>
              </w:rPr>
            </w:pPr>
          </w:p>
        </w:tc>
      </w:tr>
      <w:tr w14:paraId="1CDE3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30" w:type="dxa"/>
            <w:vMerge w:val="continue"/>
            <w:tcBorders>
              <w:top w:val="nil"/>
              <w:bottom w:val="nil"/>
            </w:tcBorders>
            <w:textDirection w:val="tbRlV"/>
            <w:vAlign w:val="top"/>
          </w:tcPr>
          <w:p w14:paraId="7E0A8A15">
            <w:pPr>
              <w:rPr>
                <w:rFonts w:ascii="Arial"/>
                <w:sz w:val="21"/>
              </w:rPr>
            </w:pPr>
          </w:p>
        </w:tc>
        <w:tc>
          <w:tcPr>
            <w:tcW w:w="1755" w:type="dxa"/>
            <w:vAlign w:val="top"/>
          </w:tcPr>
          <w:p w14:paraId="5E17D416">
            <w:pPr>
              <w:pStyle w:val="6"/>
              <w:spacing w:before="223" w:line="228" w:lineRule="auto"/>
              <w:ind w:left="461"/>
            </w:pPr>
            <w:r>
              <w:rPr>
                <w:spacing w:val="7"/>
              </w:rPr>
              <w:t>影响途径</w:t>
            </w:r>
          </w:p>
        </w:tc>
        <w:tc>
          <w:tcPr>
            <w:tcW w:w="5415" w:type="dxa"/>
            <w:gridSpan w:val="6"/>
            <w:vAlign w:val="top"/>
          </w:tcPr>
          <w:p w14:paraId="1552A5B5">
            <w:pPr>
              <w:pStyle w:val="6"/>
              <w:spacing w:before="52" w:line="230" w:lineRule="auto"/>
              <w:ind w:left="115"/>
            </w:pPr>
            <w:r>
              <w:rPr>
                <w:spacing w:val="8"/>
              </w:rPr>
              <w:t>大气沉降□；地面漫流□；垂直入渗</w:t>
            </w:r>
            <w:r>
              <w:rPr>
                <w:position w:val="-4"/>
              </w:rPr>
              <w:drawing>
                <wp:inline distT="0" distB="0" distL="0" distR="0">
                  <wp:extent cx="118110" cy="14668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245"/>
                          <a:stretch>
                            <a:fillRect/>
                          </a:stretch>
                        </pic:blipFill>
                        <pic:spPr>
                          <a:xfrm>
                            <a:off x="0" y="0"/>
                            <a:ext cx="118197" cy="147048"/>
                          </a:xfrm>
                          <a:prstGeom prst="rect">
                            <a:avLst/>
                          </a:prstGeom>
                        </pic:spPr>
                      </pic:pic>
                    </a:graphicData>
                  </a:graphic>
                </wp:inline>
              </w:drawing>
            </w:r>
            <w:r>
              <w:rPr>
                <w:spacing w:val="8"/>
              </w:rPr>
              <w:t>；地下水位□；其</w:t>
            </w:r>
          </w:p>
          <w:p w14:paraId="6C375FA9">
            <w:pPr>
              <w:pStyle w:val="6"/>
              <w:spacing w:before="85" w:line="229" w:lineRule="auto"/>
              <w:ind w:left="2503"/>
            </w:pPr>
            <w:r>
              <w:rPr>
                <w:spacing w:val="6"/>
              </w:rPr>
              <w:t>他□</w:t>
            </w:r>
          </w:p>
        </w:tc>
        <w:tc>
          <w:tcPr>
            <w:tcW w:w="1350" w:type="dxa"/>
            <w:vAlign w:val="top"/>
          </w:tcPr>
          <w:p w14:paraId="77AEF60E">
            <w:pPr>
              <w:rPr>
                <w:rFonts w:ascii="Arial"/>
                <w:sz w:val="21"/>
              </w:rPr>
            </w:pPr>
          </w:p>
        </w:tc>
      </w:tr>
      <w:tr w14:paraId="2FAE5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42421ABE">
            <w:pPr>
              <w:rPr>
                <w:rFonts w:ascii="Arial"/>
                <w:sz w:val="21"/>
              </w:rPr>
            </w:pPr>
          </w:p>
        </w:tc>
        <w:tc>
          <w:tcPr>
            <w:tcW w:w="1755" w:type="dxa"/>
            <w:vAlign w:val="top"/>
          </w:tcPr>
          <w:p w14:paraId="28DA1926">
            <w:pPr>
              <w:pStyle w:val="6"/>
              <w:spacing w:before="61" w:line="228" w:lineRule="auto"/>
              <w:ind w:left="356"/>
            </w:pPr>
            <w:r>
              <w:rPr>
                <w:spacing w:val="8"/>
              </w:rPr>
              <w:t>全部污染物</w:t>
            </w:r>
          </w:p>
        </w:tc>
        <w:tc>
          <w:tcPr>
            <w:tcW w:w="5415" w:type="dxa"/>
            <w:gridSpan w:val="6"/>
            <w:vAlign w:val="top"/>
          </w:tcPr>
          <w:p w14:paraId="217CD709">
            <w:pPr>
              <w:pStyle w:val="6"/>
              <w:spacing w:before="61" w:line="228" w:lineRule="auto"/>
              <w:ind w:left="2295"/>
            </w:pPr>
            <w:r>
              <w:rPr>
                <w:spacing w:val="7"/>
              </w:rPr>
              <w:t>养殖废水</w:t>
            </w:r>
          </w:p>
        </w:tc>
        <w:tc>
          <w:tcPr>
            <w:tcW w:w="1350" w:type="dxa"/>
            <w:vAlign w:val="top"/>
          </w:tcPr>
          <w:p w14:paraId="24F4E554">
            <w:pPr>
              <w:rPr>
                <w:rFonts w:ascii="Arial"/>
                <w:sz w:val="21"/>
              </w:rPr>
            </w:pPr>
          </w:p>
        </w:tc>
      </w:tr>
      <w:tr w14:paraId="06490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0A7CD23A">
            <w:pPr>
              <w:rPr>
                <w:rFonts w:ascii="Arial"/>
                <w:sz w:val="21"/>
              </w:rPr>
            </w:pPr>
          </w:p>
        </w:tc>
        <w:tc>
          <w:tcPr>
            <w:tcW w:w="1755" w:type="dxa"/>
            <w:vAlign w:val="top"/>
          </w:tcPr>
          <w:p w14:paraId="2DFB511F">
            <w:pPr>
              <w:pStyle w:val="6"/>
              <w:spacing w:before="61" w:line="228" w:lineRule="auto"/>
              <w:ind w:left="461"/>
            </w:pPr>
            <w:r>
              <w:rPr>
                <w:spacing w:val="7"/>
              </w:rPr>
              <w:t>特征因子</w:t>
            </w:r>
          </w:p>
        </w:tc>
        <w:tc>
          <w:tcPr>
            <w:tcW w:w="5415" w:type="dxa"/>
            <w:gridSpan w:val="6"/>
            <w:vAlign w:val="top"/>
          </w:tcPr>
          <w:p w14:paraId="408E680F">
            <w:pPr>
              <w:spacing w:before="30" w:line="274" w:lineRule="exact"/>
              <w:ind w:left="26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0" w:type="dxa"/>
            <w:vAlign w:val="top"/>
          </w:tcPr>
          <w:p w14:paraId="16CD6B26">
            <w:pPr>
              <w:rPr>
                <w:rFonts w:ascii="Arial"/>
                <w:sz w:val="21"/>
              </w:rPr>
            </w:pPr>
          </w:p>
        </w:tc>
      </w:tr>
      <w:tr w14:paraId="02136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30" w:type="dxa"/>
            <w:vMerge w:val="continue"/>
            <w:tcBorders>
              <w:top w:val="nil"/>
              <w:bottom w:val="nil"/>
            </w:tcBorders>
            <w:textDirection w:val="tbRlV"/>
            <w:vAlign w:val="top"/>
          </w:tcPr>
          <w:p w14:paraId="0E1E3281">
            <w:pPr>
              <w:rPr>
                <w:rFonts w:ascii="Arial"/>
                <w:sz w:val="21"/>
              </w:rPr>
            </w:pPr>
          </w:p>
        </w:tc>
        <w:tc>
          <w:tcPr>
            <w:tcW w:w="1755" w:type="dxa"/>
            <w:vAlign w:val="top"/>
          </w:tcPr>
          <w:p w14:paraId="188433E6">
            <w:pPr>
              <w:pStyle w:val="6"/>
              <w:spacing w:before="61" w:line="270" w:lineRule="auto"/>
              <w:ind w:left="157" w:right="141" w:hanging="10"/>
            </w:pPr>
            <w:r>
              <w:rPr>
                <w:spacing w:val="8"/>
              </w:rPr>
              <w:t>所属土壤环境影</w:t>
            </w:r>
            <w:r>
              <w:rPr>
                <w:spacing w:val="3"/>
              </w:rPr>
              <w:t xml:space="preserve"> </w:t>
            </w:r>
            <w:r>
              <w:rPr>
                <w:spacing w:val="7"/>
              </w:rPr>
              <w:t>响评价项目类别</w:t>
            </w:r>
          </w:p>
        </w:tc>
        <w:tc>
          <w:tcPr>
            <w:tcW w:w="5415" w:type="dxa"/>
            <w:gridSpan w:val="6"/>
            <w:vAlign w:val="top"/>
          </w:tcPr>
          <w:p w14:paraId="0AEF6A6F">
            <w:pPr>
              <w:pStyle w:val="6"/>
              <w:spacing w:before="216" w:line="230" w:lineRule="auto"/>
              <w:ind w:left="1220"/>
            </w:pPr>
            <w:r>
              <w:rPr>
                <w:spacing w:val="-7"/>
              </w:rPr>
              <w:t>Ⅰ类□;  Ⅱ类□;</w:t>
            </w:r>
            <w:r>
              <w:rPr>
                <w:spacing w:val="71"/>
              </w:rPr>
              <w:t xml:space="preserve"> </w:t>
            </w:r>
            <w:r>
              <w:rPr>
                <w:spacing w:val="-7"/>
              </w:rPr>
              <w:t>Ⅲ类</w:t>
            </w:r>
            <w:r>
              <w:rPr>
                <w:position w:val="-4"/>
              </w:rPr>
              <w:drawing>
                <wp:inline distT="0" distB="0" distL="0" distR="0">
                  <wp:extent cx="118110" cy="14668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243"/>
                          <a:stretch>
                            <a:fillRect/>
                          </a:stretch>
                        </pic:blipFill>
                        <pic:spPr>
                          <a:xfrm>
                            <a:off x="0" y="0"/>
                            <a:ext cx="118186" cy="147048"/>
                          </a:xfrm>
                          <a:prstGeom prst="rect">
                            <a:avLst/>
                          </a:prstGeom>
                        </pic:spPr>
                      </pic:pic>
                    </a:graphicData>
                  </a:graphic>
                </wp:inline>
              </w:drawing>
            </w:r>
            <w:r>
              <w:rPr>
                <w:spacing w:val="-7"/>
              </w:rPr>
              <w:t>；Ⅲ类□</w:t>
            </w:r>
          </w:p>
        </w:tc>
        <w:tc>
          <w:tcPr>
            <w:tcW w:w="1350" w:type="dxa"/>
            <w:vAlign w:val="top"/>
          </w:tcPr>
          <w:p w14:paraId="0B14FEA4">
            <w:pPr>
              <w:rPr>
                <w:rFonts w:ascii="Arial"/>
                <w:sz w:val="21"/>
              </w:rPr>
            </w:pPr>
          </w:p>
        </w:tc>
      </w:tr>
      <w:tr w14:paraId="0E28D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tcBorders>
            <w:textDirection w:val="tbRlV"/>
            <w:vAlign w:val="top"/>
          </w:tcPr>
          <w:p w14:paraId="0193AC6E">
            <w:pPr>
              <w:rPr>
                <w:rFonts w:ascii="Arial"/>
                <w:sz w:val="21"/>
              </w:rPr>
            </w:pPr>
          </w:p>
        </w:tc>
        <w:tc>
          <w:tcPr>
            <w:tcW w:w="1755" w:type="dxa"/>
            <w:vAlign w:val="top"/>
          </w:tcPr>
          <w:p w14:paraId="16B65286">
            <w:pPr>
              <w:pStyle w:val="6"/>
              <w:spacing w:before="61" w:line="228" w:lineRule="auto"/>
              <w:ind w:left="462"/>
            </w:pPr>
            <w:r>
              <w:rPr>
                <w:spacing w:val="7"/>
              </w:rPr>
              <w:t>敏感程度</w:t>
            </w:r>
          </w:p>
        </w:tc>
        <w:tc>
          <w:tcPr>
            <w:tcW w:w="5415" w:type="dxa"/>
            <w:gridSpan w:val="6"/>
            <w:vAlign w:val="top"/>
          </w:tcPr>
          <w:p w14:paraId="67D3B4AC">
            <w:pPr>
              <w:pStyle w:val="6"/>
              <w:spacing w:before="53" w:line="230" w:lineRule="auto"/>
              <w:ind w:left="1362"/>
            </w:pPr>
            <w:r>
              <w:rPr>
                <w:spacing w:val="9"/>
              </w:rPr>
              <w:t>敏感□；较敏感□；不敏感</w:t>
            </w:r>
            <w:r>
              <w:rPr>
                <w:position w:val="-4"/>
              </w:rPr>
              <w:drawing>
                <wp:inline distT="0" distB="0" distL="0" distR="0">
                  <wp:extent cx="116205" cy="14668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243"/>
                          <a:stretch>
                            <a:fillRect/>
                          </a:stretch>
                        </pic:blipFill>
                        <pic:spPr>
                          <a:xfrm>
                            <a:off x="0" y="0"/>
                            <a:ext cx="116659" cy="147048"/>
                          </a:xfrm>
                          <a:prstGeom prst="rect">
                            <a:avLst/>
                          </a:prstGeom>
                        </pic:spPr>
                      </pic:pic>
                    </a:graphicData>
                  </a:graphic>
                </wp:inline>
              </w:drawing>
            </w:r>
          </w:p>
        </w:tc>
        <w:tc>
          <w:tcPr>
            <w:tcW w:w="1350" w:type="dxa"/>
            <w:vAlign w:val="top"/>
          </w:tcPr>
          <w:p w14:paraId="4FFF0293">
            <w:pPr>
              <w:rPr>
                <w:rFonts w:ascii="Arial"/>
                <w:sz w:val="21"/>
              </w:rPr>
            </w:pPr>
          </w:p>
        </w:tc>
      </w:tr>
      <w:tr w14:paraId="0FB2C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185" w:type="dxa"/>
            <w:gridSpan w:val="2"/>
            <w:vAlign w:val="top"/>
          </w:tcPr>
          <w:p w14:paraId="4826A38B">
            <w:pPr>
              <w:pStyle w:val="6"/>
              <w:spacing w:before="61" w:line="227" w:lineRule="auto"/>
              <w:ind w:left="468"/>
            </w:pPr>
            <w:r>
              <w:rPr>
                <w:spacing w:val="8"/>
              </w:rPr>
              <w:t>评价工作等级</w:t>
            </w:r>
          </w:p>
        </w:tc>
        <w:tc>
          <w:tcPr>
            <w:tcW w:w="5415" w:type="dxa"/>
            <w:gridSpan w:val="6"/>
            <w:vAlign w:val="top"/>
          </w:tcPr>
          <w:p w14:paraId="23ACF766">
            <w:pPr>
              <w:pStyle w:val="6"/>
              <w:spacing w:before="53" w:line="230" w:lineRule="auto"/>
              <w:ind w:left="1585"/>
            </w:pPr>
            <w:r>
              <w:rPr>
                <w:spacing w:val="8"/>
              </w:rPr>
              <w:t>一级□；二级</w:t>
            </w:r>
            <w:r>
              <w:rPr>
                <w:position w:val="-4"/>
              </w:rPr>
              <w:drawing>
                <wp:inline distT="0" distB="0" distL="0" distR="0">
                  <wp:extent cx="119380" cy="14668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246"/>
                          <a:stretch>
                            <a:fillRect/>
                          </a:stretch>
                        </pic:blipFill>
                        <pic:spPr>
                          <a:xfrm>
                            <a:off x="0" y="0"/>
                            <a:ext cx="119647" cy="147048"/>
                          </a:xfrm>
                          <a:prstGeom prst="rect">
                            <a:avLst/>
                          </a:prstGeom>
                        </pic:spPr>
                      </pic:pic>
                    </a:graphicData>
                  </a:graphic>
                </wp:inline>
              </w:drawing>
            </w:r>
            <w:r>
              <w:rPr>
                <w:spacing w:val="8"/>
              </w:rPr>
              <w:t>；三级</w:t>
            </w:r>
            <w:r>
              <w:rPr>
                <w:position w:val="-4"/>
              </w:rPr>
              <w:drawing>
                <wp:inline distT="0" distB="0" distL="0" distR="0">
                  <wp:extent cx="119380" cy="14668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247"/>
                          <a:stretch>
                            <a:fillRect/>
                          </a:stretch>
                        </pic:blipFill>
                        <pic:spPr>
                          <a:xfrm>
                            <a:off x="0" y="0"/>
                            <a:ext cx="119647" cy="147048"/>
                          </a:xfrm>
                          <a:prstGeom prst="rect">
                            <a:avLst/>
                          </a:prstGeom>
                        </pic:spPr>
                      </pic:pic>
                    </a:graphicData>
                  </a:graphic>
                </wp:inline>
              </w:drawing>
            </w:r>
          </w:p>
        </w:tc>
        <w:tc>
          <w:tcPr>
            <w:tcW w:w="1350" w:type="dxa"/>
            <w:vAlign w:val="top"/>
          </w:tcPr>
          <w:p w14:paraId="18460597">
            <w:pPr>
              <w:rPr>
                <w:rFonts w:ascii="Arial"/>
                <w:sz w:val="21"/>
              </w:rPr>
            </w:pPr>
          </w:p>
        </w:tc>
      </w:tr>
      <w:tr w14:paraId="509B0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restart"/>
            <w:tcBorders>
              <w:bottom w:val="nil"/>
            </w:tcBorders>
            <w:textDirection w:val="tbRlV"/>
            <w:vAlign w:val="top"/>
          </w:tcPr>
          <w:p w14:paraId="3E9B2FC5">
            <w:pPr>
              <w:pStyle w:val="6"/>
              <w:spacing w:before="106" w:line="207" w:lineRule="auto"/>
              <w:ind w:left="248"/>
            </w:pPr>
            <w:r>
              <w:rPr>
                <w:spacing w:val="10"/>
              </w:rPr>
              <w:t>现</w:t>
            </w:r>
            <w:r>
              <w:rPr>
                <w:spacing w:val="17"/>
              </w:rPr>
              <w:t xml:space="preserve"> </w:t>
            </w:r>
            <w:r>
              <w:rPr>
                <w:spacing w:val="10"/>
              </w:rPr>
              <w:t>状</w:t>
            </w:r>
            <w:r>
              <w:rPr>
                <w:spacing w:val="17"/>
              </w:rPr>
              <w:t xml:space="preserve"> </w:t>
            </w:r>
            <w:r>
              <w:rPr>
                <w:spacing w:val="10"/>
              </w:rPr>
              <w:t>调</w:t>
            </w:r>
            <w:r>
              <w:rPr>
                <w:spacing w:val="17"/>
              </w:rPr>
              <w:t xml:space="preserve"> </w:t>
            </w:r>
            <w:r>
              <w:rPr>
                <w:spacing w:val="10"/>
              </w:rPr>
              <w:t>查</w:t>
            </w:r>
            <w:r>
              <w:rPr>
                <w:spacing w:val="17"/>
              </w:rPr>
              <w:t xml:space="preserve"> </w:t>
            </w:r>
            <w:r>
              <w:rPr>
                <w:spacing w:val="10"/>
                <w:position w:val="1"/>
              </w:rPr>
              <w:t xml:space="preserve">内 </w:t>
            </w:r>
            <w:r>
              <w:rPr>
                <w:spacing w:val="10"/>
              </w:rPr>
              <w:t>容</w:t>
            </w:r>
          </w:p>
        </w:tc>
        <w:tc>
          <w:tcPr>
            <w:tcW w:w="1755" w:type="dxa"/>
            <w:vAlign w:val="top"/>
          </w:tcPr>
          <w:p w14:paraId="7DFEFBD5">
            <w:pPr>
              <w:pStyle w:val="6"/>
              <w:spacing w:before="61" w:line="228" w:lineRule="auto"/>
              <w:ind w:left="470"/>
            </w:pPr>
            <w:r>
              <w:rPr>
                <w:spacing w:val="5"/>
              </w:rPr>
              <w:t>资料收集</w:t>
            </w:r>
          </w:p>
        </w:tc>
        <w:tc>
          <w:tcPr>
            <w:tcW w:w="5415" w:type="dxa"/>
            <w:gridSpan w:val="6"/>
            <w:vAlign w:val="top"/>
          </w:tcPr>
          <w:p w14:paraId="045AE259">
            <w:pPr>
              <w:pStyle w:val="6"/>
              <w:spacing w:before="30" w:line="274" w:lineRule="exact"/>
              <w:ind w:left="1751"/>
            </w:pPr>
            <w:r>
              <w:rPr>
                <w:rFonts w:ascii="Times New Roman" w:hAnsi="Times New Roman" w:eastAsia="Times New Roman" w:cs="Times New Roman"/>
                <w:position w:val="1"/>
              </w:rPr>
              <w:t>a)</w:t>
            </w:r>
            <w:r>
              <w:rPr>
                <w:rFonts w:ascii="Times New Roman" w:hAnsi="Times New Roman" w:eastAsia="Times New Roman" w:cs="Times New Roman"/>
                <w:spacing w:val="17"/>
                <w:w w:val="101"/>
                <w:position w:val="1"/>
              </w:rPr>
              <w:t xml:space="preserve">  </w:t>
            </w:r>
            <w:r>
              <w:rPr>
                <w:position w:val="1"/>
              </w:rPr>
              <w:t>□</w:t>
            </w:r>
            <w:r>
              <w:rPr>
                <w:rFonts w:ascii="Times New Roman" w:hAnsi="Times New Roman" w:eastAsia="Times New Roman" w:cs="Times New Roman"/>
                <w:position w:val="1"/>
              </w:rPr>
              <w:t>;b)</w:t>
            </w:r>
            <w:r>
              <w:rPr>
                <w:position w:val="1"/>
              </w:rPr>
              <w:t>□</w:t>
            </w:r>
            <w:r>
              <w:rPr>
                <w:rFonts w:ascii="Times New Roman" w:hAnsi="Times New Roman" w:eastAsia="Times New Roman" w:cs="Times New Roman"/>
                <w:position w:val="1"/>
              </w:rPr>
              <w:t>;c)</w:t>
            </w:r>
            <w:r>
              <w:rPr>
                <w:rFonts w:ascii="Times New Roman" w:hAnsi="Times New Roman" w:eastAsia="Times New Roman" w:cs="Times New Roman"/>
                <w:spacing w:val="17"/>
                <w:w w:val="101"/>
                <w:position w:val="1"/>
              </w:rPr>
              <w:t xml:space="preserve">  </w:t>
            </w:r>
            <w:r>
              <w:rPr>
                <w:position w:val="1"/>
              </w:rPr>
              <w:t>□</w:t>
            </w:r>
            <w:r>
              <w:rPr>
                <w:rFonts w:ascii="Times New Roman" w:hAnsi="Times New Roman" w:eastAsia="Times New Roman" w:cs="Times New Roman"/>
                <w:position w:val="1"/>
              </w:rPr>
              <w:t>;d)</w:t>
            </w:r>
            <w:r>
              <w:rPr>
                <w:rFonts w:ascii="Times New Roman" w:hAnsi="Times New Roman" w:eastAsia="Times New Roman" w:cs="Times New Roman"/>
                <w:spacing w:val="20"/>
                <w:w w:val="101"/>
                <w:position w:val="1"/>
              </w:rPr>
              <w:t xml:space="preserve"> </w:t>
            </w:r>
            <w:r>
              <w:rPr>
                <w:position w:val="-3"/>
              </w:rPr>
              <w:drawing>
                <wp:inline distT="0" distB="0" distL="0" distR="0">
                  <wp:extent cx="105410" cy="14668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241"/>
                          <a:stretch>
                            <a:fillRect/>
                          </a:stretch>
                        </pic:blipFill>
                        <pic:spPr>
                          <a:xfrm>
                            <a:off x="0" y="0"/>
                            <a:ext cx="105641" cy="147048"/>
                          </a:xfrm>
                          <a:prstGeom prst="rect">
                            <a:avLst/>
                          </a:prstGeom>
                        </pic:spPr>
                      </pic:pic>
                    </a:graphicData>
                  </a:graphic>
                </wp:inline>
              </w:drawing>
            </w:r>
          </w:p>
        </w:tc>
        <w:tc>
          <w:tcPr>
            <w:tcW w:w="1350" w:type="dxa"/>
            <w:vAlign w:val="top"/>
          </w:tcPr>
          <w:p w14:paraId="0B753FE4">
            <w:pPr>
              <w:rPr>
                <w:rFonts w:ascii="Arial"/>
                <w:sz w:val="21"/>
              </w:rPr>
            </w:pPr>
          </w:p>
        </w:tc>
      </w:tr>
      <w:tr w14:paraId="5E0AB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155DFAA9">
            <w:pPr>
              <w:rPr>
                <w:rFonts w:ascii="Arial"/>
                <w:sz w:val="21"/>
              </w:rPr>
            </w:pPr>
          </w:p>
        </w:tc>
        <w:tc>
          <w:tcPr>
            <w:tcW w:w="1755" w:type="dxa"/>
            <w:vAlign w:val="top"/>
          </w:tcPr>
          <w:p w14:paraId="684C4553">
            <w:pPr>
              <w:pStyle w:val="6"/>
              <w:spacing w:before="61" w:line="228" w:lineRule="auto"/>
              <w:ind w:left="464"/>
            </w:pPr>
            <w:r>
              <w:rPr>
                <w:spacing w:val="6"/>
              </w:rPr>
              <w:t>理化特性</w:t>
            </w:r>
          </w:p>
        </w:tc>
        <w:tc>
          <w:tcPr>
            <w:tcW w:w="5415" w:type="dxa"/>
            <w:gridSpan w:val="6"/>
            <w:vAlign w:val="top"/>
          </w:tcPr>
          <w:p w14:paraId="301EDE8E">
            <w:pPr>
              <w:rPr>
                <w:rFonts w:ascii="Arial"/>
                <w:sz w:val="21"/>
              </w:rPr>
            </w:pPr>
          </w:p>
        </w:tc>
        <w:tc>
          <w:tcPr>
            <w:tcW w:w="1350" w:type="dxa"/>
            <w:vAlign w:val="top"/>
          </w:tcPr>
          <w:p w14:paraId="3243325C">
            <w:pPr>
              <w:pStyle w:val="6"/>
              <w:spacing w:before="61" w:line="228" w:lineRule="auto"/>
              <w:ind w:left="289"/>
              <w:rPr>
                <w:rFonts w:ascii="Times New Roman" w:hAnsi="Times New Roman" w:eastAsia="Times New Roman" w:cs="Times New Roman"/>
              </w:rPr>
            </w:pPr>
            <w:r>
              <w:t>同附录</w:t>
            </w:r>
            <w:r>
              <w:rPr>
                <w:spacing w:val="-38"/>
              </w:rPr>
              <w:t xml:space="preserve"> </w:t>
            </w:r>
            <w:r>
              <w:rPr>
                <w:rFonts w:ascii="Times New Roman" w:hAnsi="Times New Roman" w:eastAsia="Times New Roman" w:cs="Times New Roman"/>
              </w:rPr>
              <w:t>C</w:t>
            </w:r>
          </w:p>
        </w:tc>
      </w:tr>
      <w:tr w14:paraId="7B0FD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30" w:type="dxa"/>
            <w:vMerge w:val="continue"/>
            <w:tcBorders>
              <w:top w:val="nil"/>
              <w:bottom w:val="nil"/>
            </w:tcBorders>
            <w:textDirection w:val="tbRlV"/>
            <w:vAlign w:val="top"/>
          </w:tcPr>
          <w:p w14:paraId="39ADFAD6">
            <w:pPr>
              <w:rPr>
                <w:rFonts w:ascii="Arial"/>
                <w:sz w:val="21"/>
              </w:rPr>
            </w:pPr>
          </w:p>
        </w:tc>
        <w:tc>
          <w:tcPr>
            <w:tcW w:w="1755" w:type="dxa"/>
            <w:vMerge w:val="restart"/>
            <w:tcBorders>
              <w:bottom w:val="nil"/>
            </w:tcBorders>
            <w:vAlign w:val="top"/>
          </w:tcPr>
          <w:p w14:paraId="61B13ECA">
            <w:pPr>
              <w:spacing w:line="246" w:lineRule="auto"/>
              <w:rPr>
                <w:rFonts w:ascii="Arial"/>
                <w:sz w:val="21"/>
              </w:rPr>
            </w:pPr>
          </w:p>
          <w:p w14:paraId="6C7BAC4D">
            <w:pPr>
              <w:spacing w:line="247" w:lineRule="auto"/>
              <w:rPr>
                <w:rFonts w:ascii="Arial"/>
                <w:sz w:val="21"/>
              </w:rPr>
            </w:pPr>
          </w:p>
          <w:p w14:paraId="0C88D224">
            <w:pPr>
              <w:pStyle w:val="6"/>
              <w:spacing w:before="65" w:line="228" w:lineRule="auto"/>
              <w:ind w:left="252"/>
            </w:pPr>
            <w:r>
              <w:rPr>
                <w:spacing w:val="7"/>
              </w:rPr>
              <w:t>现状监测点位</w:t>
            </w:r>
          </w:p>
        </w:tc>
        <w:tc>
          <w:tcPr>
            <w:tcW w:w="1896" w:type="dxa"/>
            <w:vAlign w:val="top"/>
          </w:tcPr>
          <w:p w14:paraId="28BAB8A5">
            <w:pPr>
              <w:rPr>
                <w:rFonts w:ascii="Arial"/>
                <w:sz w:val="21"/>
              </w:rPr>
            </w:pPr>
          </w:p>
        </w:tc>
        <w:tc>
          <w:tcPr>
            <w:tcW w:w="1216" w:type="dxa"/>
            <w:gridSpan w:val="2"/>
            <w:vAlign w:val="top"/>
          </w:tcPr>
          <w:p w14:paraId="609DDD2E">
            <w:pPr>
              <w:pStyle w:val="6"/>
              <w:spacing w:before="61" w:line="229" w:lineRule="auto"/>
              <w:ind w:left="229"/>
            </w:pPr>
            <w:r>
              <w:rPr>
                <w:spacing w:val="-2"/>
              </w:rPr>
              <w:t>占地范围</w:t>
            </w:r>
          </w:p>
          <w:p w14:paraId="769A14B5">
            <w:pPr>
              <w:pStyle w:val="6"/>
              <w:spacing w:before="78" w:line="228" w:lineRule="auto"/>
              <w:ind w:left="534"/>
            </w:pPr>
            <w:r>
              <w:t>内</w:t>
            </w:r>
          </w:p>
        </w:tc>
        <w:tc>
          <w:tcPr>
            <w:tcW w:w="1487" w:type="dxa"/>
            <w:gridSpan w:val="2"/>
            <w:vAlign w:val="top"/>
          </w:tcPr>
          <w:p w14:paraId="0ADABA53">
            <w:pPr>
              <w:pStyle w:val="6"/>
              <w:spacing w:before="224" w:line="229" w:lineRule="auto"/>
              <w:ind w:left="258"/>
            </w:pPr>
            <w:r>
              <w:rPr>
                <w:spacing w:val="1"/>
              </w:rPr>
              <w:t>占地范围外</w:t>
            </w:r>
          </w:p>
        </w:tc>
        <w:tc>
          <w:tcPr>
            <w:tcW w:w="816" w:type="dxa"/>
            <w:vAlign w:val="top"/>
          </w:tcPr>
          <w:p w14:paraId="4523B0AA">
            <w:pPr>
              <w:pStyle w:val="6"/>
              <w:spacing w:before="224" w:line="229" w:lineRule="auto"/>
              <w:ind w:left="203"/>
            </w:pPr>
            <w:r>
              <w:rPr>
                <w:spacing w:val="4"/>
              </w:rPr>
              <w:t>深度</w:t>
            </w:r>
          </w:p>
        </w:tc>
        <w:tc>
          <w:tcPr>
            <w:tcW w:w="1350" w:type="dxa"/>
            <w:vAlign w:val="top"/>
          </w:tcPr>
          <w:p w14:paraId="2907D10D">
            <w:pPr>
              <w:pStyle w:val="6"/>
              <w:spacing w:before="224" w:line="228" w:lineRule="auto"/>
              <w:ind w:left="163"/>
            </w:pPr>
            <w:r>
              <w:rPr>
                <w:spacing w:val="6"/>
              </w:rPr>
              <w:t>点位布置图</w:t>
            </w:r>
          </w:p>
        </w:tc>
      </w:tr>
      <w:tr w14:paraId="24717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4FA9FF4B">
            <w:pPr>
              <w:rPr>
                <w:rFonts w:ascii="Arial"/>
                <w:sz w:val="21"/>
              </w:rPr>
            </w:pPr>
          </w:p>
        </w:tc>
        <w:tc>
          <w:tcPr>
            <w:tcW w:w="1755" w:type="dxa"/>
            <w:vMerge w:val="continue"/>
            <w:tcBorders>
              <w:top w:val="nil"/>
              <w:bottom w:val="nil"/>
            </w:tcBorders>
            <w:vAlign w:val="top"/>
          </w:tcPr>
          <w:p w14:paraId="2D008C59">
            <w:pPr>
              <w:rPr>
                <w:rFonts w:ascii="Arial"/>
                <w:sz w:val="21"/>
              </w:rPr>
            </w:pPr>
          </w:p>
        </w:tc>
        <w:tc>
          <w:tcPr>
            <w:tcW w:w="1896" w:type="dxa"/>
            <w:vAlign w:val="top"/>
          </w:tcPr>
          <w:p w14:paraId="7C2EFD63">
            <w:pPr>
              <w:pStyle w:val="6"/>
              <w:spacing w:before="63" w:line="228" w:lineRule="auto"/>
              <w:ind w:left="426"/>
            </w:pPr>
            <w:r>
              <w:rPr>
                <w:spacing w:val="8"/>
              </w:rPr>
              <w:t>表层样点数</w:t>
            </w:r>
          </w:p>
        </w:tc>
        <w:tc>
          <w:tcPr>
            <w:tcW w:w="1216" w:type="dxa"/>
            <w:gridSpan w:val="2"/>
            <w:vAlign w:val="top"/>
          </w:tcPr>
          <w:p w14:paraId="690C12C9">
            <w:pPr>
              <w:spacing w:before="32" w:line="274" w:lineRule="exact"/>
              <w:ind w:left="5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487" w:type="dxa"/>
            <w:gridSpan w:val="2"/>
            <w:vAlign w:val="top"/>
          </w:tcPr>
          <w:p w14:paraId="4229B2D4">
            <w:pPr>
              <w:spacing w:before="32" w:line="274" w:lineRule="exact"/>
              <w:ind w:left="69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816" w:type="dxa"/>
            <w:vAlign w:val="top"/>
          </w:tcPr>
          <w:p w14:paraId="5C728DC6">
            <w:pPr>
              <w:spacing w:before="32" w:line="274"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0-0.2m</w:t>
            </w:r>
          </w:p>
        </w:tc>
        <w:tc>
          <w:tcPr>
            <w:tcW w:w="1350" w:type="dxa"/>
            <w:vAlign w:val="top"/>
          </w:tcPr>
          <w:p w14:paraId="4F9353FC">
            <w:pPr>
              <w:rPr>
                <w:rFonts w:ascii="Arial"/>
                <w:sz w:val="21"/>
              </w:rPr>
            </w:pPr>
          </w:p>
        </w:tc>
      </w:tr>
      <w:tr w14:paraId="67FFB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42235D97">
            <w:pPr>
              <w:rPr>
                <w:rFonts w:ascii="Arial"/>
                <w:sz w:val="21"/>
              </w:rPr>
            </w:pPr>
          </w:p>
        </w:tc>
        <w:tc>
          <w:tcPr>
            <w:tcW w:w="1755" w:type="dxa"/>
            <w:vMerge w:val="continue"/>
            <w:tcBorders>
              <w:top w:val="nil"/>
            </w:tcBorders>
            <w:vAlign w:val="top"/>
          </w:tcPr>
          <w:p w14:paraId="0D1A3684">
            <w:pPr>
              <w:rPr>
                <w:rFonts w:ascii="Arial"/>
                <w:sz w:val="21"/>
              </w:rPr>
            </w:pPr>
          </w:p>
        </w:tc>
        <w:tc>
          <w:tcPr>
            <w:tcW w:w="1896" w:type="dxa"/>
            <w:vAlign w:val="top"/>
          </w:tcPr>
          <w:p w14:paraId="504E7E72">
            <w:pPr>
              <w:pStyle w:val="6"/>
              <w:spacing w:before="63" w:line="228" w:lineRule="auto"/>
              <w:ind w:left="427"/>
            </w:pPr>
            <w:r>
              <w:rPr>
                <w:spacing w:val="8"/>
              </w:rPr>
              <w:t>柱状样点数</w:t>
            </w:r>
          </w:p>
        </w:tc>
        <w:tc>
          <w:tcPr>
            <w:tcW w:w="1216" w:type="dxa"/>
            <w:gridSpan w:val="2"/>
            <w:vAlign w:val="top"/>
          </w:tcPr>
          <w:p w14:paraId="20F0381F">
            <w:pPr>
              <w:spacing w:before="32" w:line="274" w:lineRule="exact"/>
              <w:ind w:left="5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487" w:type="dxa"/>
            <w:gridSpan w:val="2"/>
            <w:vAlign w:val="top"/>
          </w:tcPr>
          <w:p w14:paraId="186BAAD7">
            <w:pPr>
              <w:spacing w:before="32" w:line="274" w:lineRule="exact"/>
              <w:ind w:left="69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816" w:type="dxa"/>
            <w:vAlign w:val="top"/>
          </w:tcPr>
          <w:p w14:paraId="56C53BB4">
            <w:pPr>
              <w:rPr>
                <w:rFonts w:ascii="Arial"/>
                <w:sz w:val="21"/>
              </w:rPr>
            </w:pPr>
          </w:p>
        </w:tc>
        <w:tc>
          <w:tcPr>
            <w:tcW w:w="1350" w:type="dxa"/>
            <w:vAlign w:val="top"/>
          </w:tcPr>
          <w:p w14:paraId="780E9702">
            <w:pPr>
              <w:rPr>
                <w:rFonts w:ascii="Arial"/>
                <w:sz w:val="21"/>
              </w:rPr>
            </w:pPr>
          </w:p>
        </w:tc>
      </w:tr>
      <w:tr w14:paraId="5DC72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tcBorders>
            <w:textDirection w:val="tbRlV"/>
            <w:vAlign w:val="top"/>
          </w:tcPr>
          <w:p w14:paraId="6C4B7A00">
            <w:pPr>
              <w:rPr>
                <w:rFonts w:ascii="Arial"/>
                <w:sz w:val="21"/>
              </w:rPr>
            </w:pPr>
          </w:p>
        </w:tc>
        <w:tc>
          <w:tcPr>
            <w:tcW w:w="1755" w:type="dxa"/>
            <w:vAlign w:val="top"/>
          </w:tcPr>
          <w:p w14:paraId="543E9EF0">
            <w:pPr>
              <w:pStyle w:val="6"/>
              <w:spacing w:before="63" w:line="228" w:lineRule="auto"/>
              <w:ind w:left="252"/>
            </w:pPr>
            <w:r>
              <w:rPr>
                <w:spacing w:val="7"/>
              </w:rPr>
              <w:t>现状监测因子</w:t>
            </w:r>
          </w:p>
        </w:tc>
        <w:tc>
          <w:tcPr>
            <w:tcW w:w="5415" w:type="dxa"/>
            <w:gridSpan w:val="6"/>
            <w:vAlign w:val="top"/>
          </w:tcPr>
          <w:p w14:paraId="29179698">
            <w:pPr>
              <w:pStyle w:val="6"/>
              <w:spacing w:before="32" w:line="274" w:lineRule="exact"/>
              <w:ind w:left="2052"/>
            </w:pPr>
            <w:r>
              <w:rPr>
                <w:rFonts w:ascii="Times New Roman" w:hAnsi="Times New Roman" w:eastAsia="Times New Roman" w:cs="Times New Roman"/>
                <w:spacing w:val="7"/>
                <w:position w:val="1"/>
              </w:rPr>
              <w:t xml:space="preserve">45 </w:t>
            </w:r>
            <w:r>
              <w:rPr>
                <w:spacing w:val="7"/>
                <w:position w:val="1"/>
              </w:rPr>
              <w:t>项基本因子</w:t>
            </w:r>
          </w:p>
        </w:tc>
        <w:tc>
          <w:tcPr>
            <w:tcW w:w="1350" w:type="dxa"/>
            <w:vAlign w:val="top"/>
          </w:tcPr>
          <w:p w14:paraId="2885662A">
            <w:pPr>
              <w:rPr>
                <w:rFonts w:ascii="Arial"/>
                <w:sz w:val="21"/>
              </w:rPr>
            </w:pPr>
          </w:p>
        </w:tc>
      </w:tr>
      <w:tr w14:paraId="0B5AD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restart"/>
            <w:tcBorders>
              <w:bottom w:val="nil"/>
            </w:tcBorders>
            <w:textDirection w:val="tbRlV"/>
            <w:vAlign w:val="top"/>
          </w:tcPr>
          <w:p w14:paraId="47A454C5">
            <w:pPr>
              <w:pStyle w:val="6"/>
              <w:spacing w:before="107" w:line="215" w:lineRule="auto"/>
              <w:ind w:left="62"/>
            </w:pPr>
            <w:r>
              <w:rPr>
                <w:spacing w:val="9"/>
              </w:rPr>
              <w:t>现</w:t>
            </w:r>
            <w:r>
              <w:rPr>
                <w:spacing w:val="18"/>
              </w:rPr>
              <w:t xml:space="preserve"> </w:t>
            </w:r>
            <w:r>
              <w:rPr>
                <w:spacing w:val="9"/>
              </w:rPr>
              <w:t>状</w:t>
            </w:r>
            <w:r>
              <w:rPr>
                <w:spacing w:val="14"/>
              </w:rPr>
              <w:t xml:space="preserve"> </w:t>
            </w:r>
            <w:r>
              <w:rPr>
                <w:spacing w:val="9"/>
              </w:rPr>
              <w:t>评</w:t>
            </w:r>
            <w:r>
              <w:rPr>
                <w:spacing w:val="17"/>
              </w:rPr>
              <w:t xml:space="preserve"> </w:t>
            </w:r>
            <w:r>
              <w:rPr>
                <w:spacing w:val="9"/>
              </w:rPr>
              <w:t>价</w:t>
            </w:r>
          </w:p>
        </w:tc>
        <w:tc>
          <w:tcPr>
            <w:tcW w:w="1755" w:type="dxa"/>
            <w:vAlign w:val="top"/>
          </w:tcPr>
          <w:p w14:paraId="1DBF6EEE">
            <w:pPr>
              <w:pStyle w:val="6"/>
              <w:spacing w:before="62" w:line="227" w:lineRule="auto"/>
              <w:ind w:left="461"/>
            </w:pPr>
            <w:r>
              <w:rPr>
                <w:spacing w:val="7"/>
              </w:rPr>
              <w:t>评价因子</w:t>
            </w:r>
          </w:p>
        </w:tc>
        <w:tc>
          <w:tcPr>
            <w:tcW w:w="5415" w:type="dxa"/>
            <w:gridSpan w:val="6"/>
            <w:vAlign w:val="top"/>
          </w:tcPr>
          <w:p w14:paraId="1AB82850">
            <w:pPr>
              <w:pStyle w:val="6"/>
              <w:spacing w:before="32" w:line="274" w:lineRule="exact"/>
              <w:ind w:left="2052"/>
            </w:pPr>
            <w:r>
              <w:rPr>
                <w:rFonts w:ascii="Times New Roman" w:hAnsi="Times New Roman" w:eastAsia="Times New Roman" w:cs="Times New Roman"/>
                <w:spacing w:val="7"/>
                <w:position w:val="1"/>
              </w:rPr>
              <w:t xml:space="preserve">45 </w:t>
            </w:r>
            <w:r>
              <w:rPr>
                <w:spacing w:val="7"/>
                <w:position w:val="1"/>
              </w:rPr>
              <w:t>项基本因子</w:t>
            </w:r>
          </w:p>
        </w:tc>
        <w:tc>
          <w:tcPr>
            <w:tcW w:w="1350" w:type="dxa"/>
            <w:vAlign w:val="top"/>
          </w:tcPr>
          <w:p w14:paraId="67D86B7D">
            <w:pPr>
              <w:rPr>
                <w:rFonts w:ascii="Arial"/>
                <w:sz w:val="21"/>
              </w:rPr>
            </w:pPr>
          </w:p>
        </w:tc>
      </w:tr>
      <w:tr w14:paraId="62A19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7424004B">
            <w:pPr>
              <w:rPr>
                <w:rFonts w:ascii="Arial"/>
                <w:sz w:val="21"/>
              </w:rPr>
            </w:pPr>
          </w:p>
        </w:tc>
        <w:tc>
          <w:tcPr>
            <w:tcW w:w="1755" w:type="dxa"/>
            <w:vAlign w:val="top"/>
          </w:tcPr>
          <w:p w14:paraId="1F608DF3">
            <w:pPr>
              <w:pStyle w:val="6"/>
              <w:spacing w:before="62" w:line="227" w:lineRule="auto"/>
              <w:ind w:left="461"/>
            </w:pPr>
            <w:r>
              <w:rPr>
                <w:spacing w:val="7"/>
              </w:rPr>
              <w:t>评价标准</w:t>
            </w:r>
          </w:p>
        </w:tc>
        <w:tc>
          <w:tcPr>
            <w:tcW w:w="5415" w:type="dxa"/>
            <w:gridSpan w:val="6"/>
            <w:vAlign w:val="top"/>
          </w:tcPr>
          <w:p w14:paraId="45B4EEC4">
            <w:pPr>
              <w:pStyle w:val="6"/>
              <w:spacing w:before="32" w:line="274" w:lineRule="exact"/>
              <w:ind w:left="114"/>
            </w:pPr>
            <w:r>
              <w:rPr>
                <w:rFonts w:ascii="Times New Roman" w:hAnsi="Times New Roman" w:eastAsia="Times New Roman" w:cs="Times New Roman"/>
                <w:position w:val="1"/>
              </w:rPr>
              <w:t>GB</w:t>
            </w:r>
            <w:r>
              <w:rPr>
                <w:rFonts w:ascii="Times New Roman" w:hAnsi="Times New Roman" w:eastAsia="Times New Roman" w:cs="Times New Roman"/>
                <w:spacing w:val="6"/>
                <w:position w:val="1"/>
              </w:rPr>
              <w:t>15618</w:t>
            </w:r>
            <w:r>
              <w:rPr>
                <w:spacing w:val="6"/>
                <w:position w:val="1"/>
              </w:rPr>
              <w:t>□；</w:t>
            </w:r>
            <w:r>
              <w:rPr>
                <w:rFonts w:ascii="Times New Roman" w:hAnsi="Times New Roman" w:eastAsia="Times New Roman" w:cs="Times New Roman"/>
                <w:position w:val="1"/>
              </w:rPr>
              <w:t>GB</w:t>
            </w:r>
            <w:r>
              <w:rPr>
                <w:rFonts w:ascii="Times New Roman" w:hAnsi="Times New Roman" w:eastAsia="Times New Roman" w:cs="Times New Roman"/>
                <w:spacing w:val="6"/>
                <w:position w:val="1"/>
              </w:rPr>
              <w:t>36600</w:t>
            </w:r>
            <w:r>
              <w:rPr>
                <w:position w:val="-3"/>
              </w:rPr>
              <w:drawing>
                <wp:inline distT="0" distB="0" distL="0" distR="0">
                  <wp:extent cx="115570" cy="14668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42"/>
                          <a:stretch>
                            <a:fillRect/>
                          </a:stretch>
                        </pic:blipFill>
                        <pic:spPr>
                          <a:xfrm>
                            <a:off x="0" y="0"/>
                            <a:ext cx="115994" cy="147048"/>
                          </a:xfrm>
                          <a:prstGeom prst="rect">
                            <a:avLst/>
                          </a:prstGeom>
                        </pic:spPr>
                      </pic:pic>
                    </a:graphicData>
                  </a:graphic>
                </wp:inline>
              </w:drawing>
            </w:r>
            <w:r>
              <w:rPr>
                <w:spacing w:val="6"/>
                <w:position w:val="1"/>
              </w:rPr>
              <w:t>；表</w:t>
            </w:r>
            <w:r>
              <w:rPr>
                <w:spacing w:val="-44"/>
                <w:position w:val="1"/>
              </w:rPr>
              <w:t xml:space="preserve"> </w:t>
            </w:r>
            <w:r>
              <w:rPr>
                <w:rFonts w:ascii="Times New Roman" w:hAnsi="Times New Roman" w:eastAsia="Times New Roman" w:cs="Times New Roman"/>
                <w:spacing w:val="6"/>
                <w:position w:val="1"/>
              </w:rPr>
              <w:t>D.</w:t>
            </w:r>
            <w:r>
              <w:rPr>
                <w:rFonts w:ascii="Times New Roman" w:hAnsi="Times New Roman" w:eastAsia="Times New Roman" w:cs="Times New Roman"/>
                <w:spacing w:val="-25"/>
                <w:position w:val="1"/>
              </w:rPr>
              <w:t xml:space="preserve"> </w:t>
            </w:r>
            <w:r>
              <w:rPr>
                <w:rFonts w:ascii="Times New Roman" w:hAnsi="Times New Roman" w:eastAsia="Times New Roman" w:cs="Times New Roman"/>
                <w:spacing w:val="6"/>
                <w:position w:val="1"/>
              </w:rPr>
              <w:t>1</w:t>
            </w:r>
            <w:r>
              <w:rPr>
                <w:spacing w:val="6"/>
                <w:position w:val="1"/>
              </w:rPr>
              <w:t>□；表</w:t>
            </w:r>
            <w:r>
              <w:rPr>
                <w:spacing w:val="-41"/>
                <w:position w:val="1"/>
              </w:rPr>
              <w:t xml:space="preserve"> </w:t>
            </w:r>
            <w:r>
              <w:rPr>
                <w:rFonts w:ascii="Times New Roman" w:hAnsi="Times New Roman" w:eastAsia="Times New Roman" w:cs="Times New Roman"/>
                <w:spacing w:val="6"/>
                <w:position w:val="1"/>
              </w:rPr>
              <w:t>D.2</w:t>
            </w:r>
            <w:r>
              <w:rPr>
                <w:spacing w:val="6"/>
                <w:position w:val="1"/>
              </w:rPr>
              <w:t>□</w:t>
            </w:r>
            <w:r>
              <w:rPr>
                <w:spacing w:val="5"/>
                <w:position w:val="1"/>
              </w:rPr>
              <w:t>；其他 ()</w:t>
            </w:r>
          </w:p>
        </w:tc>
        <w:tc>
          <w:tcPr>
            <w:tcW w:w="1350" w:type="dxa"/>
            <w:vAlign w:val="top"/>
          </w:tcPr>
          <w:p w14:paraId="70E7C766">
            <w:pPr>
              <w:rPr>
                <w:rFonts w:ascii="Arial"/>
                <w:sz w:val="21"/>
              </w:rPr>
            </w:pPr>
          </w:p>
        </w:tc>
      </w:tr>
      <w:tr w14:paraId="170A8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30" w:type="dxa"/>
            <w:vMerge w:val="continue"/>
            <w:tcBorders>
              <w:top w:val="nil"/>
            </w:tcBorders>
            <w:textDirection w:val="tbRlV"/>
            <w:vAlign w:val="top"/>
          </w:tcPr>
          <w:p w14:paraId="06629437">
            <w:pPr>
              <w:rPr>
                <w:rFonts w:ascii="Arial"/>
                <w:sz w:val="21"/>
              </w:rPr>
            </w:pPr>
          </w:p>
        </w:tc>
        <w:tc>
          <w:tcPr>
            <w:tcW w:w="1755" w:type="dxa"/>
            <w:vAlign w:val="top"/>
          </w:tcPr>
          <w:p w14:paraId="5970A02E">
            <w:pPr>
              <w:pStyle w:val="6"/>
              <w:spacing w:before="216" w:line="227" w:lineRule="auto"/>
              <w:ind w:left="252"/>
            </w:pPr>
            <w:r>
              <w:rPr>
                <w:spacing w:val="7"/>
              </w:rPr>
              <w:t>现状评价结论</w:t>
            </w:r>
          </w:p>
        </w:tc>
        <w:tc>
          <w:tcPr>
            <w:tcW w:w="5415" w:type="dxa"/>
            <w:gridSpan w:val="6"/>
            <w:vAlign w:val="top"/>
          </w:tcPr>
          <w:p w14:paraId="0CCEF40A">
            <w:pPr>
              <w:pStyle w:val="6"/>
              <w:spacing w:before="216" w:line="228" w:lineRule="auto"/>
              <w:ind w:left="1352"/>
            </w:pPr>
            <w:r>
              <w:rPr>
                <w:spacing w:val="9"/>
              </w:rPr>
              <w:t>项目所在地土壤现状环境良好</w:t>
            </w:r>
          </w:p>
        </w:tc>
        <w:tc>
          <w:tcPr>
            <w:tcW w:w="1350" w:type="dxa"/>
            <w:vAlign w:val="top"/>
          </w:tcPr>
          <w:p w14:paraId="39001975">
            <w:pPr>
              <w:rPr>
                <w:rFonts w:ascii="Arial"/>
                <w:sz w:val="21"/>
              </w:rPr>
            </w:pPr>
          </w:p>
        </w:tc>
      </w:tr>
      <w:tr w14:paraId="4586D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restart"/>
            <w:tcBorders>
              <w:bottom w:val="nil"/>
            </w:tcBorders>
            <w:textDirection w:val="tbRlV"/>
            <w:vAlign w:val="top"/>
          </w:tcPr>
          <w:p w14:paraId="2785531A">
            <w:pPr>
              <w:pStyle w:val="6"/>
              <w:spacing w:before="107" w:line="216" w:lineRule="auto"/>
              <w:ind w:left="402"/>
            </w:pPr>
            <w:r>
              <w:rPr>
                <w:spacing w:val="9"/>
              </w:rPr>
              <w:t>影</w:t>
            </w:r>
            <w:r>
              <w:rPr>
                <w:spacing w:val="18"/>
              </w:rPr>
              <w:t xml:space="preserve"> </w:t>
            </w:r>
            <w:r>
              <w:rPr>
                <w:spacing w:val="9"/>
              </w:rPr>
              <w:t>响</w:t>
            </w:r>
            <w:r>
              <w:rPr>
                <w:spacing w:val="17"/>
              </w:rPr>
              <w:t xml:space="preserve"> </w:t>
            </w:r>
            <w:r>
              <w:rPr>
                <w:spacing w:val="9"/>
              </w:rPr>
              <w:t>预</w:t>
            </w:r>
            <w:r>
              <w:rPr>
                <w:spacing w:val="16"/>
              </w:rPr>
              <w:t xml:space="preserve"> </w:t>
            </w:r>
            <w:r>
              <w:rPr>
                <w:spacing w:val="9"/>
              </w:rPr>
              <w:t>测</w:t>
            </w:r>
          </w:p>
        </w:tc>
        <w:tc>
          <w:tcPr>
            <w:tcW w:w="1755" w:type="dxa"/>
            <w:vAlign w:val="top"/>
          </w:tcPr>
          <w:p w14:paraId="03AE5CB1">
            <w:pPr>
              <w:pStyle w:val="6"/>
              <w:spacing w:before="61" w:line="229" w:lineRule="auto"/>
              <w:ind w:left="463"/>
            </w:pPr>
            <w:r>
              <w:rPr>
                <w:spacing w:val="6"/>
              </w:rPr>
              <w:t>预测因子</w:t>
            </w:r>
          </w:p>
        </w:tc>
        <w:tc>
          <w:tcPr>
            <w:tcW w:w="5415" w:type="dxa"/>
            <w:gridSpan w:val="6"/>
            <w:vAlign w:val="top"/>
          </w:tcPr>
          <w:p w14:paraId="2A3A1DB7">
            <w:pPr>
              <w:spacing w:before="30" w:line="275" w:lineRule="exact"/>
              <w:ind w:left="267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0" w:type="dxa"/>
            <w:vAlign w:val="top"/>
          </w:tcPr>
          <w:p w14:paraId="7F337897">
            <w:pPr>
              <w:rPr>
                <w:rFonts w:ascii="Arial"/>
                <w:sz w:val="21"/>
              </w:rPr>
            </w:pPr>
          </w:p>
        </w:tc>
      </w:tr>
      <w:tr w14:paraId="7FC2D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63D1FC49">
            <w:pPr>
              <w:rPr>
                <w:rFonts w:ascii="Arial"/>
                <w:sz w:val="21"/>
              </w:rPr>
            </w:pPr>
          </w:p>
        </w:tc>
        <w:tc>
          <w:tcPr>
            <w:tcW w:w="1755" w:type="dxa"/>
            <w:vAlign w:val="top"/>
          </w:tcPr>
          <w:p w14:paraId="080E5C80">
            <w:pPr>
              <w:pStyle w:val="6"/>
              <w:spacing w:before="61" w:line="229" w:lineRule="auto"/>
              <w:ind w:left="463"/>
            </w:pPr>
            <w:r>
              <w:rPr>
                <w:spacing w:val="6"/>
              </w:rPr>
              <w:t>预测方法</w:t>
            </w:r>
          </w:p>
        </w:tc>
        <w:tc>
          <w:tcPr>
            <w:tcW w:w="5415" w:type="dxa"/>
            <w:gridSpan w:val="6"/>
            <w:vAlign w:val="top"/>
          </w:tcPr>
          <w:p w14:paraId="1F562C1C">
            <w:pPr>
              <w:pStyle w:val="6"/>
              <w:spacing w:before="54" w:line="230" w:lineRule="auto"/>
              <w:ind w:left="1308"/>
            </w:pPr>
            <w:r>
              <w:rPr>
                <w:spacing w:val="2"/>
              </w:rPr>
              <w:t>附录</w:t>
            </w:r>
            <w:r>
              <w:rPr>
                <w:spacing w:val="-33"/>
              </w:rPr>
              <w:t xml:space="preserve"> </w:t>
            </w:r>
            <w:r>
              <w:rPr>
                <w:rFonts w:ascii="Times New Roman" w:hAnsi="Times New Roman" w:eastAsia="Times New Roman" w:cs="Times New Roman"/>
                <w:spacing w:val="2"/>
              </w:rPr>
              <w:t>E</w:t>
            </w:r>
            <w:r>
              <w:rPr>
                <w:rFonts w:ascii="Times New Roman" w:hAnsi="Times New Roman" w:eastAsia="Times New Roman" w:cs="Times New Roman"/>
                <w:spacing w:val="-33"/>
              </w:rPr>
              <w:t xml:space="preserve"> </w:t>
            </w:r>
            <w:r>
              <w:rPr>
                <w:position w:val="-4"/>
              </w:rPr>
              <w:drawing>
                <wp:inline distT="0" distB="0" distL="0" distR="0">
                  <wp:extent cx="105410" cy="14668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48"/>
                          <a:stretch>
                            <a:fillRect/>
                          </a:stretch>
                        </pic:blipFill>
                        <pic:spPr>
                          <a:xfrm>
                            <a:off x="0" y="0"/>
                            <a:ext cx="105641" cy="147048"/>
                          </a:xfrm>
                          <a:prstGeom prst="rect">
                            <a:avLst/>
                          </a:prstGeom>
                        </pic:spPr>
                      </pic:pic>
                    </a:graphicData>
                  </a:graphic>
                </wp:inline>
              </w:drawing>
            </w:r>
            <w:r>
              <w:rPr>
                <w:rFonts w:ascii="Times New Roman" w:hAnsi="Times New Roman" w:eastAsia="Times New Roman" w:cs="Times New Roman"/>
                <w:spacing w:val="-23"/>
              </w:rPr>
              <w:t xml:space="preserve"> </w:t>
            </w:r>
            <w:r>
              <w:rPr>
                <w:spacing w:val="2"/>
              </w:rPr>
              <w:t>；附录</w:t>
            </w:r>
            <w:r>
              <w:rPr>
                <w:spacing w:val="-41"/>
              </w:rPr>
              <w:t xml:space="preserve"> </w:t>
            </w:r>
            <w:r>
              <w:rPr>
                <w:rFonts w:ascii="Times New Roman" w:hAnsi="Times New Roman" w:eastAsia="Times New Roman" w:cs="Times New Roman"/>
                <w:spacing w:val="2"/>
              </w:rPr>
              <w:t>F</w:t>
            </w:r>
            <w:r>
              <w:rPr>
                <w:spacing w:val="2"/>
              </w:rPr>
              <w:t>□；其他 ()</w:t>
            </w:r>
          </w:p>
        </w:tc>
        <w:tc>
          <w:tcPr>
            <w:tcW w:w="1350" w:type="dxa"/>
            <w:vAlign w:val="top"/>
          </w:tcPr>
          <w:p w14:paraId="440B8668">
            <w:pPr>
              <w:rPr>
                <w:rFonts w:ascii="Arial"/>
                <w:sz w:val="21"/>
              </w:rPr>
            </w:pPr>
          </w:p>
        </w:tc>
      </w:tr>
      <w:tr w14:paraId="07242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30" w:type="dxa"/>
            <w:vMerge w:val="continue"/>
            <w:tcBorders>
              <w:top w:val="nil"/>
              <w:bottom w:val="nil"/>
            </w:tcBorders>
            <w:textDirection w:val="tbRlV"/>
            <w:vAlign w:val="top"/>
          </w:tcPr>
          <w:p w14:paraId="5ECE8B55">
            <w:pPr>
              <w:rPr>
                <w:rFonts w:ascii="Arial"/>
                <w:sz w:val="21"/>
              </w:rPr>
            </w:pPr>
          </w:p>
        </w:tc>
        <w:tc>
          <w:tcPr>
            <w:tcW w:w="1755" w:type="dxa"/>
            <w:vAlign w:val="top"/>
          </w:tcPr>
          <w:p w14:paraId="2D9F896F">
            <w:pPr>
              <w:pStyle w:val="6"/>
              <w:spacing w:before="225" w:line="228" w:lineRule="auto"/>
              <w:ind w:left="252"/>
            </w:pPr>
            <w:r>
              <w:rPr>
                <w:spacing w:val="7"/>
              </w:rPr>
              <w:t>预测分析内容</w:t>
            </w:r>
          </w:p>
        </w:tc>
        <w:tc>
          <w:tcPr>
            <w:tcW w:w="5415" w:type="dxa"/>
            <w:gridSpan w:val="6"/>
            <w:vAlign w:val="top"/>
          </w:tcPr>
          <w:p w14:paraId="53CF840B">
            <w:pPr>
              <w:pStyle w:val="6"/>
              <w:spacing w:before="61" w:line="229" w:lineRule="auto"/>
              <w:ind w:left="2083"/>
            </w:pPr>
            <w:r>
              <w:rPr>
                <w:spacing w:val="1"/>
              </w:rPr>
              <w:t>影响范围</w:t>
            </w:r>
            <w:r>
              <w:rPr>
                <w:spacing w:val="24"/>
              </w:rPr>
              <w:t xml:space="preserve"> </w:t>
            </w:r>
            <w:r>
              <w:rPr>
                <w:spacing w:val="1"/>
              </w:rPr>
              <w:t>()</w:t>
            </w:r>
          </w:p>
          <w:p w14:paraId="146BF8CF">
            <w:pPr>
              <w:pStyle w:val="6"/>
              <w:spacing w:before="78" w:line="229" w:lineRule="auto"/>
              <w:ind w:left="2083"/>
            </w:pPr>
            <w:r>
              <w:rPr>
                <w:spacing w:val="1"/>
              </w:rPr>
              <w:t>影响程度</w:t>
            </w:r>
            <w:r>
              <w:rPr>
                <w:spacing w:val="24"/>
              </w:rPr>
              <w:t xml:space="preserve"> </w:t>
            </w:r>
            <w:r>
              <w:rPr>
                <w:spacing w:val="1"/>
              </w:rPr>
              <w:t>()</w:t>
            </w:r>
          </w:p>
        </w:tc>
        <w:tc>
          <w:tcPr>
            <w:tcW w:w="1350" w:type="dxa"/>
            <w:vAlign w:val="top"/>
          </w:tcPr>
          <w:p w14:paraId="2DBFACA3">
            <w:pPr>
              <w:rPr>
                <w:rFonts w:ascii="Arial"/>
                <w:sz w:val="21"/>
              </w:rPr>
            </w:pPr>
          </w:p>
        </w:tc>
      </w:tr>
      <w:tr w14:paraId="4D65A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430" w:type="dxa"/>
            <w:vMerge w:val="continue"/>
            <w:tcBorders>
              <w:top w:val="nil"/>
            </w:tcBorders>
            <w:textDirection w:val="tbRlV"/>
            <w:vAlign w:val="top"/>
          </w:tcPr>
          <w:p w14:paraId="4BDC6665">
            <w:pPr>
              <w:rPr>
                <w:rFonts w:ascii="Arial"/>
                <w:sz w:val="21"/>
              </w:rPr>
            </w:pPr>
          </w:p>
        </w:tc>
        <w:tc>
          <w:tcPr>
            <w:tcW w:w="1755" w:type="dxa"/>
            <w:vAlign w:val="top"/>
          </w:tcPr>
          <w:p w14:paraId="3079DC01">
            <w:pPr>
              <w:pStyle w:val="6"/>
              <w:spacing w:before="225" w:line="229" w:lineRule="auto"/>
              <w:ind w:left="463"/>
            </w:pPr>
            <w:r>
              <w:rPr>
                <w:spacing w:val="6"/>
              </w:rPr>
              <w:t>预测结论</w:t>
            </w:r>
          </w:p>
        </w:tc>
        <w:tc>
          <w:tcPr>
            <w:tcW w:w="5415" w:type="dxa"/>
            <w:gridSpan w:val="6"/>
            <w:vAlign w:val="top"/>
          </w:tcPr>
          <w:p w14:paraId="72981DAC">
            <w:pPr>
              <w:pStyle w:val="6"/>
              <w:spacing w:before="31" w:line="274" w:lineRule="exact"/>
              <w:ind w:left="1499"/>
            </w:pPr>
            <w:r>
              <w:rPr>
                <w:spacing w:val="4"/>
                <w:position w:val="1"/>
              </w:rPr>
              <w:t>达标结论：</w:t>
            </w:r>
            <w:r>
              <w:rPr>
                <w:rFonts w:ascii="Times New Roman" w:hAnsi="Times New Roman" w:eastAsia="Times New Roman" w:cs="Times New Roman"/>
                <w:spacing w:val="4"/>
                <w:position w:val="1"/>
              </w:rPr>
              <w:t>a)</w:t>
            </w:r>
            <w:r>
              <w:rPr>
                <w:rFonts w:ascii="Times New Roman" w:hAnsi="Times New Roman" w:eastAsia="Times New Roman" w:cs="Times New Roman"/>
                <w:spacing w:val="23"/>
                <w:w w:val="101"/>
                <w:position w:val="1"/>
              </w:rPr>
              <w:t xml:space="preserve"> </w:t>
            </w:r>
            <w:r>
              <w:rPr>
                <w:position w:val="-3"/>
              </w:rPr>
              <w:drawing>
                <wp:inline distT="0" distB="0" distL="0" distR="0">
                  <wp:extent cx="105410" cy="14668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242"/>
                          <a:stretch>
                            <a:fillRect/>
                          </a:stretch>
                        </pic:blipFill>
                        <pic:spPr>
                          <a:xfrm>
                            <a:off x="0" y="0"/>
                            <a:ext cx="105641" cy="147048"/>
                          </a:xfrm>
                          <a:prstGeom prst="rect">
                            <a:avLst/>
                          </a:prstGeom>
                        </pic:spPr>
                      </pic:pic>
                    </a:graphicData>
                  </a:graphic>
                </wp:inline>
              </w:drawing>
            </w:r>
            <w:r>
              <w:rPr>
                <w:rFonts w:ascii="Times New Roman" w:hAnsi="Times New Roman" w:eastAsia="Times New Roman" w:cs="Times New Roman"/>
                <w:spacing w:val="-35"/>
                <w:position w:val="1"/>
              </w:rPr>
              <w:t xml:space="preserve"> </w:t>
            </w:r>
            <w:r>
              <w:rPr>
                <w:rFonts w:ascii="Times New Roman" w:hAnsi="Times New Roman" w:eastAsia="Times New Roman" w:cs="Times New Roman"/>
                <w:spacing w:val="4"/>
                <w:position w:val="1"/>
              </w:rPr>
              <w:t>;b)</w:t>
            </w:r>
            <w:r>
              <w:rPr>
                <w:spacing w:val="4"/>
                <w:position w:val="1"/>
              </w:rPr>
              <w:t>□</w:t>
            </w:r>
            <w:r>
              <w:rPr>
                <w:rFonts w:ascii="Times New Roman" w:hAnsi="Times New Roman" w:eastAsia="Times New Roman" w:cs="Times New Roman"/>
                <w:spacing w:val="4"/>
                <w:position w:val="1"/>
              </w:rPr>
              <w:t>;c)</w:t>
            </w:r>
            <w:r>
              <w:rPr>
                <w:rFonts w:ascii="Times New Roman" w:hAnsi="Times New Roman" w:eastAsia="Times New Roman" w:cs="Times New Roman"/>
                <w:spacing w:val="18"/>
                <w:w w:val="101"/>
                <w:position w:val="1"/>
              </w:rPr>
              <w:t xml:space="preserve">  </w:t>
            </w:r>
            <w:r>
              <w:rPr>
                <w:spacing w:val="4"/>
                <w:position w:val="1"/>
              </w:rPr>
              <w:t>□</w:t>
            </w:r>
          </w:p>
          <w:p w14:paraId="79F0C22E">
            <w:pPr>
              <w:pStyle w:val="6"/>
              <w:spacing w:before="52" w:line="274" w:lineRule="exact"/>
              <w:ind w:left="1626"/>
            </w:pPr>
            <w:r>
              <w:rPr>
                <w:spacing w:val="4"/>
                <w:position w:val="2"/>
              </w:rPr>
              <w:t>不达标结论：</w:t>
            </w:r>
            <w:r>
              <w:rPr>
                <w:rFonts w:ascii="Times New Roman" w:hAnsi="Times New Roman" w:eastAsia="Times New Roman" w:cs="Times New Roman"/>
                <w:spacing w:val="4"/>
                <w:position w:val="2"/>
              </w:rPr>
              <w:t>a)</w:t>
            </w:r>
            <w:r>
              <w:rPr>
                <w:rFonts w:ascii="Times New Roman" w:hAnsi="Times New Roman" w:eastAsia="Times New Roman" w:cs="Times New Roman"/>
                <w:spacing w:val="19"/>
                <w:w w:val="101"/>
                <w:position w:val="2"/>
              </w:rPr>
              <w:t xml:space="preserve">  </w:t>
            </w:r>
            <w:r>
              <w:rPr>
                <w:spacing w:val="4"/>
                <w:position w:val="2"/>
              </w:rPr>
              <w:t>□</w:t>
            </w:r>
            <w:r>
              <w:rPr>
                <w:rFonts w:ascii="Times New Roman" w:hAnsi="Times New Roman" w:eastAsia="Times New Roman" w:cs="Times New Roman"/>
                <w:spacing w:val="4"/>
                <w:position w:val="2"/>
              </w:rPr>
              <w:t>;b)</w:t>
            </w:r>
            <w:r>
              <w:rPr>
                <w:spacing w:val="4"/>
                <w:position w:val="2"/>
              </w:rPr>
              <w:t>□</w:t>
            </w:r>
          </w:p>
        </w:tc>
        <w:tc>
          <w:tcPr>
            <w:tcW w:w="1350" w:type="dxa"/>
            <w:vAlign w:val="top"/>
          </w:tcPr>
          <w:p w14:paraId="240ED9AB">
            <w:pPr>
              <w:rPr>
                <w:rFonts w:ascii="Arial"/>
                <w:sz w:val="21"/>
              </w:rPr>
            </w:pPr>
          </w:p>
        </w:tc>
      </w:tr>
      <w:tr w14:paraId="5DA83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430" w:type="dxa"/>
            <w:vMerge w:val="restart"/>
            <w:tcBorders>
              <w:bottom w:val="nil"/>
            </w:tcBorders>
            <w:textDirection w:val="tbRlV"/>
            <w:vAlign w:val="top"/>
          </w:tcPr>
          <w:p w14:paraId="168CCB82">
            <w:pPr>
              <w:pStyle w:val="6"/>
              <w:spacing w:before="107" w:line="217" w:lineRule="auto"/>
              <w:ind w:left="241"/>
            </w:pPr>
            <w:r>
              <w:rPr>
                <w:spacing w:val="9"/>
              </w:rPr>
              <w:t>防</w:t>
            </w:r>
            <w:r>
              <w:rPr>
                <w:spacing w:val="18"/>
              </w:rPr>
              <w:t xml:space="preserve"> </w:t>
            </w:r>
            <w:r>
              <w:rPr>
                <w:spacing w:val="9"/>
              </w:rPr>
              <w:t>治</w:t>
            </w:r>
            <w:r>
              <w:rPr>
                <w:spacing w:val="17"/>
              </w:rPr>
              <w:t xml:space="preserve"> </w:t>
            </w:r>
            <w:r>
              <w:rPr>
                <w:spacing w:val="9"/>
              </w:rPr>
              <w:t>措</w:t>
            </w:r>
            <w:r>
              <w:rPr>
                <w:spacing w:val="16"/>
              </w:rPr>
              <w:t xml:space="preserve"> </w:t>
            </w:r>
            <w:r>
              <w:rPr>
                <w:spacing w:val="9"/>
              </w:rPr>
              <w:t>施</w:t>
            </w:r>
          </w:p>
        </w:tc>
        <w:tc>
          <w:tcPr>
            <w:tcW w:w="1755" w:type="dxa"/>
            <w:vAlign w:val="top"/>
          </w:tcPr>
          <w:p w14:paraId="7EEEF75F">
            <w:pPr>
              <w:pStyle w:val="6"/>
              <w:spacing w:before="226" w:line="229" w:lineRule="auto"/>
              <w:ind w:left="475"/>
            </w:pPr>
            <w:r>
              <w:rPr>
                <w:spacing w:val="4"/>
              </w:rPr>
              <w:t>防控措施</w:t>
            </w:r>
          </w:p>
        </w:tc>
        <w:tc>
          <w:tcPr>
            <w:tcW w:w="5415" w:type="dxa"/>
            <w:gridSpan w:val="6"/>
            <w:vAlign w:val="top"/>
          </w:tcPr>
          <w:p w14:paraId="27B9C25D">
            <w:pPr>
              <w:pStyle w:val="6"/>
              <w:spacing w:before="55" w:line="230" w:lineRule="auto"/>
              <w:ind w:left="114"/>
            </w:pPr>
            <w:r>
              <w:rPr>
                <w:spacing w:val="8"/>
              </w:rPr>
              <w:t>土壤环境质量现状保障□；源头控制</w:t>
            </w:r>
            <w:r>
              <w:rPr>
                <w:position w:val="-4"/>
              </w:rPr>
              <w:drawing>
                <wp:inline distT="0" distB="0" distL="0" distR="0">
                  <wp:extent cx="118110" cy="14668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48"/>
                          <a:stretch>
                            <a:fillRect/>
                          </a:stretch>
                        </pic:blipFill>
                        <pic:spPr>
                          <a:xfrm>
                            <a:off x="0" y="0"/>
                            <a:ext cx="118197" cy="147048"/>
                          </a:xfrm>
                          <a:prstGeom prst="rect">
                            <a:avLst/>
                          </a:prstGeom>
                        </pic:spPr>
                      </pic:pic>
                    </a:graphicData>
                  </a:graphic>
                </wp:inline>
              </w:drawing>
            </w:r>
            <w:r>
              <w:rPr>
                <w:spacing w:val="8"/>
              </w:rPr>
              <w:t>；过程防控□；其</w:t>
            </w:r>
          </w:p>
          <w:p w14:paraId="0CCEF1EC">
            <w:pPr>
              <w:pStyle w:val="6"/>
              <w:spacing w:before="84" w:line="229" w:lineRule="auto"/>
              <w:ind w:left="2398"/>
            </w:pPr>
            <w:r>
              <w:rPr>
                <w:spacing w:val="-6"/>
              </w:rPr>
              <w:t>他</w:t>
            </w:r>
            <w:r>
              <w:rPr>
                <w:spacing w:val="19"/>
              </w:rPr>
              <w:t xml:space="preserve"> </w:t>
            </w:r>
            <w:r>
              <w:rPr>
                <w:spacing w:val="-6"/>
              </w:rPr>
              <w:t>()</w:t>
            </w:r>
          </w:p>
        </w:tc>
        <w:tc>
          <w:tcPr>
            <w:tcW w:w="1350" w:type="dxa"/>
            <w:vAlign w:val="top"/>
          </w:tcPr>
          <w:p w14:paraId="7BA5DD2C">
            <w:pPr>
              <w:rPr>
                <w:rFonts w:ascii="Arial"/>
                <w:sz w:val="21"/>
              </w:rPr>
            </w:pPr>
          </w:p>
        </w:tc>
      </w:tr>
      <w:tr w14:paraId="3C49B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5B9CCD2F">
            <w:pPr>
              <w:rPr>
                <w:rFonts w:ascii="Arial"/>
                <w:sz w:val="21"/>
              </w:rPr>
            </w:pPr>
          </w:p>
        </w:tc>
        <w:tc>
          <w:tcPr>
            <w:tcW w:w="1755" w:type="dxa"/>
            <w:vMerge w:val="restart"/>
            <w:tcBorders>
              <w:bottom w:val="nil"/>
            </w:tcBorders>
            <w:vAlign w:val="top"/>
          </w:tcPr>
          <w:p w14:paraId="6027FAA6">
            <w:pPr>
              <w:pStyle w:val="6"/>
              <w:spacing w:before="231" w:line="229" w:lineRule="auto"/>
              <w:ind w:left="460"/>
            </w:pPr>
            <w:r>
              <w:rPr>
                <w:spacing w:val="7"/>
              </w:rPr>
              <w:t>跟踪监测</w:t>
            </w:r>
          </w:p>
        </w:tc>
        <w:tc>
          <w:tcPr>
            <w:tcW w:w="2437" w:type="dxa"/>
            <w:gridSpan w:val="2"/>
            <w:vAlign w:val="top"/>
          </w:tcPr>
          <w:p w14:paraId="4E0BB0A1">
            <w:pPr>
              <w:pStyle w:val="6"/>
              <w:spacing w:before="64" w:line="228" w:lineRule="auto"/>
              <w:ind w:left="805"/>
            </w:pPr>
            <w:r>
              <w:rPr>
                <w:spacing w:val="7"/>
              </w:rPr>
              <w:t>监测点数</w:t>
            </w:r>
          </w:p>
        </w:tc>
        <w:tc>
          <w:tcPr>
            <w:tcW w:w="1619" w:type="dxa"/>
            <w:gridSpan w:val="2"/>
            <w:vAlign w:val="top"/>
          </w:tcPr>
          <w:p w14:paraId="0982D423">
            <w:pPr>
              <w:pStyle w:val="6"/>
              <w:spacing w:before="63" w:line="229" w:lineRule="auto"/>
              <w:ind w:left="396"/>
            </w:pPr>
            <w:r>
              <w:rPr>
                <w:spacing w:val="7"/>
              </w:rPr>
              <w:t>监测指标</w:t>
            </w:r>
          </w:p>
        </w:tc>
        <w:tc>
          <w:tcPr>
            <w:tcW w:w="1359" w:type="dxa"/>
            <w:gridSpan w:val="2"/>
            <w:vAlign w:val="top"/>
          </w:tcPr>
          <w:p w14:paraId="5F3B84D4">
            <w:pPr>
              <w:pStyle w:val="6"/>
              <w:spacing w:before="64" w:line="228" w:lineRule="auto"/>
              <w:ind w:left="267"/>
            </w:pPr>
            <w:r>
              <w:rPr>
                <w:spacing w:val="7"/>
              </w:rPr>
              <w:t>监测频次</w:t>
            </w:r>
          </w:p>
        </w:tc>
        <w:tc>
          <w:tcPr>
            <w:tcW w:w="1350" w:type="dxa"/>
            <w:vAlign w:val="top"/>
          </w:tcPr>
          <w:p w14:paraId="16BD76F4">
            <w:pPr>
              <w:rPr>
                <w:rFonts w:ascii="Arial"/>
                <w:sz w:val="21"/>
              </w:rPr>
            </w:pPr>
          </w:p>
        </w:tc>
      </w:tr>
      <w:tr w14:paraId="28FC1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bottom w:val="nil"/>
            </w:tcBorders>
            <w:textDirection w:val="tbRlV"/>
            <w:vAlign w:val="top"/>
          </w:tcPr>
          <w:p w14:paraId="0031F37C">
            <w:pPr>
              <w:rPr>
                <w:rFonts w:ascii="Arial"/>
                <w:sz w:val="21"/>
              </w:rPr>
            </w:pPr>
          </w:p>
        </w:tc>
        <w:tc>
          <w:tcPr>
            <w:tcW w:w="1755" w:type="dxa"/>
            <w:vMerge w:val="continue"/>
            <w:tcBorders>
              <w:top w:val="nil"/>
            </w:tcBorders>
            <w:vAlign w:val="top"/>
          </w:tcPr>
          <w:p w14:paraId="227FD749">
            <w:pPr>
              <w:rPr>
                <w:rFonts w:ascii="Arial"/>
                <w:sz w:val="21"/>
              </w:rPr>
            </w:pPr>
          </w:p>
        </w:tc>
        <w:tc>
          <w:tcPr>
            <w:tcW w:w="2437" w:type="dxa"/>
            <w:gridSpan w:val="2"/>
            <w:vAlign w:val="top"/>
          </w:tcPr>
          <w:p w14:paraId="2C92C750">
            <w:pPr>
              <w:rPr>
                <w:rFonts w:ascii="Arial"/>
                <w:sz w:val="21"/>
              </w:rPr>
            </w:pPr>
          </w:p>
        </w:tc>
        <w:tc>
          <w:tcPr>
            <w:tcW w:w="1619" w:type="dxa"/>
            <w:gridSpan w:val="2"/>
            <w:vAlign w:val="top"/>
          </w:tcPr>
          <w:p w14:paraId="4FF911FC">
            <w:pPr>
              <w:rPr>
                <w:rFonts w:ascii="Arial"/>
                <w:sz w:val="21"/>
              </w:rPr>
            </w:pPr>
          </w:p>
        </w:tc>
        <w:tc>
          <w:tcPr>
            <w:tcW w:w="1359" w:type="dxa"/>
            <w:gridSpan w:val="2"/>
            <w:vAlign w:val="top"/>
          </w:tcPr>
          <w:p w14:paraId="3786D421">
            <w:pPr>
              <w:rPr>
                <w:rFonts w:ascii="Arial"/>
                <w:sz w:val="21"/>
              </w:rPr>
            </w:pPr>
          </w:p>
        </w:tc>
        <w:tc>
          <w:tcPr>
            <w:tcW w:w="1350" w:type="dxa"/>
            <w:vAlign w:val="top"/>
          </w:tcPr>
          <w:p w14:paraId="750B49DB">
            <w:pPr>
              <w:rPr>
                <w:rFonts w:ascii="Arial"/>
                <w:sz w:val="21"/>
              </w:rPr>
            </w:pPr>
          </w:p>
        </w:tc>
      </w:tr>
      <w:tr w14:paraId="4B534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30" w:type="dxa"/>
            <w:vMerge w:val="continue"/>
            <w:tcBorders>
              <w:top w:val="nil"/>
            </w:tcBorders>
            <w:textDirection w:val="tbRlV"/>
            <w:vAlign w:val="top"/>
          </w:tcPr>
          <w:p w14:paraId="02ABAA90">
            <w:pPr>
              <w:rPr>
                <w:rFonts w:ascii="Arial"/>
                <w:sz w:val="21"/>
              </w:rPr>
            </w:pPr>
          </w:p>
        </w:tc>
        <w:tc>
          <w:tcPr>
            <w:tcW w:w="1755" w:type="dxa"/>
            <w:vAlign w:val="top"/>
          </w:tcPr>
          <w:p w14:paraId="23C24062">
            <w:pPr>
              <w:pStyle w:val="6"/>
              <w:spacing w:before="64" w:line="228" w:lineRule="auto"/>
              <w:ind w:left="250"/>
            </w:pPr>
            <w:r>
              <w:rPr>
                <w:spacing w:val="8"/>
              </w:rPr>
              <w:t>信息公开指标</w:t>
            </w:r>
          </w:p>
        </w:tc>
        <w:tc>
          <w:tcPr>
            <w:tcW w:w="5415" w:type="dxa"/>
            <w:gridSpan w:val="6"/>
            <w:vAlign w:val="top"/>
          </w:tcPr>
          <w:p w14:paraId="28847533">
            <w:pPr>
              <w:rPr>
                <w:rFonts w:ascii="Arial"/>
                <w:sz w:val="21"/>
              </w:rPr>
            </w:pPr>
          </w:p>
        </w:tc>
        <w:tc>
          <w:tcPr>
            <w:tcW w:w="1350" w:type="dxa"/>
            <w:vAlign w:val="top"/>
          </w:tcPr>
          <w:p w14:paraId="1F0FE1FD">
            <w:pPr>
              <w:rPr>
                <w:rFonts w:ascii="Arial"/>
                <w:sz w:val="21"/>
              </w:rPr>
            </w:pPr>
          </w:p>
        </w:tc>
      </w:tr>
      <w:tr w14:paraId="09D04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185" w:type="dxa"/>
            <w:gridSpan w:val="2"/>
            <w:vAlign w:val="top"/>
          </w:tcPr>
          <w:p w14:paraId="0714C43D">
            <w:pPr>
              <w:pStyle w:val="6"/>
              <w:spacing w:before="63" w:line="227" w:lineRule="auto"/>
              <w:ind w:left="677"/>
            </w:pPr>
            <w:r>
              <w:rPr>
                <w:spacing w:val="7"/>
              </w:rPr>
              <w:t>评价结论</w:t>
            </w:r>
          </w:p>
        </w:tc>
        <w:tc>
          <w:tcPr>
            <w:tcW w:w="5415" w:type="dxa"/>
            <w:gridSpan w:val="6"/>
            <w:vAlign w:val="top"/>
          </w:tcPr>
          <w:p w14:paraId="6DC3ED33">
            <w:pPr>
              <w:pStyle w:val="6"/>
              <w:spacing w:before="63" w:line="228" w:lineRule="auto"/>
              <w:ind w:left="1455"/>
            </w:pPr>
            <w:r>
              <w:rPr>
                <w:spacing w:val="9"/>
              </w:rPr>
              <w:t>本项目对土壤环境影响较小</w:t>
            </w:r>
          </w:p>
        </w:tc>
        <w:tc>
          <w:tcPr>
            <w:tcW w:w="1350" w:type="dxa"/>
            <w:vAlign w:val="top"/>
          </w:tcPr>
          <w:p w14:paraId="70848662">
            <w:pPr>
              <w:rPr>
                <w:rFonts w:ascii="Arial"/>
                <w:sz w:val="21"/>
              </w:rPr>
            </w:pPr>
          </w:p>
        </w:tc>
      </w:tr>
      <w:tr w14:paraId="7D981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8950" w:type="dxa"/>
            <w:gridSpan w:val="9"/>
            <w:vAlign w:val="top"/>
          </w:tcPr>
          <w:p w14:paraId="742FE3DB">
            <w:pPr>
              <w:pStyle w:val="6"/>
              <w:spacing w:before="33" w:line="274" w:lineRule="exact"/>
              <w:ind w:left="963"/>
            </w:pPr>
            <w:r>
              <w:rPr>
                <w:spacing w:val="6"/>
                <w:position w:val="1"/>
              </w:rPr>
              <w:t>注</w:t>
            </w:r>
            <w:r>
              <w:rPr>
                <w:spacing w:val="-10"/>
                <w:position w:val="1"/>
              </w:rPr>
              <w:t xml:space="preserve"> </w:t>
            </w:r>
            <w:r>
              <w:rPr>
                <w:rFonts w:ascii="Times New Roman" w:hAnsi="Times New Roman" w:eastAsia="Times New Roman" w:cs="Times New Roman"/>
                <w:spacing w:val="6"/>
                <w:position w:val="1"/>
              </w:rPr>
              <w:t>1</w:t>
            </w:r>
            <w:r>
              <w:rPr>
                <w:rFonts w:ascii="Times New Roman" w:hAnsi="Times New Roman" w:eastAsia="Times New Roman" w:cs="Times New Roman"/>
                <w:spacing w:val="-23"/>
                <w:position w:val="1"/>
              </w:rPr>
              <w:t xml:space="preserve"> </w:t>
            </w:r>
            <w:r>
              <w:rPr>
                <w:spacing w:val="6"/>
                <w:position w:val="1"/>
              </w:rPr>
              <w:t>：</w:t>
            </w:r>
            <w:r>
              <w:rPr>
                <w:rFonts w:ascii="Times New Roman" w:hAnsi="Times New Roman" w:eastAsia="Times New Roman" w:cs="Times New Roman"/>
                <w:spacing w:val="6"/>
                <w:position w:val="1"/>
              </w:rPr>
              <w:t>“</w:t>
            </w:r>
            <w:r>
              <w:rPr>
                <w:spacing w:val="6"/>
                <w:position w:val="1"/>
              </w:rPr>
              <w:t>□</w:t>
            </w:r>
            <w:r>
              <w:rPr>
                <w:rFonts w:ascii="Times New Roman" w:hAnsi="Times New Roman" w:eastAsia="Times New Roman" w:cs="Times New Roman"/>
                <w:spacing w:val="6"/>
                <w:position w:val="1"/>
              </w:rPr>
              <w:t>”</w:t>
            </w:r>
            <w:r>
              <w:rPr>
                <w:spacing w:val="6"/>
                <w:position w:val="1"/>
              </w:rPr>
              <w:t>为勾选项，可</w:t>
            </w:r>
            <w:r>
              <w:rPr>
                <w:position w:val="1"/>
              </w:rPr>
              <w:drawing>
                <wp:inline distT="0" distB="0" distL="0" distR="0">
                  <wp:extent cx="144145" cy="10922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49"/>
                          <a:stretch>
                            <a:fillRect/>
                          </a:stretch>
                        </pic:blipFill>
                        <pic:spPr>
                          <a:xfrm>
                            <a:off x="0" y="0"/>
                            <a:ext cx="144279" cy="109489"/>
                          </a:xfrm>
                          <a:prstGeom prst="rect">
                            <a:avLst/>
                          </a:prstGeom>
                        </pic:spPr>
                      </pic:pic>
                    </a:graphicData>
                  </a:graphic>
                </wp:inline>
              </w:drawing>
            </w:r>
            <w:r>
              <w:rPr>
                <w:spacing w:val="6"/>
                <w:position w:val="1"/>
              </w:rPr>
              <w:t>；</w:t>
            </w:r>
            <w:r>
              <w:rPr>
                <w:rFonts w:ascii="Times New Roman" w:hAnsi="Times New Roman" w:eastAsia="Times New Roman" w:cs="Times New Roman"/>
                <w:spacing w:val="6"/>
                <w:position w:val="1"/>
              </w:rPr>
              <w:t xml:space="preserve">“  </w:t>
            </w:r>
            <w:r>
              <w:rPr>
                <w:spacing w:val="6"/>
                <w:position w:val="1"/>
              </w:rPr>
              <w:t xml:space="preserve">() </w:t>
            </w:r>
            <w:r>
              <w:rPr>
                <w:rFonts w:ascii="Times New Roman" w:hAnsi="Times New Roman" w:eastAsia="Times New Roman" w:cs="Times New Roman"/>
                <w:spacing w:val="6"/>
                <w:position w:val="1"/>
              </w:rPr>
              <w:t>”</w:t>
            </w:r>
            <w:r>
              <w:rPr>
                <w:spacing w:val="6"/>
                <w:position w:val="1"/>
              </w:rPr>
              <w:t>为内容填写项；</w:t>
            </w:r>
            <w:r>
              <w:rPr>
                <w:rFonts w:ascii="Times New Roman" w:hAnsi="Times New Roman" w:eastAsia="Times New Roman" w:cs="Times New Roman"/>
                <w:spacing w:val="6"/>
                <w:position w:val="1"/>
              </w:rPr>
              <w:t>“</w:t>
            </w:r>
            <w:r>
              <w:rPr>
                <w:spacing w:val="6"/>
                <w:position w:val="1"/>
              </w:rPr>
              <w:t>备注</w:t>
            </w:r>
            <w:r>
              <w:rPr>
                <w:rFonts w:ascii="Times New Roman" w:hAnsi="Times New Roman" w:eastAsia="Times New Roman" w:cs="Times New Roman"/>
                <w:spacing w:val="6"/>
                <w:position w:val="1"/>
              </w:rPr>
              <w:t>”</w:t>
            </w:r>
            <w:r>
              <w:rPr>
                <w:spacing w:val="6"/>
                <w:position w:val="1"/>
              </w:rPr>
              <w:t>为其他补充内容。</w:t>
            </w:r>
          </w:p>
          <w:p w14:paraId="000CE467">
            <w:pPr>
              <w:pStyle w:val="6"/>
              <w:spacing w:before="52" w:line="274" w:lineRule="exact"/>
              <w:ind w:left="1460"/>
            </w:pPr>
            <w:r>
              <w:rPr>
                <w:spacing w:val="8"/>
                <w:position w:val="1"/>
              </w:rPr>
              <w:t>注</w:t>
            </w:r>
            <w:r>
              <w:rPr>
                <w:spacing w:val="-39"/>
                <w:position w:val="1"/>
              </w:rPr>
              <w:t xml:space="preserve"> </w:t>
            </w:r>
            <w:r>
              <w:rPr>
                <w:rFonts w:ascii="Times New Roman" w:hAnsi="Times New Roman" w:eastAsia="Times New Roman" w:cs="Times New Roman"/>
                <w:spacing w:val="8"/>
                <w:position w:val="1"/>
              </w:rPr>
              <w:t>2</w:t>
            </w:r>
            <w:r>
              <w:rPr>
                <w:rFonts w:ascii="Times New Roman" w:hAnsi="Times New Roman" w:eastAsia="Times New Roman" w:cs="Times New Roman"/>
                <w:spacing w:val="-25"/>
                <w:position w:val="1"/>
              </w:rPr>
              <w:t xml:space="preserve"> </w:t>
            </w:r>
            <w:r>
              <w:rPr>
                <w:spacing w:val="8"/>
                <w:position w:val="1"/>
              </w:rPr>
              <w:t>：需要分别开展土壤环境影响评级工作的，分别填写自查表。</w:t>
            </w:r>
          </w:p>
        </w:tc>
      </w:tr>
    </w:tbl>
    <w:p w14:paraId="65A2A9E1">
      <w:pPr>
        <w:pStyle w:val="2"/>
      </w:pPr>
    </w:p>
    <w:p w14:paraId="42FE077F">
      <w:pPr>
        <w:sectPr>
          <w:footerReference r:id="rId191" w:type="default"/>
          <w:pgSz w:w="11906" w:h="16839"/>
          <w:pgMar w:top="400" w:right="1475" w:bottom="1485" w:left="1475" w:header="0" w:footer="1249" w:gutter="0"/>
          <w:cols w:space="720" w:num="1"/>
        </w:sectPr>
      </w:pPr>
    </w:p>
    <w:p w14:paraId="58C749CC">
      <w:pPr>
        <w:pStyle w:val="2"/>
      </w:pPr>
    </w:p>
    <w:sectPr>
      <w:footerReference r:id="rId192" w:type="default"/>
      <w:pgSz w:w="11906" w:h="16839"/>
      <w:pgMar w:top="1" w:right="1785" w:bottom="1485" w:left="1785" w:header="0" w:footer="124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8AC23">
    <w:pPr>
      <w:spacing w:line="173" w:lineRule="auto"/>
      <w:ind w:left="4321"/>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BF86D">
    <w:pPr>
      <w:spacing w:line="173" w:lineRule="auto"/>
      <w:ind w:left="454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DCBEF">
    <w:pPr>
      <w:spacing w:line="226" w:lineRule="exact"/>
      <w:ind w:left="446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97</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94DA6">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98</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1DA14">
    <w:pPr>
      <w:spacing w:line="226" w:lineRule="exact"/>
      <w:ind w:left="452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99</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3D402">
    <w:pPr>
      <w:spacing w:line="226" w:lineRule="exact"/>
      <w:ind w:left="449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100</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AA770">
    <w:pPr>
      <w:spacing w:line="226" w:lineRule="exact"/>
      <w:ind w:left="449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101</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CE88F">
    <w:pPr>
      <w:spacing w:line="226" w:lineRule="exact"/>
      <w:ind w:left="449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102</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FAA50">
    <w:pPr>
      <w:spacing w:line="226" w:lineRule="exact"/>
      <w:ind w:left="449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103</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8C73C">
    <w:pPr>
      <w:spacing w:line="226" w:lineRule="exact"/>
      <w:ind w:left="449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104</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0C89A">
    <w:pPr>
      <w:spacing w:line="226" w:lineRule="exact"/>
      <w:ind w:left="442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105</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2A56B">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1059E">
    <w:pPr>
      <w:spacing w:line="226" w:lineRule="exact"/>
      <w:ind w:left="454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8</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8B0B2">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107</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FBDFE">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108</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064F3">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109</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2E9EC">
    <w:pPr>
      <w:spacing w:line="226" w:lineRule="exact"/>
      <w:ind w:left="4423"/>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110</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A849C">
    <w:pPr>
      <w:spacing w:line="226" w:lineRule="exact"/>
      <w:ind w:left="4432"/>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111</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C6B68">
    <w:pPr>
      <w:spacing w:line="226" w:lineRule="exact"/>
      <w:ind w:left="4424"/>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112</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7FF02">
    <w:pPr>
      <w:spacing w:line="226" w:lineRule="exact"/>
      <w:ind w:left="4545"/>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113</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837CD">
    <w:pPr>
      <w:spacing w:line="226" w:lineRule="exact"/>
      <w:ind w:left="4545"/>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114</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A0CDD">
    <w:pPr>
      <w:spacing w:line="226" w:lineRule="exact"/>
      <w:ind w:left="4545"/>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115</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E2E58">
    <w:pPr>
      <w:spacing w:line="226" w:lineRule="exact"/>
      <w:ind w:left="4424"/>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77DAA">
    <w:pPr>
      <w:spacing w:line="226" w:lineRule="exact"/>
      <w:ind w:left="451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9</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DAFB1">
    <w:pPr>
      <w:spacing w:line="226" w:lineRule="exact"/>
      <w:ind w:left="4424"/>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117</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94067">
    <w:pPr>
      <w:spacing w:line="226" w:lineRule="exact"/>
      <w:ind w:left="4424"/>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118</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22E0F">
    <w:pPr>
      <w:spacing w:line="226" w:lineRule="exact"/>
      <w:ind w:left="4425"/>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119</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57BE5">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120</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2A870">
    <w:pPr>
      <w:spacing w:line="226" w:lineRule="exact"/>
      <w:ind w:left="443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121</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8BDBC">
    <w:pPr>
      <w:spacing w:line="226" w:lineRule="exact"/>
      <w:ind w:left="423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122</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64A7A">
    <w:pPr>
      <w:spacing w:line="226" w:lineRule="exact"/>
      <w:ind w:left="423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123</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D2E5B">
    <w:pPr>
      <w:spacing w:line="226" w:lineRule="exact"/>
      <w:ind w:left="44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124</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7321F">
    <w:pPr>
      <w:spacing w:line="226" w:lineRule="exact"/>
      <w:ind w:left="718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125</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20ADA">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D0D89">
    <w:pPr>
      <w:spacing w:line="226" w:lineRule="exact"/>
      <w:ind w:left="446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10</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C8B37">
    <w:pPr>
      <w:spacing w:line="226" w:lineRule="exact"/>
      <w:ind w:left="718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127</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EF8EE">
    <w:pPr>
      <w:spacing w:line="226" w:lineRule="exact"/>
      <w:ind w:left="4545"/>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128</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CB020">
    <w:pPr>
      <w:spacing w:line="226" w:lineRule="exact"/>
      <w:ind w:left="4576"/>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129</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71B26">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130</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5B3EE">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131</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08D6B">
    <w:pPr>
      <w:spacing w:line="226" w:lineRule="exact"/>
      <w:ind w:left="442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132</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836C2">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133</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3F1A6">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134</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0D507">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135</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EBE12">
    <w:pPr>
      <w:spacing w:line="226" w:lineRule="exact"/>
      <w:ind w:left="4424"/>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3F807">
    <w:pPr>
      <w:spacing w:line="226" w:lineRule="exact"/>
      <w:ind w:left="4989"/>
      <w:rPr>
        <w:rFonts w:ascii="Times New Roman" w:hAnsi="Times New Roman" w:eastAsia="Times New Roman" w:cs="Times New Roman"/>
        <w:sz w:val="18"/>
        <w:szCs w:val="18"/>
      </w:rPr>
    </w:pPr>
    <w:r>
      <w:rPr>
        <w:rFonts w:ascii="Times New Roman" w:hAnsi="Times New Roman" w:eastAsia="Times New Roman" w:cs="Times New Roman"/>
        <w:spacing w:val="-11"/>
        <w:position w:val="1"/>
        <w:sz w:val="18"/>
        <w:szCs w:val="18"/>
      </w:rPr>
      <w:t>11</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73B31">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137</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A3A1A">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138</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7CD39">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139</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E3999">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140</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0E142">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141</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1B997">
    <w:pPr>
      <w:spacing w:line="226" w:lineRule="exact"/>
      <w:ind w:left="4425"/>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142</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01A96">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143</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96E67">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144</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1380C">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145</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69A40">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67CD0">
    <w:pPr>
      <w:spacing w:line="226" w:lineRule="exact"/>
      <w:ind w:left="446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12</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128B7">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147</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123B4">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148</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5B6BE">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149</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2FAE0">
    <w:pPr>
      <w:spacing w:line="226" w:lineRule="exact"/>
      <w:ind w:left="44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150</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56A89">
    <w:pPr>
      <w:spacing w:line="226" w:lineRule="exact"/>
      <w:ind w:left="44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151</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C7D5D">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152</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98FBF">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153</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FD1A5">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154</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8CACA">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155</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A40B1">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B0BD5">
    <w:pPr>
      <w:spacing w:line="226" w:lineRule="exact"/>
      <w:ind w:left="4589"/>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13</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CD9CD">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157</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12958">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158</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5DABA">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159</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9FDD9">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160</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8EF30">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161</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1E871">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162</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1B109">
    <w:pPr>
      <w:spacing w:line="226" w:lineRule="exact"/>
      <w:ind w:left="4416"/>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163</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A4B2C">
    <w:pPr>
      <w:spacing w:line="226" w:lineRule="exact"/>
      <w:ind w:left="718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164</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50000">
    <w:pPr>
      <w:spacing w:line="226" w:lineRule="exact"/>
      <w:ind w:left="718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165</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E3DF2">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B43B5">
    <w:pPr>
      <w:spacing w:line="226" w:lineRule="exact"/>
      <w:ind w:left="4466"/>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14</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8D2A9">
    <w:pPr>
      <w:spacing w:line="226" w:lineRule="exact"/>
      <w:ind w:left="7015"/>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167</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08A28">
    <w:pPr>
      <w:spacing w:line="226" w:lineRule="exact"/>
      <w:ind w:left="7015"/>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168</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D222E">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169</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206A8">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170</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5ECF8">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171</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50848">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172</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DB909">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173</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C7A29">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174</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86366">
    <w:pPr>
      <w:spacing w:line="226" w:lineRule="exact"/>
      <w:ind w:left="44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175</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20B7A">
    <w:pPr>
      <w:spacing w:line="226" w:lineRule="exact"/>
      <w:ind w:left="44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858CE">
    <w:pPr>
      <w:spacing w:line="226" w:lineRule="exact"/>
      <w:ind w:left="4589"/>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15</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957FD">
    <w:pPr>
      <w:spacing w:line="226" w:lineRule="exact"/>
      <w:ind w:left="457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177</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6293B">
    <w:pPr>
      <w:spacing w:line="226" w:lineRule="exact"/>
      <w:ind w:left="459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178</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637B3">
    <w:pPr>
      <w:spacing w:line="226" w:lineRule="exact"/>
      <w:ind w:left="459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179</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45CDD">
    <w:pPr>
      <w:spacing w:line="226" w:lineRule="exact"/>
      <w:ind w:left="45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180</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C25BF">
    <w:pPr>
      <w:spacing w:line="226" w:lineRule="exact"/>
      <w:ind w:left="4232"/>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181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84784">
    <w:pPr>
      <w:spacing w:line="226" w:lineRule="exact"/>
      <w:ind w:left="4476"/>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7C095">
    <w:pPr>
      <w:spacing w:line="173" w:lineRule="auto"/>
      <w:ind w:left="429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II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15181">
    <w:pPr>
      <w:spacing w:line="226" w:lineRule="exact"/>
      <w:ind w:left="447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68468">
    <w:pPr>
      <w:spacing w:line="226" w:lineRule="exact"/>
      <w:ind w:left="4478"/>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3B538">
    <w:pPr>
      <w:spacing w:line="226" w:lineRule="exact"/>
      <w:ind w:left="446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7E5F5">
    <w:pPr>
      <w:spacing w:line="226" w:lineRule="exact"/>
      <w:ind w:left="444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5D338">
    <w:pPr>
      <w:spacing w:line="226" w:lineRule="exact"/>
      <w:ind w:left="445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39831">
    <w:pPr>
      <w:spacing w:line="226" w:lineRule="exact"/>
      <w:ind w:left="444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29890">
    <w:pPr>
      <w:spacing w:line="226" w:lineRule="exact"/>
      <w:ind w:left="445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6C820">
    <w:pPr>
      <w:spacing w:line="226" w:lineRule="exact"/>
      <w:ind w:left="445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24</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4B0AA">
    <w:pPr>
      <w:spacing w:line="226" w:lineRule="exact"/>
      <w:ind w:left="445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4ECF2">
    <w:pPr>
      <w:spacing w:line="226" w:lineRule="exact"/>
      <w:ind w:left="445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3E16E">
    <w:pPr>
      <w:spacing w:line="173" w:lineRule="auto"/>
      <w:ind w:left="429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III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375FD">
    <w:pPr>
      <w:spacing w:line="226" w:lineRule="exact"/>
      <w:ind w:left="445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65708">
    <w:pPr>
      <w:spacing w:line="226" w:lineRule="exact"/>
      <w:ind w:left="445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28</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A8D42">
    <w:pPr>
      <w:spacing w:line="226" w:lineRule="exact"/>
      <w:ind w:left="457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29</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E03EB">
    <w:pPr>
      <w:spacing w:line="226" w:lineRule="exact"/>
      <w:ind w:left="598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1AE09">
    <w:pPr>
      <w:spacing w:line="226" w:lineRule="exact"/>
      <w:ind w:left="598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D3F74">
    <w:pPr>
      <w:spacing w:line="226" w:lineRule="exact"/>
      <w:ind w:left="598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32</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71059">
    <w:pPr>
      <w:spacing w:line="226" w:lineRule="exact"/>
      <w:ind w:left="598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33</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E53F5">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34</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D0672">
    <w:pPr>
      <w:spacing w:line="226" w:lineRule="exact"/>
      <w:ind w:left="457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73127">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9A0C1">
    <w:pPr>
      <w:spacing w:line="226" w:lineRule="exact"/>
      <w:ind w:left="451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33B70">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72DF7">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38</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C1069">
    <w:pPr>
      <w:spacing w:line="226" w:lineRule="exact"/>
      <w:ind w:left="461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39</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529D1">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7549C">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09FDA">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42</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D8A7A">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43</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07D31">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44</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B6DC7">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45</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AE627">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B78CC">
    <w:pPr>
      <w:spacing w:line="226" w:lineRule="exact"/>
      <w:ind w:left="449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2</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53336">
    <w:pPr>
      <w:spacing w:line="226" w:lineRule="exact"/>
      <w:ind w:left="4570"/>
      <w:rPr>
        <w:rFonts w:ascii="Times New Roman" w:hAnsi="Times New Roman" w:eastAsia="Times New Roman" w:cs="Times New Roman"/>
        <w:sz w:val="17"/>
        <w:szCs w:val="17"/>
      </w:rPr>
    </w:pPr>
    <w:r>
      <w:rPr>
        <w:rFonts w:ascii="Times New Roman" w:hAnsi="Times New Roman" w:eastAsia="Times New Roman" w:cs="Times New Roman"/>
        <w:spacing w:val="4"/>
        <w:position w:val="1"/>
        <w:sz w:val="17"/>
        <w:szCs w:val="17"/>
      </w:rPr>
      <w:t>47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5C762">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48</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14430">
    <w:pPr>
      <w:spacing w:line="226" w:lineRule="exact"/>
      <w:ind w:left="45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49</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5DC54">
    <w:pPr>
      <w:spacing w:line="226" w:lineRule="exact"/>
      <w:ind w:left="599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50</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F123C">
    <w:pPr>
      <w:spacing w:line="226" w:lineRule="exact"/>
      <w:ind w:left="457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51</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259E8">
    <w:pPr>
      <w:spacing w:line="226" w:lineRule="exact"/>
      <w:ind w:left="457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52</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1841A">
    <w:pPr>
      <w:spacing w:line="226" w:lineRule="exact"/>
      <w:ind w:left="446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53</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02EBA">
    <w:pPr>
      <w:spacing w:line="226" w:lineRule="exact"/>
      <w:ind w:left="457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54</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02341">
    <w:pPr>
      <w:spacing w:line="173" w:lineRule="auto"/>
      <w:ind w:left="457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214A1">
    <w:pPr>
      <w:spacing w:line="226" w:lineRule="exact"/>
      <w:ind w:left="457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FDDB2">
    <w:pPr>
      <w:spacing w:line="226" w:lineRule="exact"/>
      <w:ind w:left="629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3</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E1168">
    <w:pPr>
      <w:spacing w:line="173" w:lineRule="auto"/>
      <w:ind w:left="457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52821">
    <w:pPr>
      <w:spacing w:line="226" w:lineRule="exact"/>
      <w:ind w:left="457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58</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BC53D">
    <w:pPr>
      <w:spacing w:line="226" w:lineRule="exact"/>
      <w:ind w:left="457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59</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A9E77">
    <w:pPr>
      <w:spacing w:line="226" w:lineRule="exact"/>
      <w:ind w:left="445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60</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06829">
    <w:pPr>
      <w:spacing w:line="226" w:lineRule="exact"/>
      <w:ind w:left="445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61</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2BB21">
    <w:pPr>
      <w:spacing w:line="226" w:lineRule="exact"/>
      <w:ind w:left="445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62</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D332D">
    <w:pPr>
      <w:spacing w:line="226" w:lineRule="exact"/>
      <w:ind w:left="445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63</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2A088">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64</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3E277">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65</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9978B">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ADF71">
    <w:pPr>
      <w:spacing w:line="226" w:lineRule="exact"/>
      <w:ind w:left="449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4</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7E2AB">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67</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DE658">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68</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53931">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69</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62C91">
    <w:pPr>
      <w:spacing w:line="226" w:lineRule="exact"/>
      <w:ind w:left="4574"/>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70</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D1883">
    <w:pPr>
      <w:spacing w:line="226" w:lineRule="exact"/>
      <w:ind w:left="4574"/>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71</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B9B56">
    <w:pPr>
      <w:spacing w:line="226" w:lineRule="exact"/>
      <w:ind w:left="4574"/>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72</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32795">
    <w:pPr>
      <w:spacing w:line="226" w:lineRule="exact"/>
      <w:ind w:left="4574"/>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73</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7891F">
    <w:pPr>
      <w:spacing w:line="226" w:lineRule="exact"/>
      <w:ind w:left="7209"/>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74</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64DAB">
    <w:pPr>
      <w:spacing w:line="173"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B3171">
    <w:pPr>
      <w:spacing w:line="226" w:lineRule="exact"/>
      <w:ind w:left="4453"/>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45EEB">
    <w:pPr>
      <w:spacing w:line="173" w:lineRule="auto"/>
      <w:ind w:left="4487"/>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3E1E7">
    <w:pPr>
      <w:spacing w:line="173" w:lineRule="auto"/>
      <w:ind w:left="45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9FD91">
    <w:pPr>
      <w:spacing w:line="226" w:lineRule="exact"/>
      <w:ind w:left="7209"/>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78</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310F8">
    <w:pPr>
      <w:spacing w:line="226" w:lineRule="exact"/>
      <w:ind w:left="459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79</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D233F">
    <w:pPr>
      <w:pStyle w:val="2"/>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9284F">
    <w:pPr>
      <w:spacing w:line="226" w:lineRule="exact"/>
      <w:ind w:left="44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81</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A28A5">
    <w:pPr>
      <w:spacing w:line="226" w:lineRule="exact"/>
      <w:ind w:left="4456"/>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82</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862E2">
    <w:pPr>
      <w:spacing w:line="226" w:lineRule="exact"/>
      <w:ind w:left="448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83</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5DB78">
    <w:pPr>
      <w:spacing w:line="226" w:lineRule="exact"/>
      <w:ind w:left="44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84</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A0CCD">
    <w:pPr>
      <w:spacing w:line="226" w:lineRule="exact"/>
      <w:ind w:left="457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85</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B8688">
    <w:pPr>
      <w:spacing w:line="226" w:lineRule="exact"/>
      <w:ind w:left="457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D233F">
    <w:pPr>
      <w:pStyle w:val="2"/>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93942">
    <w:pPr>
      <w:spacing w:line="226" w:lineRule="exact"/>
      <w:ind w:left="457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87</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7C165">
    <w:pPr>
      <w:spacing w:line="226" w:lineRule="exact"/>
      <w:ind w:left="457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88</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24F7C">
    <w:pPr>
      <w:spacing w:line="226" w:lineRule="exact"/>
      <w:ind w:left="457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89</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F89AB">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90</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D233F">
    <w:pPr>
      <w:pStyle w:val="2"/>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A9932">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92</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5E571">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93</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BD9B4">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94</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7D4BD">
    <w:pPr>
      <w:spacing w:line="226" w:lineRule="exact"/>
      <w:ind w:left="45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95</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C0232">
    <w:pPr>
      <w:spacing w:line="226" w:lineRule="exact"/>
      <w:ind w:left="446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A7E8E">
    <w:pPr>
      <w:pStyle w:val="2"/>
      <w:spacing w:line="14" w:lineRule="auto"/>
      <w:rPr>
        <w:sz w:val="2"/>
      </w:rPr>
    </w:pPr>
    <w:r>
      <w:pict>
        <v:shape id="WordPictureWatermark18" o:spid="_x0000_s2049" o:spt="75" type="#_x0000_t75" style="position:absolute;left:0pt;margin-left:80.85pt;margin-top:76.8pt;height:379.35pt;width:436.6pt;mso-position-horizontal-relative:page;mso-position-vertical-relative:page;z-index:-251657216;mso-width-relative:page;mso-height-relative:page;" filled="f" stroked="f" coordsize="21600,21600" o:allowincell="f">
          <v:path/>
          <v:fill on="f" focussize="0,0"/>
          <v:stroke on="f"/>
          <v:imagedata r:id="rId1" o:title=""/>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3CA06">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89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2"/>
      <w:gridCol w:w="939"/>
      <w:gridCol w:w="2085"/>
      <w:gridCol w:w="1416"/>
      <w:gridCol w:w="1417"/>
      <w:gridCol w:w="1022"/>
      <w:gridCol w:w="1269"/>
    </w:tblGrid>
    <w:tr w14:paraId="29EFC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02" w:type="dxa"/>
          <w:tcBorders>
            <w:top w:val="nil"/>
          </w:tcBorders>
          <w:vAlign w:val="top"/>
        </w:tcPr>
        <w:p w14:paraId="40FD1FC6">
          <w:pPr>
            <w:rPr>
              <w:rFonts w:ascii="Arial"/>
              <w:sz w:val="21"/>
            </w:rPr>
          </w:pPr>
        </w:p>
      </w:tc>
      <w:tc>
        <w:tcPr>
          <w:tcW w:w="939" w:type="dxa"/>
          <w:vAlign w:val="top"/>
        </w:tcPr>
        <w:p w14:paraId="3425BCB6">
          <w:pPr>
            <w:rPr>
              <w:rFonts w:ascii="Arial"/>
              <w:sz w:val="21"/>
            </w:rPr>
          </w:pPr>
        </w:p>
      </w:tc>
      <w:tc>
        <w:tcPr>
          <w:tcW w:w="2085" w:type="dxa"/>
          <w:vAlign w:val="top"/>
        </w:tcPr>
        <w:p w14:paraId="572E999C">
          <w:pPr>
            <w:pStyle w:val="6"/>
            <w:spacing w:before="61" w:line="223" w:lineRule="auto"/>
            <w:ind w:left="133"/>
          </w:pPr>
          <w:r>
            <w:rPr>
              <w:spacing w:val="25"/>
            </w:rPr>
            <w:t>小时平均质量浓度</w:t>
          </w:r>
        </w:p>
      </w:tc>
      <w:tc>
        <w:tcPr>
          <w:tcW w:w="1416" w:type="dxa"/>
          <w:vAlign w:val="top"/>
        </w:tcPr>
        <w:p w14:paraId="20F4A005">
          <w:pPr>
            <w:rPr>
              <w:rFonts w:ascii="Arial"/>
              <w:sz w:val="21"/>
            </w:rPr>
          </w:pPr>
        </w:p>
      </w:tc>
      <w:tc>
        <w:tcPr>
          <w:tcW w:w="1417" w:type="dxa"/>
          <w:vAlign w:val="top"/>
        </w:tcPr>
        <w:p w14:paraId="7C42763E">
          <w:pPr>
            <w:rPr>
              <w:rFonts w:ascii="Arial"/>
              <w:sz w:val="21"/>
            </w:rPr>
          </w:pPr>
        </w:p>
      </w:tc>
      <w:tc>
        <w:tcPr>
          <w:tcW w:w="1022" w:type="dxa"/>
          <w:vAlign w:val="top"/>
        </w:tcPr>
        <w:p w14:paraId="135D27AF">
          <w:pPr>
            <w:rPr>
              <w:rFonts w:ascii="Arial"/>
              <w:sz w:val="21"/>
            </w:rPr>
          </w:pPr>
        </w:p>
      </w:tc>
      <w:tc>
        <w:tcPr>
          <w:tcW w:w="1269" w:type="dxa"/>
          <w:vAlign w:val="top"/>
        </w:tcPr>
        <w:p w14:paraId="3594ED1E">
          <w:pPr>
            <w:rPr>
              <w:rFonts w:ascii="Arial"/>
              <w:sz w:val="21"/>
            </w:rPr>
          </w:pPr>
        </w:p>
      </w:tc>
    </w:tr>
  </w:tbl>
  <w:p w14:paraId="13DDB434">
    <w:pPr>
      <w:pStyle w:val="2"/>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3CA06">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1C50D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4.xml"/><Relationship Id="rId98" Type="http://schemas.openxmlformats.org/officeDocument/2006/relationships/footer" Target="footer91.xml"/><Relationship Id="rId97" Type="http://schemas.openxmlformats.org/officeDocument/2006/relationships/header" Target="header3.xml"/><Relationship Id="rId96" Type="http://schemas.openxmlformats.org/officeDocument/2006/relationships/footer" Target="footer90.xml"/><Relationship Id="rId95" Type="http://schemas.openxmlformats.org/officeDocument/2006/relationships/footer" Target="footer89.xml"/><Relationship Id="rId94" Type="http://schemas.openxmlformats.org/officeDocument/2006/relationships/footer" Target="footer88.xml"/><Relationship Id="rId93" Type="http://schemas.openxmlformats.org/officeDocument/2006/relationships/footer" Target="footer87.xml"/><Relationship Id="rId92" Type="http://schemas.openxmlformats.org/officeDocument/2006/relationships/footer" Target="footer86.xml"/><Relationship Id="rId91" Type="http://schemas.openxmlformats.org/officeDocument/2006/relationships/footer" Target="footer85.xml"/><Relationship Id="rId90" Type="http://schemas.openxmlformats.org/officeDocument/2006/relationships/footer" Target="footer84.xml"/><Relationship Id="rId9" Type="http://schemas.openxmlformats.org/officeDocument/2006/relationships/footer" Target="footer5.xml"/><Relationship Id="rId89" Type="http://schemas.openxmlformats.org/officeDocument/2006/relationships/footer" Target="footer83.xml"/><Relationship Id="rId88" Type="http://schemas.openxmlformats.org/officeDocument/2006/relationships/footer" Target="footer82.xml"/><Relationship Id="rId87" Type="http://schemas.openxmlformats.org/officeDocument/2006/relationships/footer" Target="footer81.xml"/><Relationship Id="rId86" Type="http://schemas.openxmlformats.org/officeDocument/2006/relationships/footer" Target="footer80.xml"/><Relationship Id="rId85" Type="http://schemas.openxmlformats.org/officeDocument/2006/relationships/footer" Target="footer79.xml"/><Relationship Id="rId84" Type="http://schemas.openxmlformats.org/officeDocument/2006/relationships/footer" Target="footer78.xml"/><Relationship Id="rId83" Type="http://schemas.openxmlformats.org/officeDocument/2006/relationships/footer" Target="footer77.xml"/><Relationship Id="rId82" Type="http://schemas.openxmlformats.org/officeDocument/2006/relationships/footer" Target="footer76.xml"/><Relationship Id="rId81" Type="http://schemas.openxmlformats.org/officeDocument/2006/relationships/footer" Target="footer75.xml"/><Relationship Id="rId80" Type="http://schemas.openxmlformats.org/officeDocument/2006/relationships/footer" Target="footer74.xml"/><Relationship Id="rId8" Type="http://schemas.openxmlformats.org/officeDocument/2006/relationships/footer" Target="footer4.xml"/><Relationship Id="rId79" Type="http://schemas.openxmlformats.org/officeDocument/2006/relationships/footer" Target="footer73.xml"/><Relationship Id="rId78" Type="http://schemas.openxmlformats.org/officeDocument/2006/relationships/footer" Target="footer72.xml"/><Relationship Id="rId77" Type="http://schemas.openxmlformats.org/officeDocument/2006/relationships/footer" Target="footer71.xml"/><Relationship Id="rId76" Type="http://schemas.openxmlformats.org/officeDocument/2006/relationships/footer" Target="footer70.xml"/><Relationship Id="rId75" Type="http://schemas.openxmlformats.org/officeDocument/2006/relationships/footer" Target="footer69.xml"/><Relationship Id="rId74" Type="http://schemas.openxmlformats.org/officeDocument/2006/relationships/footer" Target="footer68.xml"/><Relationship Id="rId73" Type="http://schemas.openxmlformats.org/officeDocument/2006/relationships/footer" Target="footer67.xml"/><Relationship Id="rId72" Type="http://schemas.openxmlformats.org/officeDocument/2006/relationships/footer" Target="footer66.xml"/><Relationship Id="rId71" Type="http://schemas.openxmlformats.org/officeDocument/2006/relationships/footer" Target="footer65.xml"/><Relationship Id="rId70" Type="http://schemas.openxmlformats.org/officeDocument/2006/relationships/footer" Target="footer64.xml"/><Relationship Id="rId7" Type="http://schemas.openxmlformats.org/officeDocument/2006/relationships/footer" Target="footer3.xml"/><Relationship Id="rId69" Type="http://schemas.openxmlformats.org/officeDocument/2006/relationships/footer" Target="footer63.xml"/><Relationship Id="rId68" Type="http://schemas.openxmlformats.org/officeDocument/2006/relationships/footer" Target="footer62.xml"/><Relationship Id="rId67" Type="http://schemas.openxmlformats.org/officeDocument/2006/relationships/footer" Target="footer61.xml"/><Relationship Id="rId66" Type="http://schemas.openxmlformats.org/officeDocument/2006/relationships/footer" Target="footer60.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header" Target="header2.xml"/><Relationship Id="rId61" Type="http://schemas.openxmlformats.org/officeDocument/2006/relationships/footer" Target="footer56.xml"/><Relationship Id="rId60" Type="http://schemas.openxmlformats.org/officeDocument/2006/relationships/header" Target="header1.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1" Type="http://schemas.openxmlformats.org/officeDocument/2006/relationships/fontTable" Target="fontTable.xml"/><Relationship Id="rId250" Type="http://schemas.openxmlformats.org/officeDocument/2006/relationships/customXml" Target="../customXml/item1.xml"/><Relationship Id="rId25" Type="http://schemas.openxmlformats.org/officeDocument/2006/relationships/footer" Target="footer21.xml"/><Relationship Id="rId249" Type="http://schemas.openxmlformats.org/officeDocument/2006/relationships/image" Target="media/image57.png"/><Relationship Id="rId248" Type="http://schemas.openxmlformats.org/officeDocument/2006/relationships/image" Target="media/image56.png"/><Relationship Id="rId247" Type="http://schemas.openxmlformats.org/officeDocument/2006/relationships/image" Target="media/image55.png"/><Relationship Id="rId246" Type="http://schemas.openxmlformats.org/officeDocument/2006/relationships/image" Target="media/image54.png"/><Relationship Id="rId245" Type="http://schemas.openxmlformats.org/officeDocument/2006/relationships/image" Target="media/image53.png"/><Relationship Id="rId244" Type="http://schemas.openxmlformats.org/officeDocument/2006/relationships/image" Target="media/image52.png"/><Relationship Id="rId243" Type="http://schemas.openxmlformats.org/officeDocument/2006/relationships/image" Target="media/image51.png"/><Relationship Id="rId242" Type="http://schemas.openxmlformats.org/officeDocument/2006/relationships/image" Target="media/image50.png"/><Relationship Id="rId241" Type="http://schemas.openxmlformats.org/officeDocument/2006/relationships/image" Target="media/image49.png"/><Relationship Id="rId240" Type="http://schemas.openxmlformats.org/officeDocument/2006/relationships/image" Target="media/image48.png"/><Relationship Id="rId24" Type="http://schemas.openxmlformats.org/officeDocument/2006/relationships/footer" Target="footer20.xml"/><Relationship Id="rId239" Type="http://schemas.openxmlformats.org/officeDocument/2006/relationships/image" Target="media/image47.png"/><Relationship Id="rId238" Type="http://schemas.openxmlformats.org/officeDocument/2006/relationships/image" Target="media/image46.png"/><Relationship Id="rId237" Type="http://schemas.openxmlformats.org/officeDocument/2006/relationships/image" Target="media/image45.png"/><Relationship Id="rId236" Type="http://schemas.openxmlformats.org/officeDocument/2006/relationships/image" Target="media/image44.jpeg"/><Relationship Id="rId235" Type="http://schemas.openxmlformats.org/officeDocument/2006/relationships/image" Target="media/image43.jpeg"/><Relationship Id="rId234" Type="http://schemas.openxmlformats.org/officeDocument/2006/relationships/image" Target="media/image42.jpeg"/><Relationship Id="rId233" Type="http://schemas.openxmlformats.org/officeDocument/2006/relationships/image" Target="media/image41.jpeg"/><Relationship Id="rId232" Type="http://schemas.openxmlformats.org/officeDocument/2006/relationships/image" Target="media/image40.jpeg"/><Relationship Id="rId231" Type="http://schemas.openxmlformats.org/officeDocument/2006/relationships/image" Target="media/image39.jpeg"/><Relationship Id="rId230" Type="http://schemas.openxmlformats.org/officeDocument/2006/relationships/image" Target="media/image38.jpeg"/><Relationship Id="rId23" Type="http://schemas.openxmlformats.org/officeDocument/2006/relationships/footer" Target="footer19.xml"/><Relationship Id="rId229" Type="http://schemas.openxmlformats.org/officeDocument/2006/relationships/image" Target="media/image37.jpeg"/><Relationship Id="rId228" Type="http://schemas.openxmlformats.org/officeDocument/2006/relationships/image" Target="media/image36.jpeg"/><Relationship Id="rId227" Type="http://schemas.openxmlformats.org/officeDocument/2006/relationships/image" Target="media/image35.jpeg"/><Relationship Id="rId226" Type="http://schemas.openxmlformats.org/officeDocument/2006/relationships/image" Target="media/image34.png"/><Relationship Id="rId225" Type="http://schemas.openxmlformats.org/officeDocument/2006/relationships/image" Target="media/image33.png"/><Relationship Id="rId224" Type="http://schemas.openxmlformats.org/officeDocument/2006/relationships/image" Target="media/image32.png"/><Relationship Id="rId223" Type="http://schemas.openxmlformats.org/officeDocument/2006/relationships/image" Target="media/image31.png"/><Relationship Id="rId222" Type="http://schemas.openxmlformats.org/officeDocument/2006/relationships/image" Target="media/image30.png"/><Relationship Id="rId221" Type="http://schemas.openxmlformats.org/officeDocument/2006/relationships/image" Target="media/image29.png"/><Relationship Id="rId220" Type="http://schemas.openxmlformats.org/officeDocument/2006/relationships/image" Target="media/image28.jpeg"/><Relationship Id="rId22" Type="http://schemas.openxmlformats.org/officeDocument/2006/relationships/footer" Target="footer18.xml"/><Relationship Id="rId219" Type="http://schemas.openxmlformats.org/officeDocument/2006/relationships/image" Target="media/image27.jpeg"/><Relationship Id="rId218" Type="http://schemas.openxmlformats.org/officeDocument/2006/relationships/image" Target="media/image26.png"/><Relationship Id="rId217" Type="http://schemas.openxmlformats.org/officeDocument/2006/relationships/image" Target="media/image25.jpeg"/><Relationship Id="rId216" Type="http://schemas.openxmlformats.org/officeDocument/2006/relationships/image" Target="media/image24.jpeg"/><Relationship Id="rId215" Type="http://schemas.openxmlformats.org/officeDocument/2006/relationships/image" Target="media/image23.png"/><Relationship Id="rId214" Type="http://schemas.openxmlformats.org/officeDocument/2006/relationships/image" Target="media/image22.jpeg"/><Relationship Id="rId213" Type="http://schemas.openxmlformats.org/officeDocument/2006/relationships/image" Target="media/image21.png"/><Relationship Id="rId212" Type="http://schemas.openxmlformats.org/officeDocument/2006/relationships/image" Target="media/image20.png"/><Relationship Id="rId211" Type="http://schemas.openxmlformats.org/officeDocument/2006/relationships/image" Target="media/image19.jpeg"/><Relationship Id="rId210" Type="http://schemas.openxmlformats.org/officeDocument/2006/relationships/image" Target="media/image18.jpeg"/><Relationship Id="rId21" Type="http://schemas.openxmlformats.org/officeDocument/2006/relationships/footer" Target="footer17.xml"/><Relationship Id="rId209" Type="http://schemas.openxmlformats.org/officeDocument/2006/relationships/image" Target="media/image17.png"/><Relationship Id="rId208" Type="http://schemas.openxmlformats.org/officeDocument/2006/relationships/image" Target="media/image16.jpeg"/><Relationship Id="rId207" Type="http://schemas.openxmlformats.org/officeDocument/2006/relationships/image" Target="media/image15.jpeg"/><Relationship Id="rId206" Type="http://schemas.openxmlformats.org/officeDocument/2006/relationships/image" Target="media/image14.png"/><Relationship Id="rId205" Type="http://schemas.openxmlformats.org/officeDocument/2006/relationships/image" Target="media/image13.png"/><Relationship Id="rId204" Type="http://schemas.openxmlformats.org/officeDocument/2006/relationships/image" Target="media/image12.jpeg"/><Relationship Id="rId203" Type="http://schemas.openxmlformats.org/officeDocument/2006/relationships/image" Target="media/image11.png"/><Relationship Id="rId202" Type="http://schemas.openxmlformats.org/officeDocument/2006/relationships/image" Target="media/image10.jpeg"/><Relationship Id="rId201" Type="http://schemas.openxmlformats.org/officeDocument/2006/relationships/image" Target="media/image9.jpeg"/><Relationship Id="rId200" Type="http://schemas.openxmlformats.org/officeDocument/2006/relationships/image" Target="media/image8.png"/><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image" Target="media/image7.png"/><Relationship Id="rId198" Type="http://schemas.openxmlformats.org/officeDocument/2006/relationships/image" Target="media/image6.png"/><Relationship Id="rId197" Type="http://schemas.openxmlformats.org/officeDocument/2006/relationships/image" Target="media/image5.jpeg"/><Relationship Id="rId196" Type="http://schemas.openxmlformats.org/officeDocument/2006/relationships/image" Target="media/image4.jpeg"/><Relationship Id="rId195" Type="http://schemas.openxmlformats.org/officeDocument/2006/relationships/image" Target="media/image3.png"/><Relationship Id="rId194" Type="http://schemas.openxmlformats.org/officeDocument/2006/relationships/image" Target="media/image2.png"/><Relationship Id="rId193" Type="http://schemas.openxmlformats.org/officeDocument/2006/relationships/theme" Target="theme/theme1.xml"/><Relationship Id="rId192" Type="http://schemas.openxmlformats.org/officeDocument/2006/relationships/footer" Target="footer184.xml"/><Relationship Id="rId191" Type="http://schemas.openxmlformats.org/officeDocument/2006/relationships/footer" Target="footer183.xml"/><Relationship Id="rId190" Type="http://schemas.openxmlformats.org/officeDocument/2006/relationships/footer" Target="footer182.xml"/><Relationship Id="rId19" Type="http://schemas.openxmlformats.org/officeDocument/2006/relationships/footer" Target="footer15.xml"/><Relationship Id="rId189" Type="http://schemas.openxmlformats.org/officeDocument/2006/relationships/footer" Target="footer181.xml"/><Relationship Id="rId188" Type="http://schemas.openxmlformats.org/officeDocument/2006/relationships/footer" Target="footer180.xml"/><Relationship Id="rId187" Type="http://schemas.openxmlformats.org/officeDocument/2006/relationships/footer" Target="footer179.xml"/><Relationship Id="rId186" Type="http://schemas.openxmlformats.org/officeDocument/2006/relationships/footer" Target="footer178.xml"/><Relationship Id="rId185" Type="http://schemas.openxmlformats.org/officeDocument/2006/relationships/footer" Target="footer177.xml"/><Relationship Id="rId184" Type="http://schemas.openxmlformats.org/officeDocument/2006/relationships/footer" Target="footer176.xml"/><Relationship Id="rId183" Type="http://schemas.openxmlformats.org/officeDocument/2006/relationships/footer" Target="footer175.xml"/><Relationship Id="rId182" Type="http://schemas.openxmlformats.org/officeDocument/2006/relationships/footer" Target="footer174.xml"/><Relationship Id="rId181" Type="http://schemas.openxmlformats.org/officeDocument/2006/relationships/footer" Target="footer173.xml"/><Relationship Id="rId180" Type="http://schemas.openxmlformats.org/officeDocument/2006/relationships/footer" Target="footer172.xml"/><Relationship Id="rId18" Type="http://schemas.openxmlformats.org/officeDocument/2006/relationships/footer" Target="footer14.xml"/><Relationship Id="rId179" Type="http://schemas.openxmlformats.org/officeDocument/2006/relationships/footer" Target="footer171.xml"/><Relationship Id="rId178" Type="http://schemas.openxmlformats.org/officeDocument/2006/relationships/footer" Target="footer170.xml"/><Relationship Id="rId177" Type="http://schemas.openxmlformats.org/officeDocument/2006/relationships/footer" Target="footer169.xml"/><Relationship Id="rId176" Type="http://schemas.openxmlformats.org/officeDocument/2006/relationships/footer" Target="footer168.xml"/><Relationship Id="rId175" Type="http://schemas.openxmlformats.org/officeDocument/2006/relationships/footer" Target="footer167.xml"/><Relationship Id="rId174" Type="http://schemas.openxmlformats.org/officeDocument/2006/relationships/footer" Target="footer166.xml"/><Relationship Id="rId173" Type="http://schemas.openxmlformats.org/officeDocument/2006/relationships/footer" Target="footer165.xml"/><Relationship Id="rId172" Type="http://schemas.openxmlformats.org/officeDocument/2006/relationships/footer" Target="footer164.xml"/><Relationship Id="rId171" Type="http://schemas.openxmlformats.org/officeDocument/2006/relationships/footer" Target="footer163.xml"/><Relationship Id="rId170" Type="http://schemas.openxmlformats.org/officeDocument/2006/relationships/footer" Target="footer162.xml"/><Relationship Id="rId17" Type="http://schemas.openxmlformats.org/officeDocument/2006/relationships/footer" Target="footer13.xml"/><Relationship Id="rId169" Type="http://schemas.openxmlformats.org/officeDocument/2006/relationships/footer" Target="footer161.xml"/><Relationship Id="rId168" Type="http://schemas.openxmlformats.org/officeDocument/2006/relationships/footer" Target="footer160.xml"/><Relationship Id="rId167" Type="http://schemas.openxmlformats.org/officeDocument/2006/relationships/footer" Target="footer159.xml"/><Relationship Id="rId166" Type="http://schemas.openxmlformats.org/officeDocument/2006/relationships/footer" Target="footer158.xml"/><Relationship Id="rId165" Type="http://schemas.openxmlformats.org/officeDocument/2006/relationships/footer" Target="footer157.xml"/><Relationship Id="rId164" Type="http://schemas.openxmlformats.org/officeDocument/2006/relationships/footer" Target="footer156.xml"/><Relationship Id="rId163" Type="http://schemas.openxmlformats.org/officeDocument/2006/relationships/footer" Target="footer155.xml"/><Relationship Id="rId162" Type="http://schemas.openxmlformats.org/officeDocument/2006/relationships/footer" Target="footer154.xml"/><Relationship Id="rId161" Type="http://schemas.openxmlformats.org/officeDocument/2006/relationships/footer" Target="footer153.xml"/><Relationship Id="rId160" Type="http://schemas.openxmlformats.org/officeDocument/2006/relationships/footer" Target="footer152.xml"/><Relationship Id="rId16" Type="http://schemas.openxmlformats.org/officeDocument/2006/relationships/footer" Target="footer12.xml"/><Relationship Id="rId159" Type="http://schemas.openxmlformats.org/officeDocument/2006/relationships/footer" Target="footer151.xml"/><Relationship Id="rId158" Type="http://schemas.openxmlformats.org/officeDocument/2006/relationships/footer" Target="footer150.xml"/><Relationship Id="rId157" Type="http://schemas.openxmlformats.org/officeDocument/2006/relationships/footer" Target="footer149.xml"/><Relationship Id="rId156" Type="http://schemas.openxmlformats.org/officeDocument/2006/relationships/footer" Target="footer148.xml"/><Relationship Id="rId155" Type="http://schemas.openxmlformats.org/officeDocument/2006/relationships/footer" Target="footer147.xml"/><Relationship Id="rId154" Type="http://schemas.openxmlformats.org/officeDocument/2006/relationships/footer" Target="footer146.xml"/><Relationship Id="rId153" Type="http://schemas.openxmlformats.org/officeDocument/2006/relationships/footer" Target="footer145.xml"/><Relationship Id="rId152" Type="http://schemas.openxmlformats.org/officeDocument/2006/relationships/footer" Target="footer144.xml"/><Relationship Id="rId151" Type="http://schemas.openxmlformats.org/officeDocument/2006/relationships/footer" Target="footer143.xml"/><Relationship Id="rId150" Type="http://schemas.openxmlformats.org/officeDocument/2006/relationships/footer" Target="footer142.xml"/><Relationship Id="rId15" Type="http://schemas.openxmlformats.org/officeDocument/2006/relationships/footer" Target="footer11.xml"/><Relationship Id="rId149" Type="http://schemas.openxmlformats.org/officeDocument/2006/relationships/footer" Target="footer141.xml"/><Relationship Id="rId148" Type="http://schemas.openxmlformats.org/officeDocument/2006/relationships/footer" Target="footer140.xml"/><Relationship Id="rId147" Type="http://schemas.openxmlformats.org/officeDocument/2006/relationships/footer" Target="footer139.xml"/><Relationship Id="rId146" Type="http://schemas.openxmlformats.org/officeDocument/2006/relationships/footer" Target="footer138.xml"/><Relationship Id="rId145" Type="http://schemas.openxmlformats.org/officeDocument/2006/relationships/footer" Target="footer137.xml"/><Relationship Id="rId144" Type="http://schemas.openxmlformats.org/officeDocument/2006/relationships/footer" Target="footer136.xml"/><Relationship Id="rId143" Type="http://schemas.openxmlformats.org/officeDocument/2006/relationships/footer" Target="footer135.xml"/><Relationship Id="rId142" Type="http://schemas.openxmlformats.org/officeDocument/2006/relationships/footer" Target="footer134.xml"/><Relationship Id="rId141" Type="http://schemas.openxmlformats.org/officeDocument/2006/relationships/footer" Target="footer133.xml"/><Relationship Id="rId140" Type="http://schemas.openxmlformats.org/officeDocument/2006/relationships/footer" Target="footer132.xml"/><Relationship Id="rId14" Type="http://schemas.openxmlformats.org/officeDocument/2006/relationships/footer" Target="footer10.xml"/><Relationship Id="rId139" Type="http://schemas.openxmlformats.org/officeDocument/2006/relationships/footer" Target="footer131.xml"/><Relationship Id="rId138" Type="http://schemas.openxmlformats.org/officeDocument/2006/relationships/footer" Target="footer130.xml"/><Relationship Id="rId137" Type="http://schemas.openxmlformats.org/officeDocument/2006/relationships/footer" Target="footer129.xml"/><Relationship Id="rId136" Type="http://schemas.openxmlformats.org/officeDocument/2006/relationships/footer" Target="footer128.xml"/><Relationship Id="rId135" Type="http://schemas.openxmlformats.org/officeDocument/2006/relationships/footer" Target="footer127.xml"/><Relationship Id="rId134" Type="http://schemas.openxmlformats.org/officeDocument/2006/relationships/footer" Target="footer126.xml"/><Relationship Id="rId133" Type="http://schemas.openxmlformats.org/officeDocument/2006/relationships/footer" Target="footer125.xml"/><Relationship Id="rId132" Type="http://schemas.openxmlformats.org/officeDocument/2006/relationships/footer" Target="footer124.xml"/><Relationship Id="rId131" Type="http://schemas.openxmlformats.org/officeDocument/2006/relationships/footer" Target="footer123.xml"/><Relationship Id="rId130" Type="http://schemas.openxmlformats.org/officeDocument/2006/relationships/footer" Target="footer122.xml"/><Relationship Id="rId13" Type="http://schemas.openxmlformats.org/officeDocument/2006/relationships/footer" Target="footer9.xml"/><Relationship Id="rId129" Type="http://schemas.openxmlformats.org/officeDocument/2006/relationships/footer" Target="footer121.xml"/><Relationship Id="rId128" Type="http://schemas.openxmlformats.org/officeDocument/2006/relationships/footer" Target="footer120.xml"/><Relationship Id="rId127" Type="http://schemas.openxmlformats.org/officeDocument/2006/relationships/footer" Target="footer119.xml"/><Relationship Id="rId126" Type="http://schemas.openxmlformats.org/officeDocument/2006/relationships/footer" Target="footer118.xml"/><Relationship Id="rId125" Type="http://schemas.openxmlformats.org/officeDocument/2006/relationships/footer" Target="footer117.xml"/><Relationship Id="rId124" Type="http://schemas.openxmlformats.org/officeDocument/2006/relationships/footer" Target="footer116.xml"/><Relationship Id="rId123" Type="http://schemas.openxmlformats.org/officeDocument/2006/relationships/footer" Target="footer115.xml"/><Relationship Id="rId122" Type="http://schemas.openxmlformats.org/officeDocument/2006/relationships/footer" Target="footer114.xml"/><Relationship Id="rId121" Type="http://schemas.openxmlformats.org/officeDocument/2006/relationships/footer" Target="footer113.xml"/><Relationship Id="rId120" Type="http://schemas.openxmlformats.org/officeDocument/2006/relationships/footer" Target="footer112.xml"/><Relationship Id="rId12" Type="http://schemas.openxmlformats.org/officeDocument/2006/relationships/footer" Target="footer8.xml"/><Relationship Id="rId119" Type="http://schemas.openxmlformats.org/officeDocument/2006/relationships/footer" Target="footer111.xml"/><Relationship Id="rId118" Type="http://schemas.openxmlformats.org/officeDocument/2006/relationships/footer" Target="footer110.xml"/><Relationship Id="rId117" Type="http://schemas.openxmlformats.org/officeDocument/2006/relationships/footer" Target="footer109.xml"/><Relationship Id="rId116" Type="http://schemas.openxmlformats.org/officeDocument/2006/relationships/footer" Target="footer108.xml"/><Relationship Id="rId115" Type="http://schemas.openxmlformats.org/officeDocument/2006/relationships/footer" Target="footer107.xml"/><Relationship Id="rId114" Type="http://schemas.openxmlformats.org/officeDocument/2006/relationships/footer" Target="footer106.xml"/><Relationship Id="rId113" Type="http://schemas.openxmlformats.org/officeDocument/2006/relationships/footer" Target="footer105.xml"/><Relationship Id="rId112" Type="http://schemas.openxmlformats.org/officeDocument/2006/relationships/footer" Target="footer104.xml"/><Relationship Id="rId111" Type="http://schemas.openxmlformats.org/officeDocument/2006/relationships/footer" Target="footer103.xml"/><Relationship Id="rId110" Type="http://schemas.openxmlformats.org/officeDocument/2006/relationships/footer" Target="footer102.xml"/><Relationship Id="rId11" Type="http://schemas.openxmlformats.org/officeDocument/2006/relationships/footer" Target="footer7.xml"/><Relationship Id="rId109" Type="http://schemas.openxmlformats.org/officeDocument/2006/relationships/footer" Target="footer101.xml"/><Relationship Id="rId108" Type="http://schemas.openxmlformats.org/officeDocument/2006/relationships/footer" Target="footer100.xml"/><Relationship Id="rId107" Type="http://schemas.openxmlformats.org/officeDocument/2006/relationships/footer" Target="footer99.xml"/><Relationship Id="rId106" Type="http://schemas.openxmlformats.org/officeDocument/2006/relationships/footer" Target="footer98.xml"/><Relationship Id="rId105" Type="http://schemas.openxmlformats.org/officeDocument/2006/relationships/footer" Target="footer97.xml"/><Relationship Id="rId104" Type="http://schemas.openxmlformats.org/officeDocument/2006/relationships/footer" Target="footer96.xml"/><Relationship Id="rId103" Type="http://schemas.openxmlformats.org/officeDocument/2006/relationships/footer" Target="footer95.xml"/><Relationship Id="rId102" Type="http://schemas.openxmlformats.org/officeDocument/2006/relationships/footer" Target="footer94.xml"/><Relationship Id="rId101" Type="http://schemas.openxmlformats.org/officeDocument/2006/relationships/footer" Target="footer93.xml"/><Relationship Id="rId100" Type="http://schemas.openxmlformats.org/officeDocument/2006/relationships/footer" Target="footer92.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textRotate="1"/>
    <customShpInfo spid="_x0000_s1028"/>
    <customShpInfo spid="_x0000_s1029"/>
    <customShpInfo spid="_x0000_s1027"/>
    <customShpInfo spid="_x0000_s1031"/>
    <customShpInfo spid="_x0000_s1032"/>
    <customShpInfo spid="_x0000_s1030"/>
    <customShpInfo spid="_x0000_s1033"/>
    <customShpInfo spid="_x0000_s1034"/>
    <customShpInfo spid="_x0000_s1035"/>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185</Pages>
  <Words>8435</Words>
  <Characters>9270</Characters>
  <TotalTime>1</TotalTime>
  <ScaleCrop>false</ScaleCrop>
  <LinksUpToDate>false</LinksUpToDate>
  <CharactersWithSpaces>9970</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2022-05-30T10:25:00Z</dcterms:created>
  <dc:creator>PC</dc:creator>
  <cp:lastModifiedBy>蔡城锦</cp:lastModifiedBy>
  <dcterms:modified xsi:type="dcterms:W3CDTF">2025-07-18T02:16:27Z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2025-07-17T14:47:22Z</vt:filetime>
  </property>
  <property fmtid="{D5CDD505-2E9C-101B-9397-08002B2CF9AE}" pid="4" name="KSOTemplateDocerSaveRecord">
    <vt:lpwstr>eyJoZGlkIjoiYjVjYWUwYzExMDgwMTMxYjZiOTIyMWRkYTcyZjAyZjQiLCJ1c2VySWQiOiI4NzUxODQxODQifQ==</vt:lpwstr>
  </property>
  <property fmtid="{D5CDD505-2E9C-101B-9397-08002B2CF9AE}" pid="5" name="KSOProductBuildVer">
    <vt:lpwstr>2052-12.1.0.21915</vt:lpwstr>
  </property>
  <property fmtid="{D5CDD505-2E9C-101B-9397-08002B2CF9AE}" pid="6" name="ICV">
    <vt:lpwstr>ACA01544ED7343F0B28595384125237F_12</vt:lpwstr>
  </property>
</Properties>
</file>